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F16" w:rsidRDefault="00AF3F16" w:rsidP="00D56690">
      <w:pPr>
        <w:spacing w:line="480" w:lineRule="auto"/>
        <w:ind w:left="720" w:hanging="720"/>
        <w:jc w:val="center"/>
        <w:rPr>
          <w:b/>
          <w:sz w:val="24"/>
          <w:szCs w:val="24"/>
        </w:rPr>
      </w:pPr>
      <w:r>
        <w:rPr>
          <w:b/>
          <w:noProof/>
          <w:sz w:val="24"/>
          <w:szCs w:val="24"/>
          <w:lang w:eastAsia="en-GB"/>
        </w:rPr>
        <w:drawing>
          <wp:inline distT="0" distB="0" distL="0" distR="0">
            <wp:extent cx="3296285" cy="1318260"/>
            <wp:effectExtent l="19050" t="0" r="0" b="0"/>
            <wp:docPr id="2" name="Imagen 1" descr="C:\Users\Daria\Desktop\tuoslogo_key_bw_vhi\tuoslogo_key_bw_v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ia\Desktop\tuoslogo_key_bw_vhi\tuoslogo_key_bw_vhi.jpg"/>
                    <pic:cNvPicPr>
                      <a:picLocks noChangeAspect="1" noChangeArrowheads="1"/>
                    </pic:cNvPicPr>
                  </pic:nvPicPr>
                  <pic:blipFill>
                    <a:blip r:embed="rId8" cstate="print"/>
                    <a:srcRect/>
                    <a:stretch>
                      <a:fillRect/>
                    </a:stretch>
                  </pic:blipFill>
                  <pic:spPr bwMode="auto">
                    <a:xfrm>
                      <a:off x="0" y="0"/>
                      <a:ext cx="3296285" cy="1318260"/>
                    </a:xfrm>
                    <a:prstGeom prst="rect">
                      <a:avLst/>
                    </a:prstGeom>
                    <a:noFill/>
                    <a:ln w="9525">
                      <a:noFill/>
                      <a:miter lim="800000"/>
                      <a:headEnd/>
                      <a:tailEnd/>
                    </a:ln>
                  </pic:spPr>
                </pic:pic>
              </a:graphicData>
            </a:graphic>
          </wp:inline>
        </w:drawing>
      </w:r>
    </w:p>
    <w:p w:rsidR="00AF3F16" w:rsidRDefault="00AF3F16" w:rsidP="00775B9B">
      <w:pPr>
        <w:spacing w:line="480" w:lineRule="auto"/>
        <w:jc w:val="center"/>
        <w:rPr>
          <w:b/>
          <w:sz w:val="24"/>
          <w:szCs w:val="24"/>
        </w:rPr>
      </w:pPr>
    </w:p>
    <w:p w:rsidR="001623C1" w:rsidRDefault="001623C1" w:rsidP="00775B9B">
      <w:pPr>
        <w:spacing w:line="480" w:lineRule="auto"/>
        <w:jc w:val="center"/>
        <w:rPr>
          <w:b/>
          <w:sz w:val="24"/>
          <w:szCs w:val="24"/>
        </w:rPr>
      </w:pPr>
      <w:r>
        <w:rPr>
          <w:b/>
          <w:sz w:val="24"/>
          <w:szCs w:val="24"/>
        </w:rPr>
        <w:t>Automatic Interpersonal Emotion Regulation</w:t>
      </w:r>
    </w:p>
    <w:p w:rsidR="001623C1" w:rsidRDefault="001623C1" w:rsidP="00775B9B">
      <w:pPr>
        <w:spacing w:line="480" w:lineRule="auto"/>
        <w:jc w:val="center"/>
        <w:rPr>
          <w:b/>
          <w:sz w:val="24"/>
          <w:szCs w:val="24"/>
        </w:rPr>
      </w:pPr>
      <w:r>
        <w:rPr>
          <w:b/>
          <w:sz w:val="24"/>
          <w:szCs w:val="24"/>
        </w:rPr>
        <w:t>By:</w:t>
      </w:r>
    </w:p>
    <w:p w:rsidR="001623C1" w:rsidRPr="000845F4" w:rsidRDefault="001623C1" w:rsidP="00775B9B">
      <w:pPr>
        <w:spacing w:line="480" w:lineRule="auto"/>
        <w:jc w:val="center"/>
        <w:rPr>
          <w:sz w:val="24"/>
          <w:szCs w:val="24"/>
        </w:rPr>
      </w:pPr>
      <w:r w:rsidRPr="000845F4">
        <w:rPr>
          <w:sz w:val="24"/>
          <w:szCs w:val="24"/>
        </w:rPr>
        <w:t>Daría Naieli Hernández Ibar</w:t>
      </w:r>
    </w:p>
    <w:p w:rsidR="001623C1" w:rsidRDefault="001623C1" w:rsidP="00775B9B">
      <w:pPr>
        <w:spacing w:line="480" w:lineRule="auto"/>
        <w:jc w:val="center"/>
        <w:rPr>
          <w:sz w:val="24"/>
          <w:szCs w:val="24"/>
        </w:rPr>
      </w:pPr>
      <w:r w:rsidRPr="001623C1">
        <w:rPr>
          <w:sz w:val="24"/>
          <w:szCs w:val="24"/>
        </w:rPr>
        <w:t>A thesis submitted in p</w:t>
      </w:r>
      <w:r>
        <w:rPr>
          <w:sz w:val="24"/>
          <w:szCs w:val="24"/>
        </w:rPr>
        <w:t xml:space="preserve">artial fulfilment of the requirements for the degree of </w:t>
      </w:r>
      <w:r w:rsidR="00081EA5">
        <w:rPr>
          <w:sz w:val="24"/>
          <w:szCs w:val="24"/>
        </w:rPr>
        <w:t>doctor of P</w:t>
      </w:r>
      <w:r w:rsidR="00AF3F16">
        <w:rPr>
          <w:sz w:val="24"/>
          <w:szCs w:val="24"/>
        </w:rPr>
        <w:t>hilosophy</w:t>
      </w:r>
    </w:p>
    <w:p w:rsidR="00081EA5" w:rsidRDefault="00081EA5" w:rsidP="00775B9B">
      <w:pPr>
        <w:spacing w:line="480" w:lineRule="auto"/>
        <w:jc w:val="center"/>
        <w:rPr>
          <w:sz w:val="24"/>
          <w:szCs w:val="24"/>
        </w:rPr>
      </w:pPr>
      <w:r>
        <w:rPr>
          <w:sz w:val="24"/>
          <w:szCs w:val="24"/>
        </w:rPr>
        <w:t>The University of Sheffield</w:t>
      </w:r>
    </w:p>
    <w:p w:rsidR="00081EA5" w:rsidRDefault="00081EA5" w:rsidP="00775B9B">
      <w:pPr>
        <w:spacing w:line="480" w:lineRule="auto"/>
        <w:jc w:val="center"/>
        <w:rPr>
          <w:sz w:val="24"/>
          <w:szCs w:val="24"/>
        </w:rPr>
      </w:pPr>
      <w:r>
        <w:rPr>
          <w:sz w:val="24"/>
          <w:szCs w:val="24"/>
        </w:rPr>
        <w:t>Faculty of Science</w:t>
      </w:r>
    </w:p>
    <w:p w:rsidR="00081EA5" w:rsidRDefault="00081EA5" w:rsidP="00775B9B">
      <w:pPr>
        <w:spacing w:line="480" w:lineRule="auto"/>
        <w:jc w:val="center"/>
        <w:rPr>
          <w:sz w:val="24"/>
          <w:szCs w:val="24"/>
        </w:rPr>
      </w:pPr>
      <w:r>
        <w:rPr>
          <w:sz w:val="24"/>
          <w:szCs w:val="24"/>
        </w:rPr>
        <w:t>Department of Psychology</w:t>
      </w:r>
    </w:p>
    <w:p w:rsidR="00081EA5" w:rsidRDefault="00AF3F16" w:rsidP="00775B9B">
      <w:pPr>
        <w:spacing w:line="480" w:lineRule="auto"/>
        <w:jc w:val="center"/>
        <w:rPr>
          <w:sz w:val="24"/>
          <w:szCs w:val="24"/>
        </w:rPr>
      </w:pPr>
      <w:r>
        <w:rPr>
          <w:sz w:val="24"/>
          <w:szCs w:val="24"/>
        </w:rPr>
        <w:t>23</w:t>
      </w:r>
      <w:r w:rsidRPr="00AF3F16">
        <w:rPr>
          <w:sz w:val="24"/>
          <w:szCs w:val="24"/>
          <w:vertAlign w:val="superscript"/>
        </w:rPr>
        <w:t>rd</w:t>
      </w:r>
      <w:r>
        <w:rPr>
          <w:sz w:val="24"/>
          <w:szCs w:val="24"/>
        </w:rPr>
        <w:t xml:space="preserve"> of September 2016</w:t>
      </w:r>
    </w:p>
    <w:p w:rsidR="00775B9B" w:rsidRDefault="00775B9B" w:rsidP="00775B9B">
      <w:pPr>
        <w:spacing w:line="480" w:lineRule="auto"/>
        <w:jc w:val="center"/>
        <w:rPr>
          <w:sz w:val="24"/>
          <w:szCs w:val="24"/>
        </w:rPr>
      </w:pPr>
    </w:p>
    <w:p w:rsidR="00775B9B" w:rsidRDefault="00775B9B" w:rsidP="00775B9B">
      <w:pPr>
        <w:spacing w:line="480" w:lineRule="auto"/>
        <w:jc w:val="center"/>
        <w:rPr>
          <w:sz w:val="24"/>
          <w:szCs w:val="24"/>
        </w:rPr>
      </w:pPr>
    </w:p>
    <w:p w:rsidR="00775B9B" w:rsidRDefault="00775B9B" w:rsidP="00775B9B">
      <w:pPr>
        <w:spacing w:line="480" w:lineRule="auto"/>
        <w:jc w:val="center"/>
        <w:rPr>
          <w:sz w:val="24"/>
          <w:szCs w:val="24"/>
        </w:rPr>
      </w:pPr>
    </w:p>
    <w:p w:rsidR="00775B9B" w:rsidRDefault="00775B9B" w:rsidP="00775B9B">
      <w:pPr>
        <w:spacing w:line="480" w:lineRule="auto"/>
        <w:jc w:val="center"/>
        <w:rPr>
          <w:sz w:val="24"/>
          <w:szCs w:val="24"/>
        </w:rPr>
      </w:pPr>
    </w:p>
    <w:p w:rsidR="00775B9B" w:rsidRDefault="00775B9B" w:rsidP="00775B9B">
      <w:pPr>
        <w:spacing w:line="480" w:lineRule="auto"/>
        <w:jc w:val="center"/>
        <w:rPr>
          <w:sz w:val="24"/>
          <w:szCs w:val="24"/>
        </w:rPr>
      </w:pPr>
    </w:p>
    <w:p w:rsidR="00FB1389" w:rsidRDefault="00FB1389" w:rsidP="00AE640B">
      <w:pPr>
        <w:spacing w:line="480" w:lineRule="auto"/>
        <w:jc w:val="both"/>
        <w:rPr>
          <w:b/>
          <w:sz w:val="24"/>
          <w:szCs w:val="24"/>
        </w:rPr>
      </w:pPr>
      <w:r w:rsidRPr="00081EA5">
        <w:rPr>
          <w:b/>
          <w:sz w:val="24"/>
          <w:szCs w:val="24"/>
        </w:rPr>
        <w:lastRenderedPageBreak/>
        <w:t>Abstract</w:t>
      </w:r>
      <w:r w:rsidR="00590F0E">
        <w:rPr>
          <w:b/>
          <w:sz w:val="24"/>
          <w:szCs w:val="24"/>
        </w:rPr>
        <w:t xml:space="preserve"> </w:t>
      </w:r>
    </w:p>
    <w:p w:rsidR="00590F0E" w:rsidRPr="00590F0E" w:rsidRDefault="00590F0E" w:rsidP="00AE640B">
      <w:pPr>
        <w:spacing w:line="480" w:lineRule="auto"/>
        <w:jc w:val="both"/>
        <w:rPr>
          <w:sz w:val="24"/>
          <w:szCs w:val="24"/>
        </w:rPr>
      </w:pPr>
      <w:r>
        <w:rPr>
          <w:b/>
          <w:sz w:val="24"/>
          <w:szCs w:val="24"/>
        </w:rPr>
        <w:tab/>
      </w:r>
      <w:r>
        <w:rPr>
          <w:sz w:val="24"/>
          <w:szCs w:val="24"/>
        </w:rPr>
        <w:t xml:space="preserve">Automatic interpersonal emotion regulation (the things people do to modify the emotions of those they interact with without awareness of what they do to cause such changes) was explored in the present thesis in 6 empirical studies. </w:t>
      </w:r>
      <w:r w:rsidR="00817713">
        <w:rPr>
          <w:sz w:val="24"/>
          <w:szCs w:val="24"/>
        </w:rPr>
        <w:t>Study 1</w:t>
      </w:r>
      <w:r w:rsidR="005651E4">
        <w:rPr>
          <w:sz w:val="24"/>
          <w:szCs w:val="24"/>
        </w:rPr>
        <w:t xml:space="preserve"> found that people report using more strategies to improve someone else’s emotions in an automatic way with people they feel</w:t>
      </w:r>
      <w:r w:rsidR="00012752">
        <w:rPr>
          <w:sz w:val="24"/>
          <w:szCs w:val="24"/>
        </w:rPr>
        <w:t xml:space="preserve"> close to. Studies 2a and</w:t>
      </w:r>
      <w:r w:rsidR="00D544AA">
        <w:rPr>
          <w:sz w:val="24"/>
          <w:szCs w:val="24"/>
        </w:rPr>
        <w:t xml:space="preserve"> 2b </w:t>
      </w:r>
      <w:r w:rsidR="00817713">
        <w:rPr>
          <w:sz w:val="24"/>
          <w:szCs w:val="24"/>
        </w:rPr>
        <w:t xml:space="preserve">indicated that participants </w:t>
      </w:r>
      <w:r w:rsidR="005651E4">
        <w:rPr>
          <w:sz w:val="24"/>
          <w:szCs w:val="24"/>
        </w:rPr>
        <w:t xml:space="preserve">primed to worsen the emotions of someone else </w:t>
      </w:r>
      <w:r w:rsidR="00012752">
        <w:rPr>
          <w:sz w:val="24"/>
          <w:szCs w:val="24"/>
        </w:rPr>
        <w:t>behaved in a way that suggested they tried</w:t>
      </w:r>
      <w:r w:rsidR="005651E4">
        <w:rPr>
          <w:sz w:val="24"/>
          <w:szCs w:val="24"/>
        </w:rPr>
        <w:t xml:space="preserve"> to</w:t>
      </w:r>
      <w:r w:rsidR="00817713">
        <w:rPr>
          <w:sz w:val="24"/>
          <w:szCs w:val="24"/>
        </w:rPr>
        <w:t xml:space="preserve"> worsen someone else’s emotions</w:t>
      </w:r>
      <w:r w:rsidR="005651E4">
        <w:rPr>
          <w:sz w:val="24"/>
          <w:szCs w:val="24"/>
        </w:rPr>
        <w:t xml:space="preserve"> in comparison to participants who were </w:t>
      </w:r>
      <w:r w:rsidR="00817713">
        <w:rPr>
          <w:sz w:val="24"/>
          <w:szCs w:val="24"/>
        </w:rPr>
        <w:t>not primed. Furthermore, s</w:t>
      </w:r>
      <w:r w:rsidR="005651E4">
        <w:rPr>
          <w:sz w:val="24"/>
          <w:szCs w:val="24"/>
        </w:rPr>
        <w:t>tudies</w:t>
      </w:r>
      <w:r w:rsidR="00817713">
        <w:rPr>
          <w:sz w:val="24"/>
          <w:szCs w:val="24"/>
        </w:rPr>
        <w:t xml:space="preserve"> 2a, 2b and 2c</w:t>
      </w:r>
      <w:r w:rsidR="005651E4">
        <w:rPr>
          <w:sz w:val="24"/>
          <w:szCs w:val="24"/>
        </w:rPr>
        <w:t xml:space="preserve"> suggest that having an explicit goal to worsen the emotions of another person mediates the effect of the prime.  </w:t>
      </w:r>
      <w:r w:rsidR="004A5E7A">
        <w:rPr>
          <w:sz w:val="24"/>
          <w:szCs w:val="24"/>
        </w:rPr>
        <w:t>In study 3</w:t>
      </w:r>
      <w:r w:rsidR="00817713">
        <w:rPr>
          <w:sz w:val="24"/>
          <w:szCs w:val="24"/>
        </w:rPr>
        <w:t>,</w:t>
      </w:r>
      <w:r w:rsidR="004A5E7A">
        <w:rPr>
          <w:sz w:val="24"/>
          <w:szCs w:val="24"/>
        </w:rPr>
        <w:t xml:space="preserve"> a measure of self-control depletion during</w:t>
      </w:r>
      <w:r w:rsidR="00817713">
        <w:rPr>
          <w:sz w:val="24"/>
          <w:szCs w:val="24"/>
        </w:rPr>
        <w:t xml:space="preserve"> the working day was developed in the hope </w:t>
      </w:r>
      <w:r w:rsidR="004A5E7A">
        <w:rPr>
          <w:sz w:val="24"/>
          <w:szCs w:val="24"/>
        </w:rPr>
        <w:t>to</w:t>
      </w:r>
      <w:r w:rsidR="00817713">
        <w:rPr>
          <w:sz w:val="24"/>
          <w:szCs w:val="24"/>
        </w:rPr>
        <w:t xml:space="preserve"> have an instrument that would help researchers to identify people who were</w:t>
      </w:r>
      <w:r w:rsidR="004A5E7A">
        <w:rPr>
          <w:sz w:val="24"/>
          <w:szCs w:val="24"/>
        </w:rPr>
        <w:t xml:space="preserve"> depleted of self-control </w:t>
      </w:r>
      <w:r w:rsidR="00817713">
        <w:rPr>
          <w:sz w:val="24"/>
          <w:szCs w:val="24"/>
        </w:rPr>
        <w:t>(</w:t>
      </w:r>
      <w:r w:rsidR="004A5E7A">
        <w:rPr>
          <w:sz w:val="24"/>
          <w:szCs w:val="24"/>
        </w:rPr>
        <w:t>as the literature suggest that people who are depleted of self-control are more likely to act automatically</w:t>
      </w:r>
      <w:r w:rsidR="00817713">
        <w:rPr>
          <w:sz w:val="24"/>
          <w:szCs w:val="24"/>
        </w:rPr>
        <w:t>)</w:t>
      </w:r>
      <w:r w:rsidR="004A5E7A">
        <w:rPr>
          <w:sz w:val="24"/>
          <w:szCs w:val="24"/>
        </w:rPr>
        <w:t xml:space="preserve">. Nevertheless, it was not possible to identify </w:t>
      </w:r>
      <w:r w:rsidR="00012752">
        <w:rPr>
          <w:sz w:val="24"/>
          <w:szCs w:val="24"/>
        </w:rPr>
        <w:t>self-control depletion from this</w:t>
      </w:r>
      <w:r w:rsidR="00474E80">
        <w:rPr>
          <w:sz w:val="24"/>
          <w:szCs w:val="24"/>
        </w:rPr>
        <w:t xml:space="preserve"> new measure </w:t>
      </w:r>
      <w:r w:rsidR="00817713">
        <w:rPr>
          <w:sz w:val="24"/>
          <w:szCs w:val="24"/>
        </w:rPr>
        <w:t>(as observed in the scores of participants on a Stroop task). T</w:t>
      </w:r>
      <w:r w:rsidR="00D544AA">
        <w:rPr>
          <w:sz w:val="24"/>
          <w:szCs w:val="24"/>
        </w:rPr>
        <w:t xml:space="preserve">hus, </w:t>
      </w:r>
      <w:r w:rsidR="00474E80">
        <w:rPr>
          <w:sz w:val="24"/>
          <w:szCs w:val="24"/>
        </w:rPr>
        <w:t xml:space="preserve">the further exploration between self-control depletion and automatic interpersonal emotion regulation could not be carried out. Instead, </w:t>
      </w:r>
      <w:r w:rsidR="00817713">
        <w:rPr>
          <w:sz w:val="24"/>
          <w:szCs w:val="24"/>
        </w:rPr>
        <w:t>S</w:t>
      </w:r>
      <w:r w:rsidR="00474E80">
        <w:rPr>
          <w:sz w:val="24"/>
          <w:szCs w:val="24"/>
        </w:rPr>
        <w:t xml:space="preserve">tudy 4 </w:t>
      </w:r>
      <w:r w:rsidR="00817713">
        <w:rPr>
          <w:sz w:val="24"/>
          <w:szCs w:val="24"/>
        </w:rPr>
        <w:t xml:space="preserve">was conducted, to explore </w:t>
      </w:r>
      <w:r w:rsidR="00474E80">
        <w:rPr>
          <w:sz w:val="24"/>
          <w:szCs w:val="24"/>
        </w:rPr>
        <w:t>the association between cogn</w:t>
      </w:r>
      <w:r w:rsidR="00817713">
        <w:rPr>
          <w:sz w:val="24"/>
          <w:szCs w:val="24"/>
        </w:rPr>
        <w:t>iti</w:t>
      </w:r>
      <w:r w:rsidR="00012752">
        <w:rPr>
          <w:sz w:val="24"/>
          <w:szCs w:val="24"/>
        </w:rPr>
        <w:t>ve load and automatic interpersonal emotion regulation</w:t>
      </w:r>
      <w:r w:rsidR="00474E80">
        <w:rPr>
          <w:sz w:val="24"/>
          <w:szCs w:val="24"/>
        </w:rPr>
        <w:t xml:space="preserve">. </w:t>
      </w:r>
      <w:r w:rsidR="00817713">
        <w:rPr>
          <w:sz w:val="24"/>
          <w:szCs w:val="24"/>
        </w:rPr>
        <w:t xml:space="preserve">The results suggest that </w:t>
      </w:r>
      <w:r w:rsidR="00474E80">
        <w:rPr>
          <w:sz w:val="24"/>
          <w:szCs w:val="24"/>
        </w:rPr>
        <w:t>participants</w:t>
      </w:r>
      <w:r w:rsidR="00D544AA">
        <w:rPr>
          <w:sz w:val="24"/>
          <w:szCs w:val="24"/>
        </w:rPr>
        <w:t xml:space="preserve"> under high cognitive load </w:t>
      </w:r>
      <w:r w:rsidR="00474E80">
        <w:rPr>
          <w:sz w:val="24"/>
          <w:szCs w:val="24"/>
        </w:rPr>
        <w:t>e</w:t>
      </w:r>
      <w:r w:rsidR="00D544AA">
        <w:rPr>
          <w:sz w:val="24"/>
          <w:szCs w:val="24"/>
        </w:rPr>
        <w:t>xerted less effort to regulate</w:t>
      </w:r>
      <w:r w:rsidR="00474E80">
        <w:rPr>
          <w:sz w:val="24"/>
          <w:szCs w:val="24"/>
        </w:rPr>
        <w:t xml:space="preserve"> someone els</w:t>
      </w:r>
      <w:r w:rsidR="00817713">
        <w:rPr>
          <w:sz w:val="24"/>
          <w:szCs w:val="24"/>
        </w:rPr>
        <w:t xml:space="preserve">e’s emotions, </w:t>
      </w:r>
      <w:r w:rsidR="00474E80">
        <w:rPr>
          <w:sz w:val="24"/>
          <w:szCs w:val="24"/>
        </w:rPr>
        <w:t xml:space="preserve">that self-control depletion and high cognitive load made participants less aware of using IER </w:t>
      </w:r>
      <w:r w:rsidR="00D544AA">
        <w:rPr>
          <w:sz w:val="24"/>
          <w:szCs w:val="24"/>
        </w:rPr>
        <w:t>strategies and also influenced the</w:t>
      </w:r>
      <w:r w:rsidR="00012752">
        <w:rPr>
          <w:sz w:val="24"/>
          <w:szCs w:val="24"/>
        </w:rPr>
        <w:t>ir</w:t>
      </w:r>
      <w:r w:rsidR="00D544AA">
        <w:rPr>
          <w:sz w:val="24"/>
          <w:szCs w:val="24"/>
        </w:rPr>
        <w:t xml:space="preserve"> levels of intention</w:t>
      </w:r>
      <w:r w:rsidR="00012752">
        <w:rPr>
          <w:sz w:val="24"/>
          <w:szCs w:val="24"/>
        </w:rPr>
        <w:t xml:space="preserve"> </w:t>
      </w:r>
      <w:r w:rsidR="00474E80">
        <w:rPr>
          <w:sz w:val="24"/>
          <w:szCs w:val="24"/>
        </w:rPr>
        <w:t>to u</w:t>
      </w:r>
      <w:r w:rsidR="00D544AA">
        <w:rPr>
          <w:sz w:val="24"/>
          <w:szCs w:val="24"/>
        </w:rPr>
        <w:t>se IER</w:t>
      </w:r>
      <w:r w:rsidR="00012752">
        <w:rPr>
          <w:sz w:val="24"/>
          <w:szCs w:val="24"/>
        </w:rPr>
        <w:t xml:space="preserve">  (by decreasing them)</w:t>
      </w:r>
      <w:r w:rsidR="00D544AA">
        <w:rPr>
          <w:sz w:val="24"/>
          <w:szCs w:val="24"/>
        </w:rPr>
        <w:t xml:space="preserve">. </w:t>
      </w:r>
      <w:r w:rsidR="00D544AA">
        <w:rPr>
          <w:sz w:val="24"/>
          <w:szCs w:val="24"/>
        </w:rPr>
        <w:lastRenderedPageBreak/>
        <w:t>Overall, these studies suggest</w:t>
      </w:r>
      <w:r w:rsidR="00474E80">
        <w:rPr>
          <w:sz w:val="24"/>
          <w:szCs w:val="24"/>
        </w:rPr>
        <w:t xml:space="preserve"> that AIER exists and that it is possible to study it empirically.</w:t>
      </w:r>
    </w:p>
    <w:p w:rsidR="002D3896" w:rsidRPr="002D3896" w:rsidRDefault="002D3896" w:rsidP="002D3896">
      <w:pPr>
        <w:spacing w:line="480" w:lineRule="auto"/>
        <w:jc w:val="both"/>
        <w:rPr>
          <w:b/>
          <w:sz w:val="24"/>
          <w:szCs w:val="24"/>
        </w:rPr>
      </w:pPr>
      <w:r w:rsidRPr="002D3896">
        <w:rPr>
          <w:b/>
          <w:sz w:val="24"/>
          <w:szCs w:val="24"/>
        </w:rPr>
        <w:t xml:space="preserve">Summary </w:t>
      </w:r>
    </w:p>
    <w:p w:rsidR="00697C2B" w:rsidRPr="00697C2B" w:rsidRDefault="00FB1389" w:rsidP="00697C2B">
      <w:pPr>
        <w:spacing w:line="480" w:lineRule="auto"/>
        <w:ind w:firstLine="720"/>
        <w:jc w:val="both"/>
        <w:rPr>
          <w:sz w:val="24"/>
          <w:szCs w:val="24"/>
        </w:rPr>
      </w:pPr>
      <w:r w:rsidRPr="00D05EBD">
        <w:rPr>
          <w:sz w:val="24"/>
          <w:szCs w:val="24"/>
        </w:rPr>
        <w:t>Interpersonal emotion regulation (hereafter, “IER”) refers to the things that people do to modify the emotions of others. Several aspects of IER have been studied such as the different strategies used to modify someone else’s emotions and the aims that people pursue when engaging in IER. However, the extent to which people regulate someone else’s emotions automatically (with</w:t>
      </w:r>
      <w:r w:rsidR="001A798E">
        <w:rPr>
          <w:sz w:val="24"/>
          <w:szCs w:val="24"/>
        </w:rPr>
        <w:t xml:space="preserve"> little or no awareness, intention</w:t>
      </w:r>
      <w:r w:rsidRPr="00D05EBD">
        <w:rPr>
          <w:sz w:val="24"/>
          <w:szCs w:val="24"/>
        </w:rPr>
        <w:t xml:space="preserve"> and/or effort) has not been explored much. Therefore, this thesis concerns </w:t>
      </w:r>
      <w:r w:rsidRPr="00D05EBD">
        <w:rPr>
          <w:i/>
          <w:sz w:val="24"/>
          <w:szCs w:val="24"/>
        </w:rPr>
        <w:t>automatic</w:t>
      </w:r>
      <w:r w:rsidRPr="00D05EBD">
        <w:rPr>
          <w:sz w:val="24"/>
          <w:szCs w:val="24"/>
        </w:rPr>
        <w:t xml:space="preserve"> IER (hereafter, “AIER”). AIER refers to the things that people do aimed at modifying or influencing the emotions of those they interact with, without awareness of what they are doing to cause such an influence or the intentionality of such behaviour.  Six empirical studies were conducted to explore how AIER can be measured and the circumstances under which AIER occurs. </w:t>
      </w:r>
    </w:p>
    <w:p w:rsidR="00FB1389" w:rsidRPr="00D05EBD" w:rsidRDefault="00FB1389" w:rsidP="00AE640B">
      <w:pPr>
        <w:spacing w:line="480" w:lineRule="auto"/>
        <w:ind w:firstLine="720"/>
        <w:jc w:val="both"/>
        <w:rPr>
          <w:sz w:val="24"/>
          <w:szCs w:val="24"/>
        </w:rPr>
      </w:pPr>
      <w:r w:rsidRPr="00D05EBD">
        <w:rPr>
          <w:sz w:val="24"/>
          <w:szCs w:val="24"/>
        </w:rPr>
        <w:t>Study 1 explored whether people are more likely to use improving (making someone feel better) or worsening  (making someone feel worse) forms of AIER when interacting with people that they feel close to and with people that they do not feel close to.  A self-report questionnaire found that participants reported using improving forms of AIER with close others. Participants also reported using both improving and worsening forms of IER, in a less automatic way with people with whom they are not close to.</w:t>
      </w:r>
    </w:p>
    <w:p w:rsidR="00FB1389" w:rsidRPr="00D05EBD" w:rsidRDefault="00FB1389" w:rsidP="00A46B68">
      <w:pPr>
        <w:spacing w:line="480" w:lineRule="auto"/>
        <w:ind w:firstLine="720"/>
        <w:jc w:val="both"/>
        <w:rPr>
          <w:sz w:val="24"/>
          <w:szCs w:val="24"/>
        </w:rPr>
      </w:pPr>
      <w:r w:rsidRPr="00D05EBD">
        <w:rPr>
          <w:sz w:val="24"/>
          <w:szCs w:val="24"/>
        </w:rPr>
        <w:lastRenderedPageBreak/>
        <w:t>Studies 2a, 2b and 2c used a priming paradigm in a series of experiments in an attempt to elicit AIER.</w:t>
      </w:r>
      <w:r w:rsidR="002D3896">
        <w:rPr>
          <w:sz w:val="24"/>
          <w:szCs w:val="24"/>
        </w:rPr>
        <w:t xml:space="preserve"> After, s</w:t>
      </w:r>
      <w:r w:rsidRPr="00D05EBD">
        <w:rPr>
          <w:sz w:val="24"/>
          <w:szCs w:val="24"/>
        </w:rPr>
        <w:t>ubjects were given the option to choose between improving or worsening the emotions of someone else. These three studies found that it was possible to prime participants to worsen the emotions of others, but that the success of the prime depended upon the subject choosing the goal of worsening the emotions of someone else and the context of where the regulation occurred</w:t>
      </w:r>
      <w:r w:rsidR="002D3896">
        <w:rPr>
          <w:sz w:val="24"/>
          <w:szCs w:val="24"/>
        </w:rPr>
        <w:t xml:space="preserve"> (i.e. a fictional context or a familiar context)</w:t>
      </w:r>
      <w:r w:rsidRPr="00D05EBD">
        <w:rPr>
          <w:sz w:val="24"/>
          <w:szCs w:val="24"/>
        </w:rPr>
        <w:t xml:space="preserve">. </w:t>
      </w:r>
    </w:p>
    <w:p w:rsidR="00FB1389" w:rsidRPr="00D05EBD" w:rsidRDefault="00FB1389" w:rsidP="00AE640B">
      <w:pPr>
        <w:spacing w:line="480" w:lineRule="auto"/>
        <w:ind w:firstLine="720"/>
        <w:jc w:val="both"/>
        <w:rPr>
          <w:sz w:val="24"/>
          <w:szCs w:val="24"/>
        </w:rPr>
      </w:pPr>
      <w:r w:rsidRPr="00D05EBD">
        <w:rPr>
          <w:sz w:val="24"/>
          <w:szCs w:val="24"/>
        </w:rPr>
        <w:t xml:space="preserve">Study 3 investigated an alternative means of studying AIER by investigating whether IER occurs even when peoples’ self-control resources are depleted. Previous research has established that the exertion of self-control leads to a state of ego-depletion (a temporary impairment of self-control) that reduces peoples’ willingness or ability to regulate emotion in a controlled way. Following this idea, study 3 examined whether exerting self-control during the day leads to a state of ego-depletion, as measured by performance on a Stroop task. If ego-depletion could be detected then it would be possible to study whether depleted people are more or less likely to use AIER, as automaticity of behaviour has been linked to poor self-control. Unfortunately, </w:t>
      </w:r>
      <w:r w:rsidRPr="00D05EBD">
        <w:rPr>
          <w:rFonts w:cs="Times New Roman"/>
          <w:sz w:val="24"/>
          <w:szCs w:val="24"/>
        </w:rPr>
        <w:t>Study 3 found no effect of reported use of self-control on the Stroop task, suggesting that the measure did not accurately reflect use of self-control and, thus, it was not</w:t>
      </w:r>
      <w:r w:rsidRPr="00D05EBD">
        <w:rPr>
          <w:sz w:val="24"/>
          <w:szCs w:val="24"/>
        </w:rPr>
        <w:t xml:space="preserve"> possible to examine whether the use of self-control was associated with the use of AIER. </w:t>
      </w:r>
    </w:p>
    <w:p w:rsidR="00FB1389" w:rsidRPr="00D05EBD" w:rsidRDefault="00FB1389" w:rsidP="00AE640B">
      <w:pPr>
        <w:spacing w:line="480" w:lineRule="auto"/>
        <w:ind w:firstLine="720"/>
        <w:jc w:val="both"/>
        <w:rPr>
          <w:sz w:val="24"/>
          <w:szCs w:val="24"/>
        </w:rPr>
      </w:pPr>
      <w:r w:rsidRPr="00D05EBD">
        <w:rPr>
          <w:sz w:val="24"/>
          <w:szCs w:val="24"/>
        </w:rPr>
        <w:t xml:space="preserve">Study 4 focused on a different way to examine AIER by manipulating cognitive load to see whether doing so influenced the likelihood that people would use more automatic forms of IER when interacting with a potential romantic partner (during a speed dating event). Results showed that participants exerted less effort to use IER </w:t>
      </w:r>
      <w:r w:rsidRPr="00D05EBD">
        <w:rPr>
          <w:sz w:val="24"/>
          <w:szCs w:val="24"/>
        </w:rPr>
        <w:lastRenderedPageBreak/>
        <w:t>when under high cognitive load (as compared to participants under low cognitive load), and, that regulatory depletion (caused by a consecutive use of IER) may have made participants under cognitive load less aware of using IER and less likely to intentionally try to make their dates feel better. These findings suggest that cognitive load has an effect on the use of IER. Specifically that it increases the likelihood of people being less aware of using IER, reduces the effort required to use IER and reduces the frequency of engaging in less intentional forms of IER. This could indicate that people rely more on automatic forms of IER when under high cognitive load, especially if they are depleted of their regulatory resources.</w:t>
      </w:r>
    </w:p>
    <w:p w:rsidR="00FB1389" w:rsidRPr="00D05EBD" w:rsidRDefault="00FB1389" w:rsidP="00AE640B">
      <w:pPr>
        <w:spacing w:line="480" w:lineRule="auto"/>
        <w:ind w:firstLine="720"/>
        <w:jc w:val="both"/>
        <w:rPr>
          <w:sz w:val="24"/>
          <w:szCs w:val="24"/>
        </w:rPr>
      </w:pPr>
      <w:r w:rsidRPr="00D05EBD">
        <w:rPr>
          <w:sz w:val="24"/>
          <w:szCs w:val="24"/>
        </w:rPr>
        <w:t>From the findings of these six studies it is concluded that AIER happens and that it can be observed empirically using different methods. Also, that there are circumstances that render people more likely to engage in AIER, such as being under high cognitive load. The methods presented in this thesis could potentially help researchers further investigate different aspects of AIER, such as in which kind of relationships it occurs, how to instigate IER unobtrusively, and the circumstances under which it occurs. Nevertheless, more work is needed to fully understand AIER, such as the motives behind it, and whether it is beneficial or detrimental to people’s lives and relationships.</w:t>
      </w:r>
    </w:p>
    <w:p w:rsidR="00B42CD1" w:rsidRDefault="00B42CD1" w:rsidP="00AE640B">
      <w:pPr>
        <w:spacing w:line="480" w:lineRule="auto"/>
        <w:jc w:val="both"/>
        <w:rPr>
          <w:b/>
          <w:sz w:val="24"/>
          <w:szCs w:val="24"/>
        </w:rPr>
      </w:pPr>
    </w:p>
    <w:p w:rsidR="00B42CD1" w:rsidRDefault="00B42CD1" w:rsidP="00AE640B">
      <w:pPr>
        <w:spacing w:line="480" w:lineRule="auto"/>
        <w:jc w:val="both"/>
        <w:rPr>
          <w:b/>
          <w:sz w:val="24"/>
          <w:szCs w:val="24"/>
        </w:rPr>
      </w:pPr>
    </w:p>
    <w:p w:rsidR="00B42CD1" w:rsidRDefault="00B42CD1" w:rsidP="00AE640B">
      <w:pPr>
        <w:spacing w:line="480" w:lineRule="auto"/>
        <w:jc w:val="both"/>
        <w:rPr>
          <w:b/>
          <w:sz w:val="24"/>
          <w:szCs w:val="24"/>
        </w:rPr>
      </w:pPr>
    </w:p>
    <w:p w:rsidR="00B42CD1" w:rsidRDefault="00B42CD1" w:rsidP="00AE640B">
      <w:pPr>
        <w:spacing w:line="480" w:lineRule="auto"/>
        <w:jc w:val="both"/>
        <w:rPr>
          <w:b/>
          <w:sz w:val="24"/>
          <w:szCs w:val="24"/>
        </w:rPr>
      </w:pPr>
    </w:p>
    <w:p w:rsidR="00FB1389" w:rsidRPr="00D05EBD" w:rsidRDefault="00FB1389" w:rsidP="00AE640B">
      <w:pPr>
        <w:spacing w:line="480" w:lineRule="auto"/>
        <w:jc w:val="both"/>
        <w:rPr>
          <w:b/>
          <w:sz w:val="24"/>
          <w:szCs w:val="24"/>
        </w:rPr>
      </w:pPr>
      <w:r w:rsidRPr="00D05EBD">
        <w:rPr>
          <w:b/>
          <w:sz w:val="24"/>
          <w:szCs w:val="24"/>
        </w:rPr>
        <w:lastRenderedPageBreak/>
        <w:t xml:space="preserve">Acknowledgements </w:t>
      </w:r>
    </w:p>
    <w:p w:rsidR="00D05EBD" w:rsidRPr="00D05EBD" w:rsidRDefault="00D05EBD" w:rsidP="00AE640B">
      <w:pPr>
        <w:spacing w:line="480" w:lineRule="auto"/>
        <w:ind w:firstLine="720"/>
        <w:jc w:val="both"/>
        <w:rPr>
          <w:sz w:val="24"/>
          <w:szCs w:val="24"/>
        </w:rPr>
      </w:pPr>
      <w:r>
        <w:rPr>
          <w:sz w:val="24"/>
          <w:szCs w:val="24"/>
        </w:rPr>
        <w:t xml:space="preserve">First I would like to thank my two great </w:t>
      </w:r>
      <w:r w:rsidRPr="00D05EBD">
        <w:rPr>
          <w:sz w:val="24"/>
          <w:szCs w:val="24"/>
        </w:rPr>
        <w:t>supervisors</w:t>
      </w:r>
      <w:r>
        <w:rPr>
          <w:sz w:val="24"/>
          <w:szCs w:val="24"/>
        </w:rPr>
        <w:t>,</w:t>
      </w:r>
      <w:r w:rsidRPr="00D05EBD">
        <w:rPr>
          <w:sz w:val="24"/>
          <w:szCs w:val="24"/>
        </w:rPr>
        <w:t xml:space="preserve"> T</w:t>
      </w:r>
      <w:r>
        <w:rPr>
          <w:sz w:val="24"/>
          <w:szCs w:val="24"/>
        </w:rPr>
        <w:t>homas Webb and Peter Totterdell. I would not have been able to complete this thesis without their</w:t>
      </w:r>
      <w:r w:rsidRPr="00D05EBD">
        <w:rPr>
          <w:sz w:val="24"/>
          <w:szCs w:val="24"/>
        </w:rPr>
        <w:t xml:space="preserve"> excellent academic guidance </w:t>
      </w:r>
      <w:r>
        <w:rPr>
          <w:sz w:val="24"/>
          <w:szCs w:val="24"/>
        </w:rPr>
        <w:t>and their</w:t>
      </w:r>
      <w:r w:rsidRPr="00D05EBD">
        <w:rPr>
          <w:sz w:val="24"/>
          <w:szCs w:val="24"/>
        </w:rPr>
        <w:t xml:space="preserve"> moral support</w:t>
      </w:r>
      <w:r>
        <w:rPr>
          <w:sz w:val="24"/>
          <w:szCs w:val="24"/>
        </w:rPr>
        <w:t xml:space="preserve"> during the difficult times</w:t>
      </w:r>
      <w:r w:rsidRPr="00D05EBD">
        <w:rPr>
          <w:sz w:val="24"/>
          <w:szCs w:val="24"/>
        </w:rPr>
        <w:t xml:space="preserve">. </w:t>
      </w:r>
    </w:p>
    <w:p w:rsidR="00D05EBD" w:rsidRDefault="00DE12B0" w:rsidP="00AE640B">
      <w:pPr>
        <w:spacing w:line="480" w:lineRule="auto"/>
        <w:ind w:firstLine="720"/>
        <w:jc w:val="both"/>
        <w:rPr>
          <w:sz w:val="24"/>
          <w:szCs w:val="24"/>
        </w:rPr>
      </w:pPr>
      <w:r w:rsidRPr="00D05EBD">
        <w:rPr>
          <w:sz w:val="24"/>
          <w:szCs w:val="24"/>
        </w:rPr>
        <w:t xml:space="preserve">I would </w:t>
      </w:r>
      <w:r w:rsidR="00D05EBD">
        <w:rPr>
          <w:sz w:val="24"/>
          <w:szCs w:val="24"/>
        </w:rPr>
        <w:t xml:space="preserve">also </w:t>
      </w:r>
      <w:r w:rsidRPr="00D05EBD">
        <w:rPr>
          <w:sz w:val="24"/>
          <w:szCs w:val="24"/>
        </w:rPr>
        <w:t>like</w:t>
      </w:r>
      <w:r w:rsidR="00D05EBD">
        <w:rPr>
          <w:sz w:val="24"/>
          <w:szCs w:val="24"/>
        </w:rPr>
        <w:t xml:space="preserve"> to thank all the people </w:t>
      </w:r>
      <w:r w:rsidR="00C23F22">
        <w:rPr>
          <w:sz w:val="24"/>
          <w:szCs w:val="24"/>
        </w:rPr>
        <w:t>that took part in this research. Special thanks to my office mate, Tom, who</w:t>
      </w:r>
      <w:r w:rsidR="00C3445D">
        <w:rPr>
          <w:sz w:val="24"/>
          <w:szCs w:val="24"/>
        </w:rPr>
        <w:t xml:space="preserve"> </w:t>
      </w:r>
      <w:r w:rsidR="00A13296">
        <w:rPr>
          <w:sz w:val="24"/>
          <w:szCs w:val="24"/>
        </w:rPr>
        <w:t>always listened to my doubts and offered good advice to solve them</w:t>
      </w:r>
      <w:r w:rsidR="00C3445D">
        <w:rPr>
          <w:sz w:val="24"/>
          <w:szCs w:val="24"/>
        </w:rPr>
        <w:t>.</w:t>
      </w:r>
      <w:r w:rsidR="00D21F2C">
        <w:rPr>
          <w:sz w:val="24"/>
          <w:szCs w:val="24"/>
        </w:rPr>
        <w:t xml:space="preserve"> I would also like to acknowledge my </w:t>
      </w:r>
      <w:r w:rsidR="00C23F22">
        <w:rPr>
          <w:sz w:val="24"/>
          <w:szCs w:val="24"/>
        </w:rPr>
        <w:t>colleagues and friends</w:t>
      </w:r>
      <w:r w:rsidR="00D21F2C">
        <w:rPr>
          <w:sz w:val="24"/>
          <w:szCs w:val="24"/>
        </w:rPr>
        <w:t>,</w:t>
      </w:r>
      <w:r w:rsidR="00D05EBD">
        <w:rPr>
          <w:sz w:val="24"/>
          <w:szCs w:val="24"/>
        </w:rPr>
        <w:t xml:space="preserve"> </w:t>
      </w:r>
      <w:proofErr w:type="spellStart"/>
      <w:r w:rsidR="00D05EBD">
        <w:rPr>
          <w:sz w:val="24"/>
          <w:szCs w:val="24"/>
        </w:rPr>
        <w:t>Raúl</w:t>
      </w:r>
      <w:proofErr w:type="spellEnd"/>
      <w:r w:rsidR="00D05EBD">
        <w:rPr>
          <w:sz w:val="24"/>
          <w:szCs w:val="24"/>
        </w:rPr>
        <w:t>, Giulia, Tom</w:t>
      </w:r>
      <w:r w:rsidR="00C3445D">
        <w:rPr>
          <w:sz w:val="24"/>
          <w:szCs w:val="24"/>
        </w:rPr>
        <w:t xml:space="preserve"> (again)</w:t>
      </w:r>
      <w:r w:rsidR="00D05EBD">
        <w:rPr>
          <w:sz w:val="24"/>
          <w:szCs w:val="24"/>
        </w:rPr>
        <w:t>, Betty</w:t>
      </w:r>
      <w:r w:rsidR="00D21F2C">
        <w:rPr>
          <w:sz w:val="24"/>
          <w:szCs w:val="24"/>
        </w:rPr>
        <w:t xml:space="preserve">, </w:t>
      </w:r>
      <w:r w:rsidR="00D05EBD">
        <w:rPr>
          <w:sz w:val="24"/>
          <w:szCs w:val="24"/>
        </w:rPr>
        <w:t>Javier</w:t>
      </w:r>
      <w:r w:rsidR="00D21F2C">
        <w:rPr>
          <w:sz w:val="24"/>
          <w:szCs w:val="24"/>
        </w:rPr>
        <w:t xml:space="preserve"> and </w:t>
      </w:r>
      <w:proofErr w:type="spellStart"/>
      <w:r w:rsidR="00D21F2C">
        <w:rPr>
          <w:sz w:val="24"/>
          <w:szCs w:val="24"/>
        </w:rPr>
        <w:t>Sofía</w:t>
      </w:r>
      <w:proofErr w:type="spellEnd"/>
      <w:r w:rsidR="00C23F22">
        <w:rPr>
          <w:sz w:val="24"/>
          <w:szCs w:val="24"/>
        </w:rPr>
        <w:t xml:space="preserve"> who kindly helped as research assistants</w:t>
      </w:r>
      <w:r w:rsidR="00DE481D">
        <w:rPr>
          <w:sz w:val="24"/>
          <w:szCs w:val="24"/>
        </w:rPr>
        <w:t xml:space="preserve"> and that contributed to the full experience of the PhD with interesting talks and necessary distractions.</w:t>
      </w:r>
      <w:r w:rsidR="00C3445D">
        <w:rPr>
          <w:sz w:val="24"/>
          <w:szCs w:val="24"/>
        </w:rPr>
        <w:t xml:space="preserve"> </w:t>
      </w:r>
      <w:r w:rsidRPr="00D05EBD">
        <w:rPr>
          <w:sz w:val="24"/>
          <w:szCs w:val="24"/>
        </w:rPr>
        <w:t xml:space="preserve"> </w:t>
      </w:r>
    </w:p>
    <w:p w:rsidR="00DE12B0" w:rsidRPr="00D9760C" w:rsidRDefault="00140EE0" w:rsidP="00AE640B">
      <w:pPr>
        <w:spacing w:line="480" w:lineRule="auto"/>
        <w:ind w:firstLine="720"/>
        <w:jc w:val="both"/>
        <w:rPr>
          <w:sz w:val="24"/>
          <w:szCs w:val="24"/>
          <w:lang w:val="es-MX"/>
        </w:rPr>
      </w:pPr>
      <w:r>
        <w:rPr>
          <w:sz w:val="24"/>
          <w:szCs w:val="24"/>
        </w:rPr>
        <w:t>Special</w:t>
      </w:r>
      <w:r w:rsidR="00DE12B0" w:rsidRPr="00D05EBD">
        <w:rPr>
          <w:sz w:val="24"/>
          <w:szCs w:val="24"/>
        </w:rPr>
        <w:t xml:space="preserve"> </w:t>
      </w:r>
      <w:r>
        <w:rPr>
          <w:sz w:val="24"/>
          <w:szCs w:val="24"/>
        </w:rPr>
        <w:t>acknowledgements to</w:t>
      </w:r>
      <w:r w:rsidR="00DE12B0" w:rsidRPr="00D05EBD">
        <w:rPr>
          <w:sz w:val="24"/>
          <w:szCs w:val="24"/>
        </w:rPr>
        <w:t xml:space="preserve"> my family, </w:t>
      </w:r>
      <w:r>
        <w:rPr>
          <w:sz w:val="24"/>
          <w:szCs w:val="24"/>
        </w:rPr>
        <w:t>and</w:t>
      </w:r>
      <w:r w:rsidR="00DE12B0" w:rsidRPr="00D05EBD">
        <w:rPr>
          <w:sz w:val="24"/>
          <w:szCs w:val="24"/>
        </w:rPr>
        <w:t xml:space="preserve"> to my mum </w:t>
      </w:r>
      <w:r w:rsidR="002649F1">
        <w:rPr>
          <w:sz w:val="24"/>
          <w:szCs w:val="24"/>
        </w:rPr>
        <w:t xml:space="preserve">in particular. It would have not been possible for me to </w:t>
      </w:r>
      <w:r w:rsidR="00A13296">
        <w:rPr>
          <w:sz w:val="24"/>
          <w:szCs w:val="24"/>
        </w:rPr>
        <w:t>do this</w:t>
      </w:r>
      <w:r w:rsidR="00DE12B0" w:rsidRPr="00D05EBD">
        <w:rPr>
          <w:sz w:val="24"/>
          <w:szCs w:val="24"/>
        </w:rPr>
        <w:t xml:space="preserve"> P</w:t>
      </w:r>
      <w:r w:rsidR="00A13296">
        <w:rPr>
          <w:sz w:val="24"/>
          <w:szCs w:val="24"/>
        </w:rPr>
        <w:t xml:space="preserve">hD without her help, always encouraging me to keep studying and forcing me to keep attending my English classes when I was a stubborn teenager. </w:t>
      </w:r>
      <w:r w:rsidR="00A13296" w:rsidRPr="00D9760C">
        <w:rPr>
          <w:sz w:val="24"/>
          <w:szCs w:val="24"/>
          <w:lang w:val="es-MX"/>
        </w:rPr>
        <w:t xml:space="preserve">I </w:t>
      </w:r>
      <w:proofErr w:type="spellStart"/>
      <w:r w:rsidR="00A13296" w:rsidRPr="00D9760C">
        <w:rPr>
          <w:sz w:val="24"/>
          <w:szCs w:val="24"/>
          <w:lang w:val="es-MX"/>
        </w:rPr>
        <w:t>would</w:t>
      </w:r>
      <w:proofErr w:type="spellEnd"/>
      <w:r w:rsidR="00A13296" w:rsidRPr="00D9760C">
        <w:rPr>
          <w:sz w:val="24"/>
          <w:szCs w:val="24"/>
          <w:lang w:val="es-MX"/>
        </w:rPr>
        <w:t xml:space="preserve"> </w:t>
      </w:r>
      <w:proofErr w:type="spellStart"/>
      <w:r w:rsidR="00A13296" w:rsidRPr="00D9760C">
        <w:rPr>
          <w:sz w:val="24"/>
          <w:szCs w:val="24"/>
          <w:lang w:val="es-MX"/>
        </w:rPr>
        <w:t>also</w:t>
      </w:r>
      <w:proofErr w:type="spellEnd"/>
      <w:r w:rsidR="00A13296" w:rsidRPr="00D9760C">
        <w:rPr>
          <w:sz w:val="24"/>
          <w:szCs w:val="24"/>
          <w:lang w:val="es-MX"/>
        </w:rPr>
        <w:t xml:space="preserve"> </w:t>
      </w:r>
      <w:proofErr w:type="spellStart"/>
      <w:r w:rsidR="00A13296" w:rsidRPr="00D9760C">
        <w:rPr>
          <w:sz w:val="24"/>
          <w:szCs w:val="24"/>
          <w:lang w:val="es-MX"/>
        </w:rPr>
        <w:t>like</w:t>
      </w:r>
      <w:proofErr w:type="spellEnd"/>
      <w:r w:rsidR="00A13296" w:rsidRPr="00D9760C">
        <w:rPr>
          <w:sz w:val="24"/>
          <w:szCs w:val="24"/>
          <w:lang w:val="es-MX"/>
        </w:rPr>
        <w:t xml:space="preserve"> </w:t>
      </w:r>
      <w:proofErr w:type="spellStart"/>
      <w:r w:rsidR="00A13296" w:rsidRPr="00D9760C">
        <w:rPr>
          <w:sz w:val="24"/>
          <w:szCs w:val="24"/>
          <w:lang w:val="es-MX"/>
        </w:rPr>
        <w:t>to</w:t>
      </w:r>
      <w:proofErr w:type="spellEnd"/>
      <w:r w:rsidR="00A13296" w:rsidRPr="00D9760C">
        <w:rPr>
          <w:sz w:val="24"/>
          <w:szCs w:val="24"/>
          <w:lang w:val="es-MX"/>
        </w:rPr>
        <w:t xml:space="preserve"> </w:t>
      </w:r>
      <w:proofErr w:type="spellStart"/>
      <w:r w:rsidR="00A13296" w:rsidRPr="00D9760C">
        <w:rPr>
          <w:sz w:val="24"/>
          <w:szCs w:val="24"/>
          <w:lang w:val="es-MX"/>
        </w:rPr>
        <w:t>thank</w:t>
      </w:r>
      <w:proofErr w:type="spellEnd"/>
      <w:r w:rsidR="00A13296" w:rsidRPr="00D9760C">
        <w:rPr>
          <w:sz w:val="24"/>
          <w:szCs w:val="24"/>
          <w:lang w:val="es-MX"/>
        </w:rPr>
        <w:t xml:space="preserve"> my </w:t>
      </w:r>
      <w:proofErr w:type="spellStart"/>
      <w:r w:rsidR="00A13296" w:rsidRPr="00D9760C">
        <w:rPr>
          <w:sz w:val="24"/>
          <w:szCs w:val="24"/>
          <w:lang w:val="es-MX"/>
        </w:rPr>
        <w:t>grandmother</w:t>
      </w:r>
      <w:proofErr w:type="spellEnd"/>
      <w:r w:rsidR="00A13296" w:rsidRPr="00D9760C">
        <w:rPr>
          <w:sz w:val="24"/>
          <w:szCs w:val="24"/>
          <w:lang w:val="es-MX"/>
        </w:rPr>
        <w:t xml:space="preserve">: </w:t>
      </w:r>
      <w:proofErr w:type="spellStart"/>
      <w:r w:rsidR="00A13296" w:rsidRPr="00D9760C">
        <w:rPr>
          <w:sz w:val="24"/>
          <w:szCs w:val="24"/>
          <w:lang w:val="es-MX"/>
        </w:rPr>
        <w:t>abue</w:t>
      </w:r>
      <w:proofErr w:type="spellEnd"/>
      <w:r w:rsidR="00A13296" w:rsidRPr="00D9760C">
        <w:rPr>
          <w:sz w:val="24"/>
          <w:szCs w:val="24"/>
          <w:lang w:val="es-MX"/>
        </w:rPr>
        <w:t>, ya terminó el martirio, gracias por echarme porras todo el tiempo</w:t>
      </w:r>
      <w:r w:rsidR="00D9760C" w:rsidRPr="00D9760C">
        <w:rPr>
          <w:sz w:val="24"/>
          <w:szCs w:val="24"/>
          <w:lang w:val="es-MX"/>
        </w:rPr>
        <w:t>, es</w:t>
      </w:r>
      <w:r w:rsidR="00D9760C">
        <w:rPr>
          <w:sz w:val="24"/>
          <w:szCs w:val="24"/>
          <w:lang w:val="es-MX"/>
        </w:rPr>
        <w:t xml:space="preserve">ta tesis en parte </w:t>
      </w:r>
      <w:r w:rsidR="00B06366">
        <w:rPr>
          <w:sz w:val="24"/>
          <w:szCs w:val="24"/>
          <w:lang w:val="es-MX"/>
        </w:rPr>
        <w:t>va para</w:t>
      </w:r>
      <w:r w:rsidR="00D9760C">
        <w:rPr>
          <w:sz w:val="24"/>
          <w:szCs w:val="24"/>
          <w:lang w:val="es-MX"/>
        </w:rPr>
        <w:t xml:space="preserve"> ti</w:t>
      </w:r>
      <w:r w:rsidR="00A13296" w:rsidRPr="00D9760C">
        <w:rPr>
          <w:sz w:val="24"/>
          <w:szCs w:val="24"/>
          <w:lang w:val="es-MX"/>
        </w:rPr>
        <w:t>.</w:t>
      </w:r>
    </w:p>
    <w:p w:rsidR="00DE12B0" w:rsidRPr="00D05EBD" w:rsidRDefault="00DE12B0" w:rsidP="00AE640B">
      <w:pPr>
        <w:spacing w:line="480" w:lineRule="auto"/>
        <w:ind w:firstLine="720"/>
        <w:jc w:val="both"/>
        <w:rPr>
          <w:sz w:val="24"/>
          <w:szCs w:val="24"/>
        </w:rPr>
      </w:pPr>
      <w:r w:rsidRPr="00D05EBD">
        <w:rPr>
          <w:sz w:val="24"/>
          <w:szCs w:val="24"/>
        </w:rPr>
        <w:t xml:space="preserve">Finally I would like to thank Andrew Gardner, who kindly did my proofreading </w:t>
      </w:r>
      <w:r w:rsidR="00DE2719">
        <w:rPr>
          <w:sz w:val="24"/>
          <w:szCs w:val="24"/>
        </w:rPr>
        <w:t xml:space="preserve">(and a bit more) </w:t>
      </w:r>
      <w:r w:rsidRPr="00D05EBD">
        <w:rPr>
          <w:sz w:val="24"/>
          <w:szCs w:val="24"/>
        </w:rPr>
        <w:t xml:space="preserve">without much complaints and who </w:t>
      </w:r>
      <w:r w:rsidR="00DE2719">
        <w:rPr>
          <w:sz w:val="24"/>
          <w:szCs w:val="24"/>
        </w:rPr>
        <w:t>was incredibly supportive and helpful in all imaginable ways during this process</w:t>
      </w:r>
      <w:r w:rsidRPr="00D05EBD">
        <w:rPr>
          <w:sz w:val="24"/>
          <w:szCs w:val="24"/>
        </w:rPr>
        <w:t xml:space="preserve">. </w:t>
      </w:r>
    </w:p>
    <w:p w:rsidR="00DE12B0" w:rsidRPr="00D05EBD" w:rsidRDefault="00DE12B0" w:rsidP="00AE640B">
      <w:pPr>
        <w:spacing w:line="480" w:lineRule="auto"/>
        <w:jc w:val="both"/>
        <w:rPr>
          <w:b/>
          <w:sz w:val="24"/>
          <w:szCs w:val="24"/>
        </w:rPr>
      </w:pPr>
    </w:p>
    <w:p w:rsidR="00B42CD1" w:rsidRDefault="00B42CD1" w:rsidP="00AE640B">
      <w:pPr>
        <w:spacing w:line="480" w:lineRule="auto"/>
        <w:jc w:val="both"/>
        <w:rPr>
          <w:b/>
          <w:sz w:val="24"/>
          <w:szCs w:val="24"/>
        </w:rPr>
      </w:pPr>
    </w:p>
    <w:p w:rsidR="00B42CD1" w:rsidRDefault="00B42CD1" w:rsidP="00AE640B">
      <w:pPr>
        <w:spacing w:line="480" w:lineRule="auto"/>
        <w:jc w:val="both"/>
        <w:rPr>
          <w:b/>
          <w:sz w:val="24"/>
          <w:szCs w:val="24"/>
        </w:rPr>
      </w:pPr>
    </w:p>
    <w:p w:rsidR="00FB1389" w:rsidRPr="00D05EBD" w:rsidRDefault="00FB1389" w:rsidP="00AE640B">
      <w:pPr>
        <w:spacing w:line="480" w:lineRule="auto"/>
        <w:jc w:val="both"/>
        <w:rPr>
          <w:b/>
          <w:sz w:val="24"/>
          <w:szCs w:val="24"/>
        </w:rPr>
      </w:pPr>
      <w:r w:rsidRPr="00D05EBD">
        <w:rPr>
          <w:b/>
          <w:sz w:val="24"/>
          <w:szCs w:val="24"/>
        </w:rPr>
        <w:lastRenderedPageBreak/>
        <w:t>Publication and conferences</w:t>
      </w:r>
    </w:p>
    <w:p w:rsidR="007C3CB6" w:rsidRPr="007C3CB6" w:rsidRDefault="007C3CB6" w:rsidP="007C3CB6">
      <w:pPr>
        <w:spacing w:line="480" w:lineRule="auto"/>
        <w:ind w:firstLine="720"/>
        <w:rPr>
          <w:sz w:val="24"/>
          <w:szCs w:val="24"/>
        </w:rPr>
      </w:pPr>
      <w:r w:rsidRPr="00CB08BD">
        <w:rPr>
          <w:sz w:val="24"/>
          <w:szCs w:val="24"/>
        </w:rPr>
        <w:t xml:space="preserve">Webb, T. L., Totterdell, P., Hernandez-Ibar, D. N. (2015). </w:t>
      </w:r>
      <w:r w:rsidRPr="007C3CB6">
        <w:rPr>
          <w:sz w:val="24"/>
          <w:szCs w:val="24"/>
        </w:rPr>
        <w:t xml:space="preserve">Foundations and extensions for the extended model: more on implicit and explicit forms of emotion regulation. </w:t>
      </w:r>
      <w:r w:rsidRPr="007C3CB6">
        <w:rPr>
          <w:i/>
          <w:sz w:val="24"/>
          <w:szCs w:val="24"/>
        </w:rPr>
        <w:t>Psychological Inquiry, 26</w:t>
      </w:r>
      <w:r w:rsidRPr="007C3CB6">
        <w:rPr>
          <w:sz w:val="24"/>
          <w:szCs w:val="24"/>
        </w:rPr>
        <w:t xml:space="preserve"> (1), 123-129.</w:t>
      </w:r>
    </w:p>
    <w:p w:rsidR="007C3CB6" w:rsidRPr="007C3CB6" w:rsidRDefault="007C3CB6" w:rsidP="007C3CB6">
      <w:pPr>
        <w:spacing w:line="480" w:lineRule="auto"/>
        <w:ind w:firstLine="720"/>
        <w:rPr>
          <w:sz w:val="24"/>
          <w:szCs w:val="24"/>
        </w:rPr>
      </w:pPr>
      <w:r w:rsidRPr="007C3CB6">
        <w:rPr>
          <w:sz w:val="24"/>
          <w:szCs w:val="24"/>
        </w:rPr>
        <w:t xml:space="preserve">Hernandez Ibar, D. N. (2014). </w:t>
      </w:r>
      <w:r w:rsidRPr="007C3CB6">
        <w:rPr>
          <w:i/>
          <w:sz w:val="24"/>
          <w:szCs w:val="24"/>
        </w:rPr>
        <w:t>Can automatic interpersonal emotion regulation be instigated via the use of the scrambled sentence task?</w:t>
      </w:r>
      <w:r w:rsidRPr="007C3CB6">
        <w:rPr>
          <w:sz w:val="24"/>
          <w:szCs w:val="24"/>
        </w:rPr>
        <w:t xml:space="preserve"> Paper presented at the Consortium of European Research on Emotion Conference, Berlin, 2014.</w:t>
      </w:r>
    </w:p>
    <w:p w:rsidR="007C3CB6" w:rsidRPr="007C3CB6" w:rsidRDefault="007C3CB6" w:rsidP="007C3CB6">
      <w:pPr>
        <w:spacing w:line="480" w:lineRule="auto"/>
        <w:ind w:firstLine="720"/>
        <w:rPr>
          <w:sz w:val="24"/>
          <w:szCs w:val="24"/>
        </w:rPr>
      </w:pPr>
      <w:r w:rsidRPr="007C3CB6">
        <w:rPr>
          <w:sz w:val="24"/>
          <w:szCs w:val="24"/>
        </w:rPr>
        <w:t xml:space="preserve">Hernandez Ibar, D. N. (2013). </w:t>
      </w:r>
      <w:r w:rsidRPr="007C3CB6">
        <w:rPr>
          <w:i/>
          <w:sz w:val="24"/>
          <w:szCs w:val="24"/>
        </w:rPr>
        <w:t>Making someone feel bad without awareness of how we did it</w:t>
      </w:r>
      <w:r w:rsidRPr="007C3CB6">
        <w:rPr>
          <w:sz w:val="24"/>
          <w:szCs w:val="24"/>
        </w:rPr>
        <w:t>. Paper presented at the XI Symposium of Mexican Students and Studies, University of Sheffield 2013.</w:t>
      </w:r>
    </w:p>
    <w:p w:rsidR="00B42CD1" w:rsidRDefault="00B42CD1" w:rsidP="00AE640B">
      <w:pPr>
        <w:spacing w:line="480" w:lineRule="auto"/>
        <w:jc w:val="both"/>
        <w:rPr>
          <w:b/>
          <w:sz w:val="24"/>
          <w:szCs w:val="24"/>
        </w:rPr>
      </w:pPr>
    </w:p>
    <w:p w:rsidR="00B42CD1" w:rsidRDefault="00B42CD1" w:rsidP="00AE640B">
      <w:pPr>
        <w:spacing w:line="480" w:lineRule="auto"/>
        <w:jc w:val="both"/>
        <w:rPr>
          <w:b/>
          <w:sz w:val="24"/>
          <w:szCs w:val="24"/>
        </w:rPr>
      </w:pPr>
    </w:p>
    <w:p w:rsidR="00B42CD1" w:rsidRDefault="00B42CD1" w:rsidP="00AE640B">
      <w:pPr>
        <w:spacing w:line="480" w:lineRule="auto"/>
        <w:jc w:val="both"/>
        <w:rPr>
          <w:b/>
          <w:sz w:val="24"/>
          <w:szCs w:val="24"/>
        </w:rPr>
      </w:pPr>
    </w:p>
    <w:p w:rsidR="00B42CD1" w:rsidRDefault="00B42CD1" w:rsidP="00AE640B">
      <w:pPr>
        <w:spacing w:line="480" w:lineRule="auto"/>
        <w:jc w:val="both"/>
        <w:rPr>
          <w:b/>
          <w:sz w:val="24"/>
          <w:szCs w:val="24"/>
        </w:rPr>
      </w:pPr>
    </w:p>
    <w:p w:rsidR="00B42CD1" w:rsidRDefault="00B42CD1" w:rsidP="00AE640B">
      <w:pPr>
        <w:spacing w:line="480" w:lineRule="auto"/>
        <w:jc w:val="both"/>
        <w:rPr>
          <w:b/>
          <w:sz w:val="24"/>
          <w:szCs w:val="24"/>
        </w:rPr>
      </w:pPr>
    </w:p>
    <w:p w:rsidR="00B42CD1" w:rsidRDefault="00B42CD1" w:rsidP="00AE640B">
      <w:pPr>
        <w:spacing w:line="480" w:lineRule="auto"/>
        <w:jc w:val="both"/>
        <w:rPr>
          <w:b/>
          <w:sz w:val="24"/>
          <w:szCs w:val="24"/>
        </w:rPr>
      </w:pPr>
    </w:p>
    <w:p w:rsidR="00B42CD1" w:rsidRDefault="00B42CD1" w:rsidP="00AE640B">
      <w:pPr>
        <w:spacing w:line="480" w:lineRule="auto"/>
        <w:jc w:val="both"/>
        <w:rPr>
          <w:b/>
          <w:sz w:val="24"/>
          <w:szCs w:val="24"/>
        </w:rPr>
      </w:pPr>
    </w:p>
    <w:p w:rsidR="00B42CD1" w:rsidRDefault="00B42CD1" w:rsidP="00AE640B">
      <w:pPr>
        <w:spacing w:line="480" w:lineRule="auto"/>
        <w:jc w:val="both"/>
        <w:rPr>
          <w:b/>
          <w:sz w:val="24"/>
          <w:szCs w:val="24"/>
        </w:rPr>
      </w:pPr>
    </w:p>
    <w:p w:rsidR="00B42CD1" w:rsidRDefault="00B42CD1" w:rsidP="00AE640B">
      <w:pPr>
        <w:spacing w:line="480" w:lineRule="auto"/>
        <w:jc w:val="both"/>
        <w:rPr>
          <w:b/>
          <w:sz w:val="24"/>
          <w:szCs w:val="24"/>
        </w:rPr>
      </w:pPr>
    </w:p>
    <w:p w:rsidR="001D6C0D" w:rsidRPr="00D05EBD" w:rsidRDefault="001D6C0D" w:rsidP="001D6C0D">
      <w:pPr>
        <w:spacing w:line="480" w:lineRule="auto"/>
        <w:jc w:val="both"/>
        <w:rPr>
          <w:b/>
          <w:sz w:val="24"/>
          <w:szCs w:val="24"/>
        </w:rPr>
      </w:pPr>
      <w:r w:rsidRPr="00D05EBD">
        <w:rPr>
          <w:b/>
          <w:sz w:val="24"/>
          <w:szCs w:val="24"/>
        </w:rPr>
        <w:lastRenderedPageBreak/>
        <w:t>Contents</w:t>
      </w:r>
    </w:p>
    <w:p w:rsidR="001D6C0D" w:rsidRPr="00BF720B" w:rsidRDefault="001D6C0D" w:rsidP="001D6C0D">
      <w:pPr>
        <w:spacing w:line="480" w:lineRule="auto"/>
        <w:jc w:val="both"/>
        <w:rPr>
          <w:sz w:val="24"/>
          <w:szCs w:val="24"/>
        </w:rPr>
      </w:pPr>
      <w:r w:rsidRPr="00D05EBD">
        <w:rPr>
          <w:b/>
          <w:sz w:val="24"/>
          <w:szCs w:val="24"/>
        </w:rPr>
        <w:t>CHAPTER 1. CONCEPTUAL FOUNDATIONS OF AUTOMATIC INTERPERSONAL EMOTION REGULATION</w:t>
      </w:r>
      <w:r w:rsidR="00967341">
        <w:rPr>
          <w:b/>
          <w:sz w:val="24"/>
          <w:szCs w:val="24"/>
        </w:rPr>
        <w:tab/>
      </w:r>
      <w:r w:rsidR="00967341">
        <w:rPr>
          <w:b/>
          <w:sz w:val="24"/>
          <w:szCs w:val="24"/>
        </w:rPr>
        <w:tab/>
      </w:r>
      <w:r w:rsidR="00967341">
        <w:rPr>
          <w:b/>
          <w:sz w:val="24"/>
          <w:szCs w:val="24"/>
        </w:rPr>
        <w:tab/>
      </w:r>
      <w:r w:rsidR="00967341">
        <w:rPr>
          <w:b/>
          <w:sz w:val="24"/>
          <w:szCs w:val="24"/>
        </w:rPr>
        <w:tab/>
      </w:r>
      <w:r w:rsidR="00967341">
        <w:rPr>
          <w:b/>
          <w:sz w:val="24"/>
          <w:szCs w:val="24"/>
        </w:rPr>
        <w:tab/>
      </w:r>
      <w:r w:rsidR="00967341">
        <w:rPr>
          <w:b/>
          <w:sz w:val="24"/>
          <w:szCs w:val="24"/>
        </w:rPr>
        <w:tab/>
      </w:r>
      <w:r w:rsidR="00967341">
        <w:rPr>
          <w:b/>
          <w:sz w:val="24"/>
          <w:szCs w:val="24"/>
        </w:rPr>
        <w:tab/>
      </w:r>
      <w:r w:rsidR="00967341">
        <w:rPr>
          <w:b/>
          <w:sz w:val="24"/>
          <w:szCs w:val="24"/>
        </w:rPr>
        <w:tab/>
      </w:r>
      <w:r w:rsidR="00967341">
        <w:rPr>
          <w:b/>
          <w:sz w:val="24"/>
          <w:szCs w:val="24"/>
        </w:rPr>
        <w:tab/>
      </w:r>
      <w:r w:rsidR="00967341">
        <w:rPr>
          <w:b/>
          <w:sz w:val="24"/>
          <w:szCs w:val="24"/>
        </w:rPr>
        <w:tab/>
      </w:r>
      <w:r w:rsidR="00B520FA">
        <w:rPr>
          <w:sz w:val="24"/>
          <w:szCs w:val="24"/>
        </w:rPr>
        <w:t>p16</w:t>
      </w:r>
    </w:p>
    <w:p w:rsidR="001D6C0D" w:rsidRPr="00D05EBD" w:rsidRDefault="001D6C0D" w:rsidP="001D6C0D">
      <w:pPr>
        <w:spacing w:line="480" w:lineRule="auto"/>
        <w:jc w:val="both"/>
        <w:rPr>
          <w:sz w:val="24"/>
          <w:szCs w:val="24"/>
        </w:rPr>
      </w:pPr>
      <w:r w:rsidRPr="00D05EBD">
        <w:rPr>
          <w:sz w:val="24"/>
          <w:szCs w:val="24"/>
        </w:rPr>
        <w:t>1.1 Introduction</w:t>
      </w:r>
      <w:r>
        <w:rPr>
          <w:sz w:val="24"/>
          <w:szCs w:val="24"/>
        </w:rPr>
        <w:tab/>
      </w:r>
      <w:r>
        <w:rPr>
          <w:sz w:val="24"/>
          <w:szCs w:val="24"/>
        </w:rPr>
        <w:tab/>
      </w:r>
      <w:r>
        <w:rPr>
          <w:sz w:val="24"/>
          <w:szCs w:val="24"/>
        </w:rPr>
        <w:tab/>
      </w:r>
      <w:r>
        <w:rPr>
          <w:sz w:val="24"/>
          <w:szCs w:val="24"/>
        </w:rPr>
        <w:tab/>
      </w:r>
      <w:r>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t>p17</w:t>
      </w:r>
    </w:p>
    <w:p w:rsidR="001D6C0D" w:rsidRPr="00D05EBD" w:rsidRDefault="001D6C0D" w:rsidP="001D6C0D">
      <w:pPr>
        <w:spacing w:line="480" w:lineRule="auto"/>
        <w:jc w:val="both"/>
        <w:rPr>
          <w:sz w:val="24"/>
          <w:szCs w:val="24"/>
          <w:highlight w:val="cyan"/>
        </w:rPr>
      </w:pPr>
      <w:r w:rsidRPr="00D05EBD">
        <w:rPr>
          <w:sz w:val="24"/>
          <w:szCs w:val="24"/>
        </w:rPr>
        <w:t xml:space="preserve">1.2 Emotion regulation  </w:t>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t>p19</w:t>
      </w:r>
    </w:p>
    <w:p w:rsidR="001D6C0D" w:rsidRPr="00D05EBD" w:rsidRDefault="001D6C0D" w:rsidP="001D6C0D">
      <w:pPr>
        <w:spacing w:line="480" w:lineRule="auto"/>
        <w:ind w:firstLine="720"/>
        <w:jc w:val="both"/>
        <w:rPr>
          <w:sz w:val="24"/>
          <w:szCs w:val="24"/>
        </w:rPr>
      </w:pPr>
      <w:r w:rsidRPr="00D05EBD">
        <w:rPr>
          <w:sz w:val="24"/>
          <w:szCs w:val="24"/>
        </w:rPr>
        <w:t>1.2.1 How is emotion regulated?</w:t>
      </w:r>
      <w:r w:rsidR="005C1643">
        <w:rPr>
          <w:sz w:val="24"/>
          <w:szCs w:val="24"/>
        </w:rPr>
        <w:tab/>
      </w:r>
      <w:r w:rsidR="005C1643">
        <w:rPr>
          <w:sz w:val="24"/>
          <w:szCs w:val="24"/>
        </w:rPr>
        <w:tab/>
      </w:r>
      <w:r w:rsidR="005C1643">
        <w:rPr>
          <w:sz w:val="24"/>
          <w:szCs w:val="24"/>
        </w:rPr>
        <w:tab/>
      </w:r>
      <w:r w:rsidR="005C1643">
        <w:rPr>
          <w:sz w:val="24"/>
          <w:szCs w:val="24"/>
        </w:rPr>
        <w:tab/>
      </w:r>
      <w:r w:rsidR="005C1643">
        <w:rPr>
          <w:sz w:val="24"/>
          <w:szCs w:val="24"/>
        </w:rPr>
        <w:tab/>
      </w:r>
      <w:r w:rsidR="005C1643">
        <w:rPr>
          <w:sz w:val="24"/>
          <w:szCs w:val="24"/>
        </w:rPr>
        <w:tab/>
        <w:t>P21</w:t>
      </w:r>
    </w:p>
    <w:p w:rsidR="001D6C0D" w:rsidRPr="00D05EBD" w:rsidRDefault="001D6C0D" w:rsidP="001D6C0D">
      <w:pPr>
        <w:spacing w:line="480" w:lineRule="auto"/>
        <w:ind w:firstLine="720"/>
        <w:jc w:val="both"/>
        <w:rPr>
          <w:sz w:val="24"/>
          <w:szCs w:val="24"/>
        </w:rPr>
      </w:pPr>
      <w:r>
        <w:rPr>
          <w:sz w:val="24"/>
          <w:szCs w:val="24"/>
        </w:rPr>
        <w:t>1.2.2</w:t>
      </w:r>
      <w:r w:rsidRPr="00D05EBD">
        <w:rPr>
          <w:sz w:val="24"/>
          <w:szCs w:val="24"/>
        </w:rPr>
        <w:t xml:space="preserve"> Classification of emotion regulation strategies</w:t>
      </w:r>
      <w:r w:rsidR="00B520FA">
        <w:rPr>
          <w:sz w:val="24"/>
          <w:szCs w:val="24"/>
        </w:rPr>
        <w:tab/>
      </w:r>
      <w:r w:rsidR="00B520FA">
        <w:rPr>
          <w:sz w:val="24"/>
          <w:szCs w:val="24"/>
        </w:rPr>
        <w:tab/>
      </w:r>
      <w:r w:rsidR="00B520FA">
        <w:rPr>
          <w:sz w:val="24"/>
          <w:szCs w:val="24"/>
        </w:rPr>
        <w:tab/>
      </w:r>
      <w:r w:rsidR="00B520FA">
        <w:rPr>
          <w:sz w:val="24"/>
          <w:szCs w:val="24"/>
        </w:rPr>
        <w:tab/>
        <w:t>p23</w:t>
      </w:r>
    </w:p>
    <w:p w:rsidR="001D6C0D" w:rsidRPr="00D05EBD" w:rsidRDefault="001D6C0D" w:rsidP="001D6C0D">
      <w:pPr>
        <w:spacing w:line="480" w:lineRule="auto"/>
        <w:jc w:val="both"/>
        <w:rPr>
          <w:sz w:val="24"/>
          <w:szCs w:val="24"/>
        </w:rPr>
      </w:pPr>
      <w:r w:rsidRPr="00D05EBD">
        <w:rPr>
          <w:sz w:val="24"/>
          <w:szCs w:val="24"/>
        </w:rPr>
        <w:t>1.3 Automatic emotion regulation (or implicit emotion regulation)</w:t>
      </w:r>
      <w:r>
        <w:rPr>
          <w:sz w:val="24"/>
          <w:szCs w:val="24"/>
        </w:rPr>
        <w:tab/>
      </w:r>
      <w:r>
        <w:rPr>
          <w:sz w:val="24"/>
          <w:szCs w:val="24"/>
        </w:rPr>
        <w:tab/>
      </w:r>
      <w:r>
        <w:rPr>
          <w:sz w:val="24"/>
          <w:szCs w:val="24"/>
        </w:rPr>
        <w:tab/>
        <w:t>p25</w:t>
      </w:r>
    </w:p>
    <w:p w:rsidR="001D6C0D" w:rsidRPr="00D05EBD" w:rsidRDefault="001D6C0D" w:rsidP="001D6C0D">
      <w:pPr>
        <w:spacing w:line="480" w:lineRule="auto"/>
        <w:jc w:val="both"/>
        <w:rPr>
          <w:sz w:val="24"/>
          <w:szCs w:val="24"/>
        </w:rPr>
      </w:pPr>
      <w:r w:rsidRPr="00D05EBD">
        <w:rPr>
          <w:sz w:val="24"/>
          <w:szCs w:val="24"/>
        </w:rPr>
        <w:t>1.4 Interpersonal emotion regulation (or extrinsic emotion regulation)</w:t>
      </w:r>
      <w:r w:rsidR="00B520FA">
        <w:rPr>
          <w:sz w:val="24"/>
          <w:szCs w:val="24"/>
        </w:rPr>
        <w:tab/>
      </w:r>
      <w:r w:rsidR="00B520FA">
        <w:rPr>
          <w:sz w:val="24"/>
          <w:szCs w:val="24"/>
        </w:rPr>
        <w:tab/>
        <w:t>p32</w:t>
      </w:r>
    </w:p>
    <w:p w:rsidR="001D6C0D" w:rsidRPr="00D05EBD" w:rsidRDefault="001D6C0D" w:rsidP="001D6C0D">
      <w:pPr>
        <w:spacing w:line="480" w:lineRule="auto"/>
        <w:jc w:val="both"/>
        <w:rPr>
          <w:sz w:val="24"/>
          <w:szCs w:val="24"/>
        </w:rPr>
      </w:pPr>
      <w:r w:rsidRPr="00D05EBD">
        <w:rPr>
          <w:sz w:val="24"/>
          <w:szCs w:val="24"/>
        </w:rPr>
        <w:t>1.5 Automatic interpersonal emotion regulation</w:t>
      </w:r>
      <w:r>
        <w:rPr>
          <w:sz w:val="24"/>
          <w:szCs w:val="24"/>
        </w:rPr>
        <w:tab/>
      </w:r>
      <w:r>
        <w:rPr>
          <w:sz w:val="24"/>
          <w:szCs w:val="24"/>
        </w:rPr>
        <w:tab/>
      </w:r>
      <w:r>
        <w:rPr>
          <w:sz w:val="24"/>
          <w:szCs w:val="24"/>
        </w:rPr>
        <w:tab/>
      </w:r>
      <w:r>
        <w:rPr>
          <w:sz w:val="24"/>
          <w:szCs w:val="24"/>
        </w:rPr>
        <w:tab/>
      </w:r>
      <w:r>
        <w:rPr>
          <w:sz w:val="24"/>
          <w:szCs w:val="24"/>
        </w:rPr>
        <w:tab/>
        <w:t>p34</w:t>
      </w:r>
    </w:p>
    <w:p w:rsidR="001D6C0D" w:rsidRPr="00D05EBD" w:rsidRDefault="001D6C0D" w:rsidP="001D6C0D">
      <w:pPr>
        <w:spacing w:line="480" w:lineRule="auto"/>
        <w:jc w:val="both"/>
        <w:rPr>
          <w:rFonts w:cs="Times New Roman"/>
          <w:sz w:val="24"/>
          <w:szCs w:val="24"/>
        </w:rPr>
      </w:pPr>
      <w:r w:rsidRPr="00D05EBD">
        <w:rPr>
          <w:sz w:val="24"/>
          <w:szCs w:val="24"/>
        </w:rPr>
        <w:t xml:space="preserve">1.6 </w:t>
      </w:r>
      <w:r w:rsidRPr="00D05EBD">
        <w:rPr>
          <w:rFonts w:cs="Times New Roman"/>
          <w:sz w:val="24"/>
          <w:szCs w:val="24"/>
        </w:rPr>
        <w:t>Methodological approaches for studying AER</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p37</w:t>
      </w:r>
    </w:p>
    <w:p w:rsidR="001D6C0D" w:rsidRPr="00D05EBD" w:rsidRDefault="001D6C0D" w:rsidP="001D6C0D">
      <w:pPr>
        <w:spacing w:line="480" w:lineRule="auto"/>
        <w:jc w:val="both"/>
        <w:rPr>
          <w:rFonts w:cs="Times New Roman"/>
          <w:bCs/>
          <w:sz w:val="24"/>
          <w:szCs w:val="24"/>
        </w:rPr>
      </w:pPr>
      <w:r w:rsidRPr="00D05EBD">
        <w:rPr>
          <w:rFonts w:cs="Times New Roman"/>
          <w:bCs/>
          <w:sz w:val="24"/>
          <w:szCs w:val="24"/>
        </w:rPr>
        <w:t>1.7 Concluding comment</w:t>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t>p41</w:t>
      </w:r>
    </w:p>
    <w:p w:rsidR="001D6C0D" w:rsidRPr="00D05EBD" w:rsidRDefault="001D6C0D" w:rsidP="001D6C0D">
      <w:pPr>
        <w:spacing w:line="480" w:lineRule="auto"/>
        <w:jc w:val="both"/>
        <w:rPr>
          <w:rFonts w:cs="Times New Roman"/>
          <w:bCs/>
          <w:sz w:val="24"/>
          <w:szCs w:val="24"/>
        </w:rPr>
      </w:pPr>
      <w:r w:rsidRPr="00D05EBD">
        <w:rPr>
          <w:rFonts w:cs="Times New Roman"/>
          <w:bCs/>
          <w:sz w:val="24"/>
          <w:szCs w:val="24"/>
        </w:rPr>
        <w:t>1.8 Broad research questions in the present thesis.</w:t>
      </w:r>
      <w:r w:rsidR="00B520FA">
        <w:rPr>
          <w:rFonts w:cs="Times New Roman"/>
          <w:bCs/>
          <w:sz w:val="24"/>
          <w:szCs w:val="24"/>
        </w:rPr>
        <w:tab/>
      </w:r>
      <w:r w:rsidR="00B520FA">
        <w:rPr>
          <w:rFonts w:cs="Times New Roman"/>
          <w:bCs/>
          <w:sz w:val="24"/>
          <w:szCs w:val="24"/>
        </w:rPr>
        <w:tab/>
      </w:r>
      <w:r w:rsidR="00B520FA">
        <w:rPr>
          <w:rFonts w:cs="Times New Roman"/>
          <w:bCs/>
          <w:sz w:val="24"/>
          <w:szCs w:val="24"/>
        </w:rPr>
        <w:tab/>
      </w:r>
      <w:r w:rsidR="00B520FA">
        <w:rPr>
          <w:rFonts w:cs="Times New Roman"/>
          <w:bCs/>
          <w:sz w:val="24"/>
          <w:szCs w:val="24"/>
        </w:rPr>
        <w:tab/>
      </w:r>
      <w:r w:rsidR="00B520FA">
        <w:rPr>
          <w:rFonts w:cs="Times New Roman"/>
          <w:bCs/>
          <w:sz w:val="24"/>
          <w:szCs w:val="24"/>
        </w:rPr>
        <w:tab/>
        <w:t>P42</w:t>
      </w:r>
    </w:p>
    <w:p w:rsidR="001D6C0D" w:rsidRPr="00D05EBD" w:rsidRDefault="001D6C0D" w:rsidP="001D6C0D">
      <w:pPr>
        <w:spacing w:line="480" w:lineRule="auto"/>
        <w:jc w:val="both"/>
        <w:rPr>
          <w:b/>
          <w:sz w:val="24"/>
          <w:szCs w:val="24"/>
        </w:rPr>
      </w:pPr>
      <w:r w:rsidRPr="00D05EBD">
        <w:rPr>
          <w:rFonts w:cs="Times New Roman"/>
          <w:bCs/>
          <w:sz w:val="24"/>
          <w:szCs w:val="24"/>
        </w:rPr>
        <w:t>1.9 Plan of the thesis</w:t>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t>p4</w:t>
      </w:r>
      <w:r w:rsidR="005C1643">
        <w:rPr>
          <w:rFonts w:cs="Times New Roman"/>
          <w:bCs/>
          <w:sz w:val="24"/>
          <w:szCs w:val="24"/>
        </w:rPr>
        <w:t>3</w:t>
      </w:r>
    </w:p>
    <w:p w:rsidR="001D6C0D" w:rsidRPr="00BF720B" w:rsidRDefault="001D6C0D" w:rsidP="001D6C0D">
      <w:pPr>
        <w:spacing w:line="480" w:lineRule="auto"/>
        <w:jc w:val="both"/>
        <w:rPr>
          <w:rFonts w:cs="Arial"/>
          <w:color w:val="222222"/>
          <w:sz w:val="24"/>
          <w:szCs w:val="24"/>
          <w:shd w:val="clear" w:color="auto" w:fill="FFFFFF"/>
        </w:rPr>
      </w:pPr>
      <w:r w:rsidRPr="00D05EBD">
        <w:rPr>
          <w:b/>
          <w:sz w:val="24"/>
          <w:szCs w:val="24"/>
        </w:rPr>
        <w:t xml:space="preserve">CHAPTER 2. </w:t>
      </w:r>
      <w:r w:rsidRPr="00D05EBD">
        <w:rPr>
          <w:rFonts w:cs="Arial"/>
          <w:b/>
          <w:color w:val="222222"/>
          <w:sz w:val="24"/>
          <w:szCs w:val="24"/>
          <w:shd w:val="clear" w:color="auto" w:fill="FFFFFF"/>
        </w:rPr>
        <w:t>HOW DO PEOPLE REGULATE OTHERS’ EMOTIONS? MEASURES OF FREQUENCY AND HABIT.</w:t>
      </w:r>
      <w:r w:rsidR="00BF720B">
        <w:rPr>
          <w:rFonts w:cs="Arial"/>
          <w:b/>
          <w:color w:val="222222"/>
          <w:sz w:val="24"/>
          <w:szCs w:val="24"/>
          <w:shd w:val="clear" w:color="auto" w:fill="FFFFFF"/>
        </w:rPr>
        <w:tab/>
      </w:r>
      <w:r w:rsidR="00BF720B">
        <w:rPr>
          <w:rFonts w:cs="Arial"/>
          <w:b/>
          <w:color w:val="222222"/>
          <w:sz w:val="24"/>
          <w:szCs w:val="24"/>
          <w:shd w:val="clear" w:color="auto" w:fill="FFFFFF"/>
        </w:rPr>
        <w:tab/>
      </w:r>
      <w:r w:rsidR="00BF720B">
        <w:rPr>
          <w:rFonts w:cs="Arial"/>
          <w:b/>
          <w:color w:val="222222"/>
          <w:sz w:val="24"/>
          <w:szCs w:val="24"/>
          <w:shd w:val="clear" w:color="auto" w:fill="FFFFFF"/>
        </w:rPr>
        <w:tab/>
      </w:r>
      <w:r w:rsidR="00BF720B">
        <w:rPr>
          <w:rFonts w:cs="Arial"/>
          <w:b/>
          <w:color w:val="222222"/>
          <w:sz w:val="24"/>
          <w:szCs w:val="24"/>
          <w:shd w:val="clear" w:color="auto" w:fill="FFFFFF"/>
        </w:rPr>
        <w:tab/>
      </w:r>
      <w:r w:rsidR="00BF720B">
        <w:rPr>
          <w:rFonts w:cs="Arial"/>
          <w:b/>
          <w:color w:val="222222"/>
          <w:sz w:val="24"/>
          <w:szCs w:val="24"/>
          <w:shd w:val="clear" w:color="auto" w:fill="FFFFFF"/>
        </w:rPr>
        <w:tab/>
      </w:r>
      <w:r w:rsidR="00BF720B">
        <w:rPr>
          <w:rFonts w:cs="Arial"/>
          <w:b/>
          <w:color w:val="222222"/>
          <w:sz w:val="24"/>
          <w:szCs w:val="24"/>
          <w:shd w:val="clear" w:color="auto" w:fill="FFFFFF"/>
        </w:rPr>
        <w:tab/>
      </w:r>
      <w:r w:rsidR="00BF720B">
        <w:rPr>
          <w:rFonts w:cs="Arial"/>
          <w:b/>
          <w:color w:val="222222"/>
          <w:sz w:val="24"/>
          <w:szCs w:val="24"/>
          <w:shd w:val="clear" w:color="auto" w:fill="FFFFFF"/>
        </w:rPr>
        <w:tab/>
      </w:r>
      <w:r w:rsidR="00BF720B">
        <w:rPr>
          <w:rFonts w:cs="Arial"/>
          <w:b/>
          <w:color w:val="222222"/>
          <w:sz w:val="24"/>
          <w:szCs w:val="24"/>
          <w:shd w:val="clear" w:color="auto" w:fill="FFFFFF"/>
        </w:rPr>
        <w:tab/>
      </w:r>
      <w:r w:rsidR="00BF720B">
        <w:rPr>
          <w:rFonts w:cs="Arial"/>
          <w:color w:val="222222"/>
          <w:sz w:val="24"/>
          <w:szCs w:val="24"/>
          <w:shd w:val="clear" w:color="auto" w:fill="FFFFFF"/>
        </w:rPr>
        <w:t>p</w:t>
      </w:r>
      <w:r w:rsidR="00BF720B" w:rsidRPr="00BF720B">
        <w:rPr>
          <w:rFonts w:cs="Arial"/>
          <w:color w:val="222222"/>
          <w:sz w:val="24"/>
          <w:szCs w:val="24"/>
          <w:shd w:val="clear" w:color="auto" w:fill="FFFFFF"/>
        </w:rPr>
        <w:t>47</w:t>
      </w:r>
    </w:p>
    <w:p w:rsidR="001D6C0D" w:rsidRPr="00D05EBD" w:rsidRDefault="001D6C0D" w:rsidP="001D6C0D">
      <w:pPr>
        <w:spacing w:line="480" w:lineRule="auto"/>
        <w:jc w:val="both"/>
        <w:rPr>
          <w:sz w:val="24"/>
          <w:szCs w:val="24"/>
        </w:rPr>
      </w:pPr>
      <w:r w:rsidRPr="00D05EBD">
        <w:rPr>
          <w:sz w:val="24"/>
          <w:szCs w:val="24"/>
        </w:rPr>
        <w:t>2.1 Automatic emotion regulation with close others and with acquaintances</w:t>
      </w:r>
      <w:r>
        <w:rPr>
          <w:sz w:val="24"/>
          <w:szCs w:val="24"/>
        </w:rPr>
        <w:tab/>
        <w:t>p48</w:t>
      </w:r>
    </w:p>
    <w:p w:rsidR="001D6C0D" w:rsidRPr="00D05EBD" w:rsidRDefault="001D6C0D" w:rsidP="001D6C0D">
      <w:pPr>
        <w:spacing w:line="480" w:lineRule="auto"/>
        <w:ind w:firstLine="720"/>
        <w:jc w:val="both"/>
        <w:rPr>
          <w:sz w:val="24"/>
          <w:szCs w:val="24"/>
        </w:rPr>
      </w:pPr>
      <w:r w:rsidRPr="00D05EBD">
        <w:rPr>
          <w:sz w:val="24"/>
          <w:szCs w:val="24"/>
        </w:rPr>
        <w:t>2.1.2 Improving and worsening IER</w:t>
      </w:r>
      <w:r>
        <w:rPr>
          <w:sz w:val="24"/>
          <w:szCs w:val="24"/>
        </w:rPr>
        <w:tab/>
      </w:r>
      <w:r>
        <w:rPr>
          <w:sz w:val="24"/>
          <w:szCs w:val="24"/>
        </w:rPr>
        <w:tab/>
      </w:r>
      <w:r>
        <w:rPr>
          <w:sz w:val="24"/>
          <w:szCs w:val="24"/>
        </w:rPr>
        <w:tab/>
      </w:r>
      <w:r>
        <w:rPr>
          <w:sz w:val="24"/>
          <w:szCs w:val="24"/>
        </w:rPr>
        <w:tab/>
      </w:r>
      <w:r>
        <w:rPr>
          <w:sz w:val="24"/>
          <w:szCs w:val="24"/>
        </w:rPr>
        <w:tab/>
      </w:r>
      <w:r>
        <w:rPr>
          <w:sz w:val="24"/>
          <w:szCs w:val="24"/>
        </w:rPr>
        <w:tab/>
        <w:t>p51</w:t>
      </w:r>
    </w:p>
    <w:p w:rsidR="001D6C0D" w:rsidRPr="00D05EBD" w:rsidRDefault="001D6C0D" w:rsidP="001D6C0D">
      <w:pPr>
        <w:spacing w:after="0" w:line="480" w:lineRule="auto"/>
        <w:jc w:val="both"/>
        <w:rPr>
          <w:sz w:val="24"/>
          <w:szCs w:val="24"/>
        </w:rPr>
      </w:pPr>
      <w:r w:rsidRPr="00D05EBD">
        <w:rPr>
          <w:sz w:val="24"/>
          <w:szCs w:val="24"/>
        </w:rPr>
        <w:lastRenderedPageBreak/>
        <w:t>2.2 Habits and automaticity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p54</w:t>
      </w:r>
    </w:p>
    <w:p w:rsidR="001D6C0D" w:rsidRPr="00D05EBD" w:rsidRDefault="001D6C0D" w:rsidP="001D6C0D">
      <w:pPr>
        <w:spacing w:after="0" w:line="480" w:lineRule="auto"/>
        <w:jc w:val="both"/>
        <w:rPr>
          <w:sz w:val="24"/>
          <w:szCs w:val="24"/>
        </w:rPr>
      </w:pPr>
      <w:r w:rsidRPr="00D05EBD">
        <w:rPr>
          <w:sz w:val="24"/>
          <w:szCs w:val="24"/>
        </w:rPr>
        <w:t>2.3 Study 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p56</w:t>
      </w:r>
    </w:p>
    <w:p w:rsidR="001D6C0D" w:rsidRPr="00D05EBD" w:rsidRDefault="001D6C0D" w:rsidP="001D6C0D">
      <w:pPr>
        <w:spacing w:after="0" w:line="480" w:lineRule="auto"/>
        <w:ind w:firstLine="720"/>
        <w:jc w:val="both"/>
        <w:rPr>
          <w:sz w:val="24"/>
          <w:szCs w:val="24"/>
        </w:rPr>
      </w:pPr>
      <w:r w:rsidRPr="00D05EBD">
        <w:rPr>
          <w:sz w:val="24"/>
          <w:szCs w:val="24"/>
        </w:rPr>
        <w:t>2.3.1 Method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p57</w:t>
      </w:r>
    </w:p>
    <w:p w:rsidR="001D6C0D" w:rsidRPr="00D05EBD" w:rsidRDefault="001D6C0D" w:rsidP="001D6C0D">
      <w:pPr>
        <w:spacing w:after="0" w:line="480" w:lineRule="auto"/>
        <w:ind w:left="720" w:firstLine="720"/>
        <w:jc w:val="both"/>
        <w:rPr>
          <w:i/>
          <w:sz w:val="24"/>
          <w:szCs w:val="24"/>
        </w:rPr>
      </w:pPr>
      <w:r w:rsidRPr="00D05EBD">
        <w:rPr>
          <w:i/>
          <w:sz w:val="24"/>
          <w:szCs w:val="24"/>
        </w:rPr>
        <w:t>2.3.1.1 Participants</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p57</w:t>
      </w:r>
    </w:p>
    <w:p w:rsidR="001D6C0D" w:rsidRPr="00D05EBD" w:rsidRDefault="001D6C0D" w:rsidP="001D6C0D">
      <w:pPr>
        <w:spacing w:after="0" w:line="480" w:lineRule="auto"/>
        <w:ind w:left="720" w:firstLine="720"/>
        <w:jc w:val="both"/>
        <w:rPr>
          <w:i/>
          <w:sz w:val="24"/>
          <w:szCs w:val="24"/>
        </w:rPr>
      </w:pPr>
      <w:r w:rsidRPr="00D05EBD">
        <w:rPr>
          <w:i/>
          <w:sz w:val="24"/>
          <w:szCs w:val="24"/>
        </w:rPr>
        <w:t>2.3.1.2 Procedure</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p57</w:t>
      </w:r>
    </w:p>
    <w:p w:rsidR="001D6C0D" w:rsidRPr="00D05EBD" w:rsidRDefault="001D6C0D" w:rsidP="001D6C0D">
      <w:pPr>
        <w:spacing w:after="0" w:line="480" w:lineRule="auto"/>
        <w:ind w:left="720" w:firstLine="720"/>
        <w:jc w:val="both"/>
        <w:rPr>
          <w:i/>
          <w:sz w:val="24"/>
          <w:szCs w:val="24"/>
        </w:rPr>
      </w:pPr>
      <w:r w:rsidRPr="00D05EBD">
        <w:rPr>
          <w:i/>
          <w:sz w:val="24"/>
          <w:szCs w:val="24"/>
        </w:rPr>
        <w:t>2.3.1.3 Materials</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p59</w:t>
      </w:r>
    </w:p>
    <w:p w:rsidR="001D6C0D" w:rsidRPr="00D05EBD" w:rsidRDefault="001D6C0D" w:rsidP="001D6C0D">
      <w:pPr>
        <w:spacing w:after="0" w:line="480" w:lineRule="auto"/>
        <w:ind w:firstLine="720"/>
        <w:jc w:val="both"/>
        <w:rPr>
          <w:sz w:val="24"/>
          <w:szCs w:val="24"/>
        </w:rPr>
      </w:pPr>
      <w:r w:rsidRPr="00D05EBD">
        <w:rPr>
          <w:sz w:val="24"/>
          <w:szCs w:val="24"/>
        </w:rPr>
        <w:t>2.3.2 Results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p61</w:t>
      </w:r>
    </w:p>
    <w:p w:rsidR="001D6C0D" w:rsidRPr="00D05EBD" w:rsidRDefault="001D6C0D" w:rsidP="001D6C0D">
      <w:pPr>
        <w:spacing w:after="0" w:line="480" w:lineRule="auto"/>
        <w:ind w:left="720" w:firstLine="720"/>
        <w:jc w:val="both"/>
        <w:rPr>
          <w:i/>
          <w:sz w:val="24"/>
          <w:szCs w:val="24"/>
        </w:rPr>
      </w:pPr>
      <w:r w:rsidRPr="00D05EBD">
        <w:rPr>
          <w:i/>
          <w:sz w:val="24"/>
          <w:szCs w:val="24"/>
        </w:rPr>
        <w:t>2.3.2.1 Manipulation check</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p61</w:t>
      </w:r>
    </w:p>
    <w:p w:rsidR="001D6C0D" w:rsidRPr="00D05EBD" w:rsidRDefault="001D6C0D" w:rsidP="001D6C0D">
      <w:pPr>
        <w:spacing w:after="0" w:line="480" w:lineRule="auto"/>
        <w:ind w:left="720" w:firstLine="720"/>
        <w:jc w:val="both"/>
        <w:rPr>
          <w:i/>
          <w:sz w:val="24"/>
          <w:szCs w:val="24"/>
        </w:rPr>
      </w:pPr>
      <w:r w:rsidRPr="00D05EBD">
        <w:rPr>
          <w:i/>
          <w:sz w:val="24"/>
          <w:szCs w:val="24"/>
        </w:rPr>
        <w:t>2.3.2.2 Self-reported AIER</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p63</w:t>
      </w:r>
    </w:p>
    <w:p w:rsidR="001D6C0D" w:rsidRPr="00D05EBD" w:rsidRDefault="001D6C0D" w:rsidP="001D6C0D">
      <w:pPr>
        <w:spacing w:after="0" w:line="480" w:lineRule="auto"/>
        <w:jc w:val="both"/>
        <w:rPr>
          <w:sz w:val="24"/>
          <w:szCs w:val="24"/>
        </w:rPr>
      </w:pPr>
      <w:r>
        <w:rPr>
          <w:sz w:val="24"/>
          <w:szCs w:val="24"/>
        </w:rPr>
        <w:t xml:space="preserve">2.4 </w:t>
      </w:r>
      <w:r w:rsidRPr="00D05EBD">
        <w:rPr>
          <w:sz w:val="24"/>
          <w:szCs w:val="24"/>
        </w:rPr>
        <w:t>Discussion</w:t>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t>p65</w:t>
      </w:r>
    </w:p>
    <w:p w:rsidR="001D6C0D" w:rsidRDefault="001D6C0D" w:rsidP="001D6C0D">
      <w:pPr>
        <w:spacing w:after="0" w:line="480" w:lineRule="auto"/>
        <w:jc w:val="both"/>
        <w:rPr>
          <w:sz w:val="24"/>
          <w:szCs w:val="24"/>
        </w:rPr>
      </w:pPr>
      <w:r>
        <w:rPr>
          <w:sz w:val="24"/>
          <w:szCs w:val="24"/>
        </w:rPr>
        <w:t>2.5</w:t>
      </w:r>
      <w:r w:rsidRPr="00D05EBD">
        <w:rPr>
          <w:sz w:val="24"/>
          <w:szCs w:val="24"/>
        </w:rPr>
        <w:t xml:space="preserve"> Li</w:t>
      </w:r>
      <w:r>
        <w:rPr>
          <w:sz w:val="24"/>
          <w:szCs w:val="24"/>
        </w:rPr>
        <w:t>mitations and Future Directions</w:t>
      </w:r>
      <w:r>
        <w:rPr>
          <w:sz w:val="24"/>
          <w:szCs w:val="24"/>
        </w:rPr>
        <w:tab/>
      </w:r>
      <w:r>
        <w:rPr>
          <w:sz w:val="24"/>
          <w:szCs w:val="24"/>
        </w:rPr>
        <w:tab/>
      </w:r>
      <w:r>
        <w:rPr>
          <w:sz w:val="24"/>
          <w:szCs w:val="24"/>
        </w:rPr>
        <w:tab/>
      </w:r>
      <w:r>
        <w:rPr>
          <w:sz w:val="24"/>
          <w:szCs w:val="24"/>
        </w:rPr>
        <w:tab/>
      </w:r>
      <w:r>
        <w:rPr>
          <w:sz w:val="24"/>
          <w:szCs w:val="24"/>
        </w:rPr>
        <w:tab/>
      </w:r>
      <w:r>
        <w:rPr>
          <w:sz w:val="24"/>
          <w:szCs w:val="24"/>
        </w:rPr>
        <w:tab/>
        <w:t>p70</w:t>
      </w:r>
    </w:p>
    <w:p w:rsidR="001D6C0D" w:rsidRPr="00D05EBD" w:rsidRDefault="001D6C0D" w:rsidP="001D6C0D">
      <w:pPr>
        <w:spacing w:after="0" w:line="480" w:lineRule="auto"/>
        <w:jc w:val="both"/>
        <w:rPr>
          <w:sz w:val="24"/>
          <w:szCs w:val="24"/>
        </w:rPr>
      </w:pPr>
      <w:r>
        <w:rPr>
          <w:sz w:val="24"/>
          <w:szCs w:val="24"/>
        </w:rPr>
        <w:t>2.6</w:t>
      </w:r>
      <w:r w:rsidRPr="00D05EBD">
        <w:rPr>
          <w:sz w:val="24"/>
          <w:szCs w:val="24"/>
        </w:rPr>
        <w:t xml:space="preserve"> Conclusion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p76</w:t>
      </w:r>
    </w:p>
    <w:p w:rsidR="001D6C0D" w:rsidRPr="00D05EBD" w:rsidRDefault="001D6C0D" w:rsidP="001D6C0D">
      <w:pPr>
        <w:spacing w:after="0" w:line="480" w:lineRule="auto"/>
        <w:jc w:val="both"/>
        <w:rPr>
          <w:sz w:val="24"/>
          <w:szCs w:val="24"/>
        </w:rPr>
      </w:pPr>
    </w:p>
    <w:p w:rsidR="001D6C0D" w:rsidRPr="00BF720B" w:rsidRDefault="001D6C0D" w:rsidP="001D6C0D">
      <w:pPr>
        <w:spacing w:after="0" w:line="480" w:lineRule="auto"/>
        <w:jc w:val="both"/>
        <w:rPr>
          <w:sz w:val="24"/>
          <w:szCs w:val="24"/>
        </w:rPr>
      </w:pPr>
      <w:r w:rsidRPr="00D05EBD">
        <w:rPr>
          <w:b/>
          <w:sz w:val="24"/>
          <w:szCs w:val="24"/>
        </w:rPr>
        <w:t xml:space="preserve">CHAPTER 3. IS IT POSSIBLE TO PRIME INTERPERSONAL EMOTION REGULATION? USING THE SCRAMBLED SENTENCE TASK TO INSTIGATE AUTOMATIC INTERPERSONAL EMOTION REGULATION </w:t>
      </w:r>
      <w:r w:rsidR="00BF720B">
        <w:rPr>
          <w:b/>
          <w:sz w:val="24"/>
          <w:szCs w:val="24"/>
        </w:rPr>
        <w:tab/>
      </w:r>
      <w:r w:rsidR="00BF720B">
        <w:rPr>
          <w:b/>
          <w:sz w:val="24"/>
          <w:szCs w:val="24"/>
        </w:rPr>
        <w:tab/>
      </w:r>
      <w:r w:rsidR="00BF720B">
        <w:rPr>
          <w:b/>
          <w:sz w:val="24"/>
          <w:szCs w:val="24"/>
        </w:rPr>
        <w:tab/>
      </w:r>
      <w:r w:rsidR="00BF720B">
        <w:rPr>
          <w:b/>
          <w:sz w:val="24"/>
          <w:szCs w:val="24"/>
        </w:rPr>
        <w:tab/>
      </w:r>
      <w:r w:rsidR="00BF720B">
        <w:rPr>
          <w:b/>
          <w:sz w:val="24"/>
          <w:szCs w:val="24"/>
        </w:rPr>
        <w:tab/>
      </w:r>
      <w:r w:rsidR="00BF720B">
        <w:rPr>
          <w:b/>
          <w:sz w:val="24"/>
          <w:szCs w:val="24"/>
        </w:rPr>
        <w:tab/>
      </w:r>
      <w:r w:rsidR="00BF720B">
        <w:rPr>
          <w:b/>
          <w:sz w:val="24"/>
          <w:szCs w:val="24"/>
        </w:rPr>
        <w:tab/>
      </w:r>
      <w:r w:rsidR="00BF720B">
        <w:rPr>
          <w:b/>
          <w:sz w:val="24"/>
          <w:szCs w:val="24"/>
        </w:rPr>
        <w:tab/>
      </w:r>
      <w:r w:rsidR="00BF720B" w:rsidRPr="00BF720B">
        <w:rPr>
          <w:sz w:val="24"/>
          <w:szCs w:val="24"/>
        </w:rPr>
        <w:t>p78</w:t>
      </w:r>
    </w:p>
    <w:p w:rsidR="001D6C0D" w:rsidRPr="00D05EBD" w:rsidRDefault="001D6C0D" w:rsidP="001D6C0D">
      <w:pPr>
        <w:spacing w:after="0" w:line="480" w:lineRule="auto"/>
        <w:jc w:val="both"/>
        <w:rPr>
          <w:sz w:val="24"/>
          <w:szCs w:val="24"/>
        </w:rPr>
      </w:pPr>
      <w:r w:rsidRPr="00D05EBD">
        <w:rPr>
          <w:sz w:val="24"/>
          <w:szCs w:val="24"/>
        </w:rPr>
        <w:t>3.1 Introduction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p80</w:t>
      </w:r>
    </w:p>
    <w:p w:rsidR="001D6C0D" w:rsidRPr="00D05EBD" w:rsidRDefault="001D6C0D" w:rsidP="001D6C0D">
      <w:pPr>
        <w:spacing w:after="0" w:line="480" w:lineRule="auto"/>
        <w:jc w:val="both"/>
        <w:rPr>
          <w:sz w:val="24"/>
          <w:szCs w:val="24"/>
        </w:rPr>
      </w:pPr>
      <w:r>
        <w:rPr>
          <w:sz w:val="24"/>
          <w:szCs w:val="24"/>
        </w:rPr>
        <w:t>3.2</w:t>
      </w:r>
      <w:r w:rsidRPr="00D05EBD">
        <w:rPr>
          <w:sz w:val="24"/>
          <w:szCs w:val="24"/>
        </w:rPr>
        <w:t xml:space="preserve"> Priming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p82</w:t>
      </w:r>
    </w:p>
    <w:p w:rsidR="001D6C0D" w:rsidRPr="00D05EBD" w:rsidRDefault="001D6C0D" w:rsidP="001D6C0D">
      <w:pPr>
        <w:spacing w:after="0" w:line="480" w:lineRule="auto"/>
        <w:jc w:val="both"/>
        <w:rPr>
          <w:sz w:val="24"/>
          <w:szCs w:val="24"/>
        </w:rPr>
      </w:pPr>
      <w:r>
        <w:rPr>
          <w:sz w:val="24"/>
          <w:szCs w:val="24"/>
        </w:rPr>
        <w:tab/>
        <w:t>3.2</w:t>
      </w:r>
      <w:r w:rsidRPr="00D05EBD">
        <w:rPr>
          <w:sz w:val="24"/>
          <w:szCs w:val="24"/>
        </w:rPr>
        <w:t>.1 Scrambled Sentence Task</w:t>
      </w:r>
      <w:r>
        <w:rPr>
          <w:sz w:val="24"/>
          <w:szCs w:val="24"/>
        </w:rPr>
        <w:tab/>
      </w:r>
      <w:r>
        <w:rPr>
          <w:sz w:val="24"/>
          <w:szCs w:val="24"/>
        </w:rPr>
        <w:tab/>
      </w:r>
      <w:r>
        <w:rPr>
          <w:sz w:val="24"/>
          <w:szCs w:val="24"/>
        </w:rPr>
        <w:tab/>
      </w:r>
      <w:r>
        <w:rPr>
          <w:sz w:val="24"/>
          <w:szCs w:val="24"/>
        </w:rPr>
        <w:tab/>
      </w:r>
      <w:r>
        <w:rPr>
          <w:sz w:val="24"/>
          <w:szCs w:val="24"/>
        </w:rPr>
        <w:tab/>
      </w:r>
      <w:r>
        <w:rPr>
          <w:sz w:val="24"/>
          <w:szCs w:val="24"/>
        </w:rPr>
        <w:tab/>
        <w:t>p87</w:t>
      </w:r>
    </w:p>
    <w:p w:rsidR="001D6C0D" w:rsidRPr="00D05EBD" w:rsidRDefault="001D6C0D" w:rsidP="001D6C0D">
      <w:pPr>
        <w:spacing w:after="0" w:line="480" w:lineRule="auto"/>
        <w:jc w:val="both"/>
        <w:rPr>
          <w:sz w:val="24"/>
          <w:szCs w:val="24"/>
        </w:rPr>
      </w:pPr>
      <w:r>
        <w:rPr>
          <w:sz w:val="24"/>
          <w:szCs w:val="24"/>
        </w:rPr>
        <w:t>3.3</w:t>
      </w:r>
      <w:r w:rsidRPr="00D05EBD">
        <w:rPr>
          <w:sz w:val="24"/>
          <w:szCs w:val="24"/>
        </w:rPr>
        <w:t xml:space="preserve"> Studies 2a and 2b</w:t>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t>p88</w:t>
      </w:r>
    </w:p>
    <w:p w:rsidR="001D6C0D" w:rsidRDefault="001D6C0D" w:rsidP="001D6C0D">
      <w:pPr>
        <w:spacing w:after="0" w:line="480" w:lineRule="auto"/>
        <w:jc w:val="both"/>
        <w:rPr>
          <w:sz w:val="24"/>
          <w:szCs w:val="24"/>
        </w:rPr>
      </w:pPr>
      <w:r>
        <w:rPr>
          <w:sz w:val="24"/>
          <w:szCs w:val="24"/>
        </w:rPr>
        <w:tab/>
        <w:t>3.3</w:t>
      </w:r>
      <w:r w:rsidRPr="00D05EBD">
        <w:rPr>
          <w:sz w:val="24"/>
          <w:szCs w:val="24"/>
        </w:rPr>
        <w:t>.1 Study 2a</w:t>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t>p88</w:t>
      </w:r>
    </w:p>
    <w:p w:rsidR="001D6C0D" w:rsidRPr="00D05EBD" w:rsidRDefault="001D6C0D" w:rsidP="001D6C0D">
      <w:pPr>
        <w:spacing w:after="0" w:line="480" w:lineRule="auto"/>
        <w:jc w:val="both"/>
        <w:rPr>
          <w:sz w:val="24"/>
          <w:szCs w:val="24"/>
        </w:rPr>
      </w:pPr>
      <w:r>
        <w:rPr>
          <w:sz w:val="24"/>
          <w:szCs w:val="24"/>
        </w:rPr>
        <w:tab/>
      </w:r>
      <w:r>
        <w:rPr>
          <w:sz w:val="24"/>
          <w:szCs w:val="24"/>
        </w:rPr>
        <w:tab/>
        <w:t>3.3</w:t>
      </w:r>
      <w:r w:rsidRPr="00D05EBD">
        <w:rPr>
          <w:sz w:val="24"/>
          <w:szCs w:val="24"/>
        </w:rPr>
        <w:t>.1.1 Method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p89</w:t>
      </w:r>
    </w:p>
    <w:p w:rsidR="001D6C0D" w:rsidRPr="00D05EBD" w:rsidRDefault="001D6C0D" w:rsidP="001D6C0D">
      <w:pPr>
        <w:spacing w:after="0" w:line="480" w:lineRule="auto"/>
        <w:jc w:val="both"/>
        <w:rPr>
          <w:i/>
          <w:sz w:val="24"/>
          <w:szCs w:val="24"/>
        </w:rPr>
      </w:pPr>
      <w:r w:rsidRPr="00D05EBD">
        <w:rPr>
          <w:sz w:val="24"/>
          <w:szCs w:val="24"/>
        </w:rPr>
        <w:tab/>
      </w:r>
      <w:r w:rsidRPr="00D05EBD">
        <w:rPr>
          <w:sz w:val="24"/>
          <w:szCs w:val="24"/>
        </w:rPr>
        <w:tab/>
      </w:r>
      <w:r>
        <w:rPr>
          <w:sz w:val="24"/>
          <w:szCs w:val="24"/>
        </w:rPr>
        <w:tab/>
      </w:r>
      <w:r>
        <w:rPr>
          <w:i/>
          <w:sz w:val="24"/>
          <w:szCs w:val="24"/>
        </w:rPr>
        <w:t>3.3</w:t>
      </w:r>
      <w:r w:rsidRPr="00D05EBD">
        <w:rPr>
          <w:i/>
          <w:sz w:val="24"/>
          <w:szCs w:val="24"/>
        </w:rPr>
        <w:t>.1.1.1 Participants</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p89</w:t>
      </w:r>
    </w:p>
    <w:p w:rsidR="001D6C0D" w:rsidRPr="00D05EBD" w:rsidRDefault="001D6C0D" w:rsidP="001D6C0D">
      <w:pPr>
        <w:spacing w:after="0" w:line="480" w:lineRule="auto"/>
        <w:jc w:val="both"/>
        <w:rPr>
          <w:i/>
          <w:sz w:val="24"/>
          <w:szCs w:val="24"/>
        </w:rPr>
      </w:pPr>
      <w:r w:rsidRPr="00D05EBD">
        <w:rPr>
          <w:i/>
          <w:sz w:val="24"/>
          <w:szCs w:val="24"/>
        </w:rPr>
        <w:tab/>
      </w:r>
      <w:r w:rsidRPr="00D05EBD">
        <w:rPr>
          <w:i/>
          <w:sz w:val="24"/>
          <w:szCs w:val="24"/>
        </w:rPr>
        <w:tab/>
      </w:r>
      <w:r>
        <w:rPr>
          <w:i/>
          <w:sz w:val="24"/>
          <w:szCs w:val="24"/>
        </w:rPr>
        <w:tab/>
        <w:t>3.3</w:t>
      </w:r>
      <w:r w:rsidRPr="00D05EBD">
        <w:rPr>
          <w:i/>
          <w:sz w:val="24"/>
          <w:szCs w:val="24"/>
        </w:rPr>
        <w:t>.1.1.2 Procedure</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p90</w:t>
      </w:r>
    </w:p>
    <w:p w:rsidR="001D6C0D" w:rsidRPr="00D05EBD" w:rsidRDefault="001D6C0D" w:rsidP="001D6C0D">
      <w:pPr>
        <w:spacing w:after="0" w:line="480" w:lineRule="auto"/>
        <w:jc w:val="both"/>
        <w:rPr>
          <w:i/>
          <w:sz w:val="24"/>
          <w:szCs w:val="24"/>
        </w:rPr>
      </w:pPr>
      <w:r w:rsidRPr="00D05EBD">
        <w:rPr>
          <w:i/>
          <w:sz w:val="24"/>
          <w:szCs w:val="24"/>
        </w:rPr>
        <w:lastRenderedPageBreak/>
        <w:tab/>
      </w:r>
      <w:r w:rsidRPr="00D05EBD">
        <w:rPr>
          <w:i/>
          <w:sz w:val="24"/>
          <w:szCs w:val="24"/>
        </w:rPr>
        <w:tab/>
      </w:r>
      <w:r>
        <w:rPr>
          <w:i/>
          <w:sz w:val="24"/>
          <w:szCs w:val="24"/>
        </w:rPr>
        <w:tab/>
        <w:t>3.3</w:t>
      </w:r>
      <w:r w:rsidRPr="00D05EBD">
        <w:rPr>
          <w:i/>
          <w:sz w:val="24"/>
          <w:szCs w:val="24"/>
        </w:rPr>
        <w:t>.1.1.3 Materials</w:t>
      </w:r>
      <w:r w:rsidR="00B520FA">
        <w:rPr>
          <w:i/>
          <w:sz w:val="24"/>
          <w:szCs w:val="24"/>
        </w:rPr>
        <w:tab/>
      </w:r>
      <w:r w:rsidR="00B520FA">
        <w:rPr>
          <w:i/>
          <w:sz w:val="24"/>
          <w:szCs w:val="24"/>
        </w:rPr>
        <w:tab/>
      </w:r>
      <w:r w:rsidR="00B520FA">
        <w:rPr>
          <w:i/>
          <w:sz w:val="24"/>
          <w:szCs w:val="24"/>
        </w:rPr>
        <w:tab/>
      </w:r>
      <w:r w:rsidR="00B520FA">
        <w:rPr>
          <w:i/>
          <w:sz w:val="24"/>
          <w:szCs w:val="24"/>
        </w:rPr>
        <w:tab/>
      </w:r>
      <w:r w:rsidR="00B520FA">
        <w:rPr>
          <w:i/>
          <w:sz w:val="24"/>
          <w:szCs w:val="24"/>
        </w:rPr>
        <w:tab/>
      </w:r>
      <w:r w:rsidR="00B520FA">
        <w:rPr>
          <w:i/>
          <w:sz w:val="24"/>
          <w:szCs w:val="24"/>
        </w:rPr>
        <w:tab/>
        <w:t>p91</w:t>
      </w:r>
    </w:p>
    <w:p w:rsidR="001D6C0D" w:rsidRPr="00D05EBD" w:rsidRDefault="001D6C0D" w:rsidP="001D6C0D">
      <w:pPr>
        <w:spacing w:after="0" w:line="480" w:lineRule="auto"/>
        <w:jc w:val="both"/>
        <w:rPr>
          <w:i/>
          <w:sz w:val="24"/>
          <w:szCs w:val="24"/>
        </w:rPr>
      </w:pPr>
      <w:r>
        <w:rPr>
          <w:i/>
          <w:sz w:val="24"/>
          <w:szCs w:val="24"/>
        </w:rPr>
        <w:tab/>
      </w:r>
      <w:r w:rsidRPr="00D05EBD">
        <w:rPr>
          <w:i/>
          <w:sz w:val="24"/>
          <w:szCs w:val="24"/>
        </w:rPr>
        <w:tab/>
      </w:r>
      <w:r>
        <w:rPr>
          <w:i/>
          <w:sz w:val="24"/>
          <w:szCs w:val="24"/>
        </w:rPr>
        <w:tab/>
        <w:t>3.3</w:t>
      </w:r>
      <w:r w:rsidRPr="00D05EBD">
        <w:rPr>
          <w:i/>
          <w:sz w:val="24"/>
          <w:szCs w:val="24"/>
        </w:rPr>
        <w:t>.1.1.4 Coding strategy</w:t>
      </w:r>
      <w:r w:rsidR="00B520FA">
        <w:rPr>
          <w:i/>
          <w:sz w:val="24"/>
          <w:szCs w:val="24"/>
        </w:rPr>
        <w:tab/>
      </w:r>
      <w:r w:rsidR="00B520FA">
        <w:rPr>
          <w:i/>
          <w:sz w:val="24"/>
          <w:szCs w:val="24"/>
        </w:rPr>
        <w:tab/>
      </w:r>
      <w:r w:rsidR="00B520FA">
        <w:rPr>
          <w:i/>
          <w:sz w:val="24"/>
          <w:szCs w:val="24"/>
        </w:rPr>
        <w:tab/>
      </w:r>
      <w:r w:rsidR="00B520FA">
        <w:rPr>
          <w:i/>
          <w:sz w:val="24"/>
          <w:szCs w:val="24"/>
        </w:rPr>
        <w:tab/>
      </w:r>
      <w:r w:rsidR="00B520FA">
        <w:rPr>
          <w:i/>
          <w:sz w:val="24"/>
          <w:szCs w:val="24"/>
        </w:rPr>
        <w:tab/>
        <w:t>p94</w:t>
      </w:r>
    </w:p>
    <w:p w:rsidR="001D6C0D" w:rsidRPr="00D05EBD" w:rsidRDefault="001D6C0D" w:rsidP="001D6C0D">
      <w:pPr>
        <w:spacing w:after="0" w:line="480" w:lineRule="auto"/>
        <w:jc w:val="both"/>
        <w:rPr>
          <w:sz w:val="24"/>
          <w:szCs w:val="24"/>
        </w:rPr>
      </w:pPr>
      <w:r>
        <w:rPr>
          <w:sz w:val="24"/>
          <w:szCs w:val="24"/>
        </w:rPr>
        <w:tab/>
      </w:r>
      <w:r>
        <w:rPr>
          <w:sz w:val="24"/>
          <w:szCs w:val="24"/>
        </w:rPr>
        <w:tab/>
        <w:t>3.3</w:t>
      </w:r>
      <w:r w:rsidRPr="00D05EBD">
        <w:rPr>
          <w:sz w:val="24"/>
          <w:szCs w:val="24"/>
        </w:rPr>
        <w:t>.1.2 Results</w:t>
      </w:r>
      <w:r w:rsidR="005432AE">
        <w:rPr>
          <w:sz w:val="24"/>
          <w:szCs w:val="24"/>
        </w:rPr>
        <w:tab/>
      </w:r>
      <w:r w:rsidR="005432AE">
        <w:rPr>
          <w:sz w:val="24"/>
          <w:szCs w:val="24"/>
        </w:rPr>
        <w:tab/>
      </w:r>
      <w:r w:rsidR="005432AE">
        <w:rPr>
          <w:sz w:val="24"/>
          <w:szCs w:val="24"/>
        </w:rPr>
        <w:tab/>
      </w:r>
      <w:r w:rsidR="005432AE">
        <w:rPr>
          <w:sz w:val="24"/>
          <w:szCs w:val="24"/>
        </w:rPr>
        <w:tab/>
      </w:r>
      <w:r w:rsidR="005432AE">
        <w:rPr>
          <w:sz w:val="24"/>
          <w:szCs w:val="24"/>
        </w:rPr>
        <w:tab/>
      </w:r>
      <w:r w:rsidR="005432AE">
        <w:rPr>
          <w:sz w:val="24"/>
          <w:szCs w:val="24"/>
        </w:rPr>
        <w:tab/>
      </w:r>
      <w:r w:rsidR="005432AE">
        <w:rPr>
          <w:sz w:val="24"/>
          <w:szCs w:val="24"/>
        </w:rPr>
        <w:tab/>
      </w:r>
      <w:r w:rsidR="005432AE">
        <w:rPr>
          <w:sz w:val="24"/>
          <w:szCs w:val="24"/>
        </w:rPr>
        <w:tab/>
        <w:t>p96</w:t>
      </w:r>
    </w:p>
    <w:p w:rsidR="001D6C0D" w:rsidRPr="00D05EBD" w:rsidRDefault="001D6C0D" w:rsidP="001D6C0D">
      <w:pPr>
        <w:spacing w:after="0" w:line="480" w:lineRule="auto"/>
        <w:jc w:val="both"/>
        <w:rPr>
          <w:sz w:val="24"/>
          <w:szCs w:val="24"/>
        </w:rPr>
      </w:pPr>
      <w:r>
        <w:rPr>
          <w:sz w:val="24"/>
          <w:szCs w:val="24"/>
        </w:rPr>
        <w:tab/>
      </w:r>
      <w:r>
        <w:rPr>
          <w:sz w:val="24"/>
          <w:szCs w:val="24"/>
        </w:rPr>
        <w:tab/>
        <w:t>3.3</w:t>
      </w:r>
      <w:r w:rsidRPr="00D05EBD">
        <w:rPr>
          <w:sz w:val="24"/>
          <w:szCs w:val="24"/>
        </w:rPr>
        <w:t>.1.3 Discussion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p101</w:t>
      </w:r>
    </w:p>
    <w:p w:rsidR="001D6C0D" w:rsidRPr="00D05EBD" w:rsidRDefault="001D6C0D" w:rsidP="001D6C0D">
      <w:pPr>
        <w:spacing w:after="0" w:line="480" w:lineRule="auto"/>
        <w:jc w:val="both"/>
        <w:rPr>
          <w:sz w:val="24"/>
          <w:szCs w:val="24"/>
        </w:rPr>
      </w:pPr>
      <w:r>
        <w:rPr>
          <w:sz w:val="24"/>
          <w:szCs w:val="24"/>
        </w:rPr>
        <w:tab/>
        <w:t>3.3</w:t>
      </w:r>
      <w:r w:rsidRPr="00D05EBD">
        <w:rPr>
          <w:sz w:val="24"/>
          <w:szCs w:val="24"/>
        </w:rPr>
        <w:t>.2 Study 2b</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p102</w:t>
      </w:r>
    </w:p>
    <w:p w:rsidR="001D6C0D" w:rsidRPr="00D05EBD" w:rsidRDefault="001D6C0D" w:rsidP="001D6C0D">
      <w:pPr>
        <w:spacing w:after="0" w:line="480" w:lineRule="auto"/>
        <w:jc w:val="both"/>
        <w:rPr>
          <w:sz w:val="24"/>
          <w:szCs w:val="24"/>
        </w:rPr>
      </w:pPr>
      <w:r>
        <w:rPr>
          <w:sz w:val="24"/>
          <w:szCs w:val="24"/>
        </w:rPr>
        <w:tab/>
      </w:r>
      <w:r>
        <w:rPr>
          <w:sz w:val="24"/>
          <w:szCs w:val="24"/>
        </w:rPr>
        <w:tab/>
        <w:t>3.3</w:t>
      </w:r>
      <w:r w:rsidRPr="00D05EBD">
        <w:rPr>
          <w:sz w:val="24"/>
          <w:szCs w:val="24"/>
        </w:rPr>
        <w:t>.2.1 Method</w:t>
      </w:r>
      <w:r w:rsidR="005432AE">
        <w:rPr>
          <w:sz w:val="24"/>
          <w:szCs w:val="24"/>
        </w:rPr>
        <w:tab/>
      </w:r>
      <w:r w:rsidR="005432AE">
        <w:rPr>
          <w:sz w:val="24"/>
          <w:szCs w:val="24"/>
        </w:rPr>
        <w:tab/>
      </w:r>
      <w:r w:rsidR="005432AE">
        <w:rPr>
          <w:sz w:val="24"/>
          <w:szCs w:val="24"/>
        </w:rPr>
        <w:tab/>
      </w:r>
      <w:r w:rsidR="005432AE">
        <w:rPr>
          <w:sz w:val="24"/>
          <w:szCs w:val="24"/>
        </w:rPr>
        <w:tab/>
      </w:r>
      <w:r w:rsidR="005432AE">
        <w:rPr>
          <w:sz w:val="24"/>
          <w:szCs w:val="24"/>
        </w:rPr>
        <w:tab/>
      </w:r>
      <w:r w:rsidR="005432AE">
        <w:rPr>
          <w:sz w:val="24"/>
          <w:szCs w:val="24"/>
        </w:rPr>
        <w:tab/>
      </w:r>
      <w:r w:rsidR="005432AE">
        <w:rPr>
          <w:sz w:val="24"/>
          <w:szCs w:val="24"/>
        </w:rPr>
        <w:tab/>
        <w:t>p103</w:t>
      </w:r>
    </w:p>
    <w:p w:rsidR="001D6C0D" w:rsidRPr="00D05EBD" w:rsidRDefault="001D6C0D" w:rsidP="001D6C0D">
      <w:pPr>
        <w:spacing w:after="0" w:line="480" w:lineRule="auto"/>
        <w:jc w:val="both"/>
        <w:rPr>
          <w:i/>
          <w:sz w:val="24"/>
          <w:szCs w:val="24"/>
        </w:rPr>
      </w:pPr>
      <w:r>
        <w:rPr>
          <w:sz w:val="24"/>
          <w:szCs w:val="24"/>
        </w:rPr>
        <w:tab/>
      </w:r>
      <w:r>
        <w:rPr>
          <w:sz w:val="24"/>
          <w:szCs w:val="24"/>
        </w:rPr>
        <w:tab/>
      </w:r>
      <w:r w:rsidRPr="00D05EBD">
        <w:rPr>
          <w:sz w:val="24"/>
          <w:szCs w:val="24"/>
        </w:rPr>
        <w:tab/>
      </w:r>
      <w:r w:rsidRPr="00D05EBD">
        <w:rPr>
          <w:i/>
          <w:sz w:val="24"/>
          <w:szCs w:val="24"/>
        </w:rPr>
        <w:t>3.3.2.1.1 Participants</w:t>
      </w:r>
      <w:r w:rsidR="005432AE">
        <w:rPr>
          <w:i/>
          <w:sz w:val="24"/>
          <w:szCs w:val="24"/>
        </w:rPr>
        <w:tab/>
      </w:r>
      <w:r w:rsidR="005432AE">
        <w:rPr>
          <w:i/>
          <w:sz w:val="24"/>
          <w:szCs w:val="24"/>
        </w:rPr>
        <w:tab/>
      </w:r>
      <w:r w:rsidR="005432AE">
        <w:rPr>
          <w:i/>
          <w:sz w:val="24"/>
          <w:szCs w:val="24"/>
        </w:rPr>
        <w:tab/>
      </w:r>
      <w:r w:rsidR="005432AE">
        <w:rPr>
          <w:i/>
          <w:sz w:val="24"/>
          <w:szCs w:val="24"/>
        </w:rPr>
        <w:tab/>
      </w:r>
      <w:r w:rsidR="005432AE">
        <w:rPr>
          <w:i/>
          <w:sz w:val="24"/>
          <w:szCs w:val="24"/>
        </w:rPr>
        <w:tab/>
      </w:r>
      <w:r w:rsidR="005432AE">
        <w:rPr>
          <w:i/>
          <w:sz w:val="24"/>
          <w:szCs w:val="24"/>
        </w:rPr>
        <w:tab/>
        <w:t>p103</w:t>
      </w:r>
    </w:p>
    <w:p w:rsidR="001D6C0D" w:rsidRPr="00D05EBD" w:rsidRDefault="001D6C0D" w:rsidP="001D6C0D">
      <w:pPr>
        <w:spacing w:after="0" w:line="480" w:lineRule="auto"/>
        <w:jc w:val="both"/>
        <w:rPr>
          <w:i/>
          <w:sz w:val="24"/>
          <w:szCs w:val="24"/>
        </w:rPr>
      </w:pPr>
      <w:r>
        <w:rPr>
          <w:i/>
          <w:sz w:val="24"/>
          <w:szCs w:val="24"/>
        </w:rPr>
        <w:tab/>
      </w:r>
      <w:r>
        <w:rPr>
          <w:i/>
          <w:sz w:val="24"/>
          <w:szCs w:val="24"/>
        </w:rPr>
        <w:tab/>
      </w:r>
      <w:r w:rsidRPr="00D05EBD">
        <w:rPr>
          <w:i/>
          <w:sz w:val="24"/>
          <w:szCs w:val="24"/>
        </w:rPr>
        <w:tab/>
        <w:t>3.3.2.1.2 Procedure</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p103</w:t>
      </w:r>
    </w:p>
    <w:p w:rsidR="001D6C0D" w:rsidRPr="00D05EBD" w:rsidRDefault="001D6C0D" w:rsidP="001D6C0D">
      <w:pPr>
        <w:spacing w:after="0" w:line="480" w:lineRule="auto"/>
        <w:jc w:val="both"/>
        <w:rPr>
          <w:i/>
          <w:sz w:val="24"/>
          <w:szCs w:val="24"/>
        </w:rPr>
      </w:pPr>
      <w:r>
        <w:rPr>
          <w:i/>
          <w:sz w:val="24"/>
          <w:szCs w:val="24"/>
        </w:rPr>
        <w:tab/>
      </w:r>
      <w:r>
        <w:rPr>
          <w:i/>
          <w:sz w:val="24"/>
          <w:szCs w:val="24"/>
        </w:rPr>
        <w:tab/>
      </w:r>
      <w:r w:rsidRPr="00D05EBD">
        <w:rPr>
          <w:i/>
          <w:sz w:val="24"/>
          <w:szCs w:val="24"/>
        </w:rPr>
        <w:tab/>
        <w:t>3.3.2.1.3 Coding strategy</w:t>
      </w:r>
      <w:r>
        <w:rPr>
          <w:i/>
          <w:sz w:val="24"/>
          <w:szCs w:val="24"/>
        </w:rPr>
        <w:tab/>
      </w:r>
      <w:r>
        <w:rPr>
          <w:i/>
          <w:sz w:val="24"/>
          <w:szCs w:val="24"/>
        </w:rPr>
        <w:tab/>
      </w:r>
      <w:r>
        <w:rPr>
          <w:i/>
          <w:sz w:val="24"/>
          <w:szCs w:val="24"/>
        </w:rPr>
        <w:tab/>
      </w:r>
      <w:r>
        <w:rPr>
          <w:i/>
          <w:sz w:val="24"/>
          <w:szCs w:val="24"/>
        </w:rPr>
        <w:tab/>
      </w:r>
      <w:r>
        <w:rPr>
          <w:i/>
          <w:sz w:val="24"/>
          <w:szCs w:val="24"/>
        </w:rPr>
        <w:tab/>
        <w:t>p104</w:t>
      </w:r>
    </w:p>
    <w:p w:rsidR="001D6C0D" w:rsidRPr="00D05EBD" w:rsidRDefault="001D6C0D" w:rsidP="001D6C0D">
      <w:pPr>
        <w:spacing w:after="0" w:line="480" w:lineRule="auto"/>
        <w:jc w:val="both"/>
        <w:rPr>
          <w:sz w:val="24"/>
          <w:szCs w:val="24"/>
        </w:rPr>
      </w:pPr>
      <w:r>
        <w:rPr>
          <w:sz w:val="24"/>
          <w:szCs w:val="24"/>
        </w:rPr>
        <w:tab/>
      </w:r>
      <w:r>
        <w:rPr>
          <w:sz w:val="24"/>
          <w:szCs w:val="24"/>
        </w:rPr>
        <w:tab/>
        <w:t>3.3</w:t>
      </w:r>
      <w:r w:rsidRPr="00D05EBD">
        <w:rPr>
          <w:sz w:val="24"/>
          <w:szCs w:val="24"/>
        </w:rPr>
        <w:t>.2.2 Results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p105</w:t>
      </w:r>
    </w:p>
    <w:p w:rsidR="001D6C0D" w:rsidRPr="00D05EBD" w:rsidRDefault="001D6C0D" w:rsidP="001D6C0D">
      <w:pPr>
        <w:spacing w:after="0" w:line="480" w:lineRule="auto"/>
        <w:jc w:val="both"/>
        <w:rPr>
          <w:sz w:val="24"/>
          <w:szCs w:val="24"/>
        </w:rPr>
      </w:pPr>
      <w:r>
        <w:rPr>
          <w:sz w:val="24"/>
          <w:szCs w:val="24"/>
        </w:rPr>
        <w:tab/>
      </w:r>
      <w:r>
        <w:rPr>
          <w:sz w:val="24"/>
          <w:szCs w:val="24"/>
        </w:rPr>
        <w:tab/>
        <w:t>3.3</w:t>
      </w:r>
      <w:r w:rsidRPr="00D05EBD">
        <w:rPr>
          <w:sz w:val="24"/>
          <w:szCs w:val="24"/>
        </w:rPr>
        <w:t>.2.3 Discussion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p109</w:t>
      </w:r>
    </w:p>
    <w:p w:rsidR="001D6C0D" w:rsidRPr="00D05EBD" w:rsidRDefault="001D6C0D" w:rsidP="001D6C0D">
      <w:pPr>
        <w:spacing w:after="0" w:line="480" w:lineRule="auto"/>
        <w:jc w:val="both"/>
        <w:rPr>
          <w:sz w:val="24"/>
          <w:szCs w:val="24"/>
        </w:rPr>
      </w:pPr>
      <w:r>
        <w:rPr>
          <w:sz w:val="24"/>
          <w:szCs w:val="24"/>
        </w:rPr>
        <w:tab/>
        <w:t>3.3</w:t>
      </w:r>
      <w:r w:rsidRPr="00D05EBD">
        <w:rPr>
          <w:sz w:val="24"/>
          <w:szCs w:val="24"/>
        </w:rPr>
        <w:t>.3 Study 2c</w:t>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t>p111</w:t>
      </w:r>
    </w:p>
    <w:p w:rsidR="001D6C0D" w:rsidRPr="00D05EBD" w:rsidRDefault="001D6C0D" w:rsidP="001D6C0D">
      <w:pPr>
        <w:spacing w:after="0" w:line="480" w:lineRule="auto"/>
        <w:jc w:val="both"/>
        <w:rPr>
          <w:sz w:val="24"/>
          <w:szCs w:val="24"/>
        </w:rPr>
      </w:pPr>
      <w:r>
        <w:rPr>
          <w:sz w:val="24"/>
          <w:szCs w:val="24"/>
        </w:rPr>
        <w:tab/>
      </w:r>
      <w:r>
        <w:rPr>
          <w:sz w:val="24"/>
          <w:szCs w:val="24"/>
        </w:rPr>
        <w:tab/>
        <w:t>3.3</w:t>
      </w:r>
      <w:r w:rsidRPr="00D05EBD">
        <w:rPr>
          <w:sz w:val="24"/>
          <w:szCs w:val="24"/>
        </w:rPr>
        <w:t>.3.1 Method</w:t>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t>p112</w:t>
      </w:r>
    </w:p>
    <w:p w:rsidR="001D6C0D" w:rsidRPr="00D05EBD" w:rsidRDefault="001D6C0D" w:rsidP="001D6C0D">
      <w:pPr>
        <w:spacing w:after="0" w:line="480" w:lineRule="auto"/>
        <w:jc w:val="both"/>
        <w:rPr>
          <w:i/>
          <w:sz w:val="24"/>
          <w:szCs w:val="24"/>
        </w:rPr>
      </w:pPr>
      <w:r>
        <w:rPr>
          <w:sz w:val="24"/>
          <w:szCs w:val="24"/>
        </w:rPr>
        <w:tab/>
      </w:r>
      <w:r w:rsidRPr="00D05EBD">
        <w:rPr>
          <w:sz w:val="24"/>
          <w:szCs w:val="24"/>
        </w:rPr>
        <w:tab/>
      </w:r>
      <w:r w:rsidRPr="00D05EBD">
        <w:rPr>
          <w:sz w:val="24"/>
          <w:szCs w:val="24"/>
        </w:rPr>
        <w:tab/>
      </w:r>
      <w:r>
        <w:rPr>
          <w:i/>
          <w:sz w:val="24"/>
          <w:szCs w:val="24"/>
        </w:rPr>
        <w:t>3.3</w:t>
      </w:r>
      <w:r w:rsidRPr="00D05EBD">
        <w:rPr>
          <w:i/>
          <w:sz w:val="24"/>
          <w:szCs w:val="24"/>
        </w:rPr>
        <w:t>.3.1.1 Participants</w:t>
      </w:r>
      <w:r w:rsidR="00B520FA">
        <w:rPr>
          <w:i/>
          <w:sz w:val="24"/>
          <w:szCs w:val="24"/>
        </w:rPr>
        <w:tab/>
      </w:r>
      <w:r w:rsidR="00B520FA">
        <w:rPr>
          <w:i/>
          <w:sz w:val="24"/>
          <w:szCs w:val="24"/>
        </w:rPr>
        <w:tab/>
      </w:r>
      <w:r w:rsidR="00B520FA">
        <w:rPr>
          <w:i/>
          <w:sz w:val="24"/>
          <w:szCs w:val="24"/>
        </w:rPr>
        <w:tab/>
      </w:r>
      <w:r w:rsidR="00B520FA">
        <w:rPr>
          <w:i/>
          <w:sz w:val="24"/>
          <w:szCs w:val="24"/>
        </w:rPr>
        <w:tab/>
      </w:r>
      <w:r w:rsidR="00B520FA">
        <w:rPr>
          <w:i/>
          <w:sz w:val="24"/>
          <w:szCs w:val="24"/>
        </w:rPr>
        <w:tab/>
      </w:r>
      <w:r w:rsidR="00B520FA">
        <w:rPr>
          <w:i/>
          <w:sz w:val="24"/>
          <w:szCs w:val="24"/>
        </w:rPr>
        <w:tab/>
        <w:t>p112</w:t>
      </w:r>
    </w:p>
    <w:p w:rsidR="001D6C0D" w:rsidRPr="00D05EBD" w:rsidRDefault="001D6C0D" w:rsidP="001D6C0D">
      <w:pPr>
        <w:spacing w:after="0" w:line="480" w:lineRule="auto"/>
        <w:jc w:val="both"/>
        <w:rPr>
          <w:i/>
          <w:sz w:val="24"/>
          <w:szCs w:val="24"/>
        </w:rPr>
      </w:pPr>
      <w:r>
        <w:rPr>
          <w:i/>
          <w:sz w:val="24"/>
          <w:szCs w:val="24"/>
        </w:rPr>
        <w:tab/>
      </w:r>
      <w:r>
        <w:rPr>
          <w:i/>
          <w:sz w:val="24"/>
          <w:szCs w:val="24"/>
        </w:rPr>
        <w:tab/>
      </w:r>
      <w:r>
        <w:rPr>
          <w:i/>
          <w:sz w:val="24"/>
          <w:szCs w:val="24"/>
        </w:rPr>
        <w:tab/>
        <w:t>3.3</w:t>
      </w:r>
      <w:r w:rsidRPr="00D05EBD">
        <w:rPr>
          <w:i/>
          <w:sz w:val="24"/>
          <w:szCs w:val="24"/>
        </w:rPr>
        <w:t>.3.1.2 Procedure</w:t>
      </w:r>
      <w:r w:rsidR="005432AE">
        <w:rPr>
          <w:i/>
          <w:sz w:val="24"/>
          <w:szCs w:val="24"/>
        </w:rPr>
        <w:tab/>
      </w:r>
      <w:r w:rsidR="005432AE">
        <w:rPr>
          <w:i/>
          <w:sz w:val="24"/>
          <w:szCs w:val="24"/>
        </w:rPr>
        <w:tab/>
      </w:r>
      <w:r w:rsidR="005432AE">
        <w:rPr>
          <w:i/>
          <w:sz w:val="24"/>
          <w:szCs w:val="24"/>
        </w:rPr>
        <w:tab/>
      </w:r>
      <w:r w:rsidR="005432AE">
        <w:rPr>
          <w:i/>
          <w:sz w:val="24"/>
          <w:szCs w:val="24"/>
        </w:rPr>
        <w:tab/>
      </w:r>
      <w:r w:rsidR="005432AE">
        <w:rPr>
          <w:i/>
          <w:sz w:val="24"/>
          <w:szCs w:val="24"/>
        </w:rPr>
        <w:tab/>
      </w:r>
      <w:r w:rsidR="005432AE">
        <w:rPr>
          <w:i/>
          <w:sz w:val="24"/>
          <w:szCs w:val="24"/>
        </w:rPr>
        <w:tab/>
        <w:t>p113</w:t>
      </w:r>
    </w:p>
    <w:p w:rsidR="001D6C0D" w:rsidRPr="00D05EBD" w:rsidRDefault="001D6C0D" w:rsidP="001D6C0D">
      <w:pPr>
        <w:spacing w:after="0" w:line="480" w:lineRule="auto"/>
        <w:jc w:val="both"/>
        <w:rPr>
          <w:i/>
          <w:sz w:val="24"/>
          <w:szCs w:val="24"/>
        </w:rPr>
      </w:pPr>
      <w:r>
        <w:rPr>
          <w:i/>
          <w:sz w:val="24"/>
          <w:szCs w:val="24"/>
        </w:rPr>
        <w:tab/>
      </w:r>
      <w:r>
        <w:rPr>
          <w:i/>
          <w:sz w:val="24"/>
          <w:szCs w:val="24"/>
        </w:rPr>
        <w:tab/>
      </w:r>
      <w:r>
        <w:rPr>
          <w:i/>
          <w:sz w:val="24"/>
          <w:szCs w:val="24"/>
        </w:rPr>
        <w:tab/>
        <w:t>3.3</w:t>
      </w:r>
      <w:r w:rsidRPr="00D05EBD">
        <w:rPr>
          <w:i/>
          <w:sz w:val="24"/>
          <w:szCs w:val="24"/>
        </w:rPr>
        <w:t>.3.1.3 Materials</w:t>
      </w:r>
      <w:r w:rsidR="00B520FA">
        <w:rPr>
          <w:i/>
          <w:sz w:val="24"/>
          <w:szCs w:val="24"/>
        </w:rPr>
        <w:tab/>
      </w:r>
      <w:r w:rsidR="00B520FA">
        <w:rPr>
          <w:i/>
          <w:sz w:val="24"/>
          <w:szCs w:val="24"/>
        </w:rPr>
        <w:tab/>
      </w:r>
      <w:r w:rsidR="00B520FA">
        <w:rPr>
          <w:i/>
          <w:sz w:val="24"/>
          <w:szCs w:val="24"/>
        </w:rPr>
        <w:tab/>
      </w:r>
      <w:r w:rsidR="00B520FA">
        <w:rPr>
          <w:i/>
          <w:sz w:val="24"/>
          <w:szCs w:val="24"/>
        </w:rPr>
        <w:tab/>
      </w:r>
      <w:r w:rsidR="00B520FA">
        <w:rPr>
          <w:i/>
          <w:sz w:val="24"/>
          <w:szCs w:val="24"/>
        </w:rPr>
        <w:tab/>
      </w:r>
      <w:r w:rsidR="00B520FA">
        <w:rPr>
          <w:i/>
          <w:sz w:val="24"/>
          <w:szCs w:val="24"/>
        </w:rPr>
        <w:tab/>
        <w:t>p114</w:t>
      </w:r>
    </w:p>
    <w:p w:rsidR="001D6C0D" w:rsidRPr="00D05EBD" w:rsidRDefault="001D6C0D" w:rsidP="001D6C0D">
      <w:pPr>
        <w:spacing w:after="0" w:line="480" w:lineRule="auto"/>
        <w:jc w:val="both"/>
        <w:rPr>
          <w:i/>
          <w:sz w:val="24"/>
          <w:szCs w:val="24"/>
        </w:rPr>
      </w:pPr>
      <w:r>
        <w:rPr>
          <w:i/>
          <w:sz w:val="24"/>
          <w:szCs w:val="24"/>
        </w:rPr>
        <w:tab/>
      </w:r>
      <w:r>
        <w:rPr>
          <w:i/>
          <w:sz w:val="24"/>
          <w:szCs w:val="24"/>
        </w:rPr>
        <w:tab/>
      </w:r>
      <w:r>
        <w:rPr>
          <w:i/>
          <w:sz w:val="24"/>
          <w:szCs w:val="24"/>
        </w:rPr>
        <w:tab/>
        <w:t>3.3</w:t>
      </w:r>
      <w:r w:rsidRPr="00D05EBD">
        <w:rPr>
          <w:i/>
          <w:sz w:val="24"/>
          <w:szCs w:val="24"/>
        </w:rPr>
        <w:t>.3.1.4 Coding strategy</w:t>
      </w:r>
      <w:r>
        <w:rPr>
          <w:i/>
          <w:sz w:val="24"/>
          <w:szCs w:val="24"/>
        </w:rPr>
        <w:tab/>
      </w:r>
      <w:r>
        <w:rPr>
          <w:i/>
          <w:sz w:val="24"/>
          <w:szCs w:val="24"/>
        </w:rPr>
        <w:tab/>
      </w:r>
      <w:r>
        <w:rPr>
          <w:i/>
          <w:sz w:val="24"/>
          <w:szCs w:val="24"/>
        </w:rPr>
        <w:tab/>
      </w:r>
      <w:r>
        <w:rPr>
          <w:i/>
          <w:sz w:val="24"/>
          <w:szCs w:val="24"/>
        </w:rPr>
        <w:tab/>
      </w:r>
      <w:r>
        <w:rPr>
          <w:i/>
          <w:sz w:val="24"/>
          <w:szCs w:val="24"/>
        </w:rPr>
        <w:tab/>
        <w:t>p116</w:t>
      </w:r>
    </w:p>
    <w:p w:rsidR="001D6C0D" w:rsidRPr="00D05EBD" w:rsidRDefault="001D6C0D" w:rsidP="001D6C0D">
      <w:pPr>
        <w:spacing w:after="0" w:line="480" w:lineRule="auto"/>
        <w:jc w:val="both"/>
        <w:rPr>
          <w:sz w:val="24"/>
          <w:szCs w:val="24"/>
        </w:rPr>
      </w:pPr>
      <w:r>
        <w:rPr>
          <w:sz w:val="24"/>
          <w:szCs w:val="24"/>
        </w:rPr>
        <w:tab/>
      </w:r>
      <w:r>
        <w:rPr>
          <w:sz w:val="24"/>
          <w:szCs w:val="24"/>
        </w:rPr>
        <w:tab/>
        <w:t>3.3</w:t>
      </w:r>
      <w:r w:rsidRPr="00D05EBD">
        <w:rPr>
          <w:sz w:val="24"/>
          <w:szCs w:val="24"/>
        </w:rPr>
        <w:t>.3.2 Results</w:t>
      </w:r>
      <w:r w:rsidR="005432AE">
        <w:rPr>
          <w:sz w:val="24"/>
          <w:szCs w:val="24"/>
        </w:rPr>
        <w:tab/>
      </w:r>
      <w:r w:rsidR="005432AE">
        <w:rPr>
          <w:sz w:val="24"/>
          <w:szCs w:val="24"/>
        </w:rPr>
        <w:tab/>
      </w:r>
      <w:r w:rsidR="005432AE">
        <w:rPr>
          <w:sz w:val="24"/>
          <w:szCs w:val="24"/>
        </w:rPr>
        <w:tab/>
      </w:r>
      <w:r w:rsidR="005432AE">
        <w:rPr>
          <w:sz w:val="24"/>
          <w:szCs w:val="24"/>
        </w:rPr>
        <w:tab/>
      </w:r>
      <w:r w:rsidR="005432AE">
        <w:rPr>
          <w:sz w:val="24"/>
          <w:szCs w:val="24"/>
        </w:rPr>
        <w:tab/>
      </w:r>
      <w:r w:rsidR="005432AE">
        <w:rPr>
          <w:sz w:val="24"/>
          <w:szCs w:val="24"/>
        </w:rPr>
        <w:tab/>
      </w:r>
      <w:r w:rsidR="005432AE">
        <w:rPr>
          <w:sz w:val="24"/>
          <w:szCs w:val="24"/>
        </w:rPr>
        <w:tab/>
      </w:r>
      <w:r w:rsidR="005432AE">
        <w:rPr>
          <w:sz w:val="24"/>
          <w:szCs w:val="24"/>
        </w:rPr>
        <w:tab/>
        <w:t>p117</w:t>
      </w:r>
    </w:p>
    <w:p w:rsidR="001D6C0D" w:rsidRDefault="001D6C0D" w:rsidP="001D6C0D">
      <w:pPr>
        <w:spacing w:after="0" w:line="480" w:lineRule="auto"/>
        <w:jc w:val="both"/>
        <w:rPr>
          <w:sz w:val="24"/>
          <w:szCs w:val="24"/>
        </w:rPr>
      </w:pPr>
      <w:r>
        <w:rPr>
          <w:sz w:val="24"/>
          <w:szCs w:val="24"/>
        </w:rPr>
        <w:tab/>
      </w:r>
      <w:r>
        <w:rPr>
          <w:sz w:val="24"/>
          <w:szCs w:val="24"/>
        </w:rPr>
        <w:tab/>
        <w:t>3.3</w:t>
      </w:r>
      <w:r w:rsidRPr="00D05EBD">
        <w:rPr>
          <w:sz w:val="24"/>
          <w:szCs w:val="24"/>
        </w:rPr>
        <w:t>.3.3 Discussion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p122</w:t>
      </w:r>
    </w:p>
    <w:p w:rsidR="001D6C0D" w:rsidRPr="00D05EBD" w:rsidRDefault="001D6C0D" w:rsidP="001D6C0D">
      <w:pPr>
        <w:spacing w:after="0" w:line="480" w:lineRule="auto"/>
        <w:jc w:val="both"/>
        <w:rPr>
          <w:sz w:val="24"/>
          <w:szCs w:val="24"/>
        </w:rPr>
      </w:pPr>
      <w:r>
        <w:rPr>
          <w:sz w:val="24"/>
          <w:szCs w:val="24"/>
        </w:rPr>
        <w:tab/>
        <w:t>3.3</w:t>
      </w:r>
      <w:r w:rsidRPr="00D05EBD">
        <w:rPr>
          <w:sz w:val="24"/>
          <w:szCs w:val="24"/>
        </w:rPr>
        <w:t>.4 General discussion</w:t>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t>p124</w:t>
      </w:r>
    </w:p>
    <w:p w:rsidR="001D6C0D" w:rsidRPr="00D05EBD" w:rsidRDefault="001D6C0D" w:rsidP="001D6C0D">
      <w:pPr>
        <w:spacing w:after="0" w:line="480" w:lineRule="auto"/>
        <w:jc w:val="both"/>
        <w:rPr>
          <w:b/>
          <w:sz w:val="24"/>
          <w:szCs w:val="24"/>
        </w:rPr>
      </w:pPr>
    </w:p>
    <w:p w:rsidR="001D6C0D" w:rsidRPr="00D05EBD" w:rsidRDefault="001D6C0D" w:rsidP="001D6C0D">
      <w:pPr>
        <w:spacing w:after="0" w:line="480" w:lineRule="auto"/>
        <w:jc w:val="both"/>
        <w:rPr>
          <w:b/>
          <w:sz w:val="24"/>
          <w:szCs w:val="24"/>
        </w:rPr>
      </w:pPr>
      <w:r w:rsidRPr="00D05EBD">
        <w:rPr>
          <w:b/>
          <w:sz w:val="24"/>
          <w:szCs w:val="24"/>
        </w:rPr>
        <w:t>CHAPTER 4. DOES HAVING PREVIOUSLY EXERTED SELF-CONTROL AFFECT THE USE OF INTERPERSONAL EMOTION REGULATION?</w:t>
      </w:r>
      <w:r w:rsidR="00EE138F">
        <w:rPr>
          <w:b/>
          <w:sz w:val="24"/>
          <w:szCs w:val="24"/>
        </w:rPr>
        <w:tab/>
      </w:r>
      <w:r w:rsidR="00EE138F">
        <w:rPr>
          <w:b/>
          <w:sz w:val="24"/>
          <w:szCs w:val="24"/>
        </w:rPr>
        <w:tab/>
      </w:r>
      <w:r w:rsidR="00EE138F">
        <w:rPr>
          <w:b/>
          <w:sz w:val="24"/>
          <w:szCs w:val="24"/>
        </w:rPr>
        <w:tab/>
      </w:r>
      <w:r w:rsidR="00EE138F">
        <w:rPr>
          <w:b/>
          <w:sz w:val="24"/>
          <w:szCs w:val="24"/>
        </w:rPr>
        <w:tab/>
      </w:r>
      <w:r w:rsidR="00EE138F">
        <w:rPr>
          <w:b/>
          <w:sz w:val="24"/>
          <w:szCs w:val="24"/>
        </w:rPr>
        <w:tab/>
      </w:r>
      <w:r w:rsidR="00EE138F">
        <w:rPr>
          <w:b/>
          <w:sz w:val="24"/>
          <w:szCs w:val="24"/>
        </w:rPr>
        <w:tab/>
      </w:r>
      <w:r w:rsidR="00EE138F">
        <w:rPr>
          <w:sz w:val="24"/>
          <w:szCs w:val="24"/>
        </w:rPr>
        <w:t>p</w:t>
      </w:r>
      <w:r w:rsidR="00EE138F" w:rsidRPr="00EE138F">
        <w:rPr>
          <w:sz w:val="24"/>
          <w:szCs w:val="24"/>
        </w:rPr>
        <w:t>12</w:t>
      </w:r>
      <w:r w:rsidR="00B520FA">
        <w:rPr>
          <w:sz w:val="24"/>
          <w:szCs w:val="24"/>
        </w:rPr>
        <w:t>9</w:t>
      </w:r>
    </w:p>
    <w:p w:rsidR="001D6C0D" w:rsidRPr="00D05EBD" w:rsidRDefault="001D6C0D" w:rsidP="001D6C0D">
      <w:pPr>
        <w:spacing w:after="0" w:line="480" w:lineRule="auto"/>
        <w:jc w:val="both"/>
        <w:rPr>
          <w:b/>
          <w:sz w:val="24"/>
          <w:szCs w:val="24"/>
        </w:rPr>
      </w:pPr>
      <w:r w:rsidRPr="00D05EBD">
        <w:rPr>
          <w:sz w:val="24"/>
          <w:szCs w:val="24"/>
        </w:rPr>
        <w:t>4.1 Strength model of self-control</w:t>
      </w:r>
      <w:r w:rsidRPr="00D05EBD">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E43908">
        <w:rPr>
          <w:sz w:val="24"/>
          <w:szCs w:val="24"/>
        </w:rPr>
        <w:t>p13</w:t>
      </w:r>
      <w:r w:rsidR="00B520FA">
        <w:rPr>
          <w:sz w:val="24"/>
          <w:szCs w:val="24"/>
        </w:rPr>
        <w:t>1</w:t>
      </w:r>
    </w:p>
    <w:p w:rsidR="001D6C0D" w:rsidRPr="00D05EBD" w:rsidRDefault="001D6C0D" w:rsidP="001D6C0D">
      <w:pPr>
        <w:spacing w:after="0" w:line="480" w:lineRule="auto"/>
        <w:jc w:val="both"/>
        <w:rPr>
          <w:sz w:val="24"/>
          <w:szCs w:val="24"/>
        </w:rPr>
      </w:pPr>
      <w:r w:rsidRPr="00D05EBD">
        <w:rPr>
          <w:sz w:val="24"/>
          <w:szCs w:val="24"/>
        </w:rPr>
        <w:lastRenderedPageBreak/>
        <w:t>4.2 Study 3</w:t>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t>p140</w:t>
      </w:r>
    </w:p>
    <w:p w:rsidR="001D6C0D" w:rsidRPr="00D05EBD" w:rsidRDefault="001D6C0D" w:rsidP="001D6C0D">
      <w:pPr>
        <w:spacing w:after="0" w:line="480" w:lineRule="auto"/>
        <w:jc w:val="both"/>
        <w:rPr>
          <w:sz w:val="24"/>
          <w:szCs w:val="24"/>
        </w:rPr>
      </w:pPr>
      <w:r w:rsidRPr="00D05EBD">
        <w:rPr>
          <w:sz w:val="24"/>
          <w:szCs w:val="24"/>
        </w:rPr>
        <w:tab/>
        <w:t>4.2.1 Predictions</w:t>
      </w:r>
      <w:r w:rsidR="00123FBC">
        <w:rPr>
          <w:sz w:val="24"/>
          <w:szCs w:val="24"/>
        </w:rPr>
        <w:tab/>
      </w:r>
      <w:r w:rsidR="00123FBC">
        <w:rPr>
          <w:sz w:val="24"/>
          <w:szCs w:val="24"/>
        </w:rPr>
        <w:tab/>
      </w:r>
      <w:r w:rsidR="00123FBC">
        <w:rPr>
          <w:sz w:val="24"/>
          <w:szCs w:val="24"/>
        </w:rPr>
        <w:tab/>
      </w:r>
      <w:r w:rsidR="00123FBC">
        <w:rPr>
          <w:sz w:val="24"/>
          <w:szCs w:val="24"/>
        </w:rPr>
        <w:tab/>
      </w:r>
      <w:r w:rsidR="00123FBC">
        <w:rPr>
          <w:sz w:val="24"/>
          <w:szCs w:val="24"/>
        </w:rPr>
        <w:tab/>
      </w:r>
      <w:r w:rsidR="00123FBC">
        <w:rPr>
          <w:sz w:val="24"/>
          <w:szCs w:val="24"/>
        </w:rPr>
        <w:tab/>
      </w:r>
      <w:r w:rsidR="00123FBC">
        <w:rPr>
          <w:sz w:val="24"/>
          <w:szCs w:val="24"/>
        </w:rPr>
        <w:tab/>
      </w:r>
      <w:r w:rsidR="00123FBC">
        <w:rPr>
          <w:sz w:val="24"/>
          <w:szCs w:val="24"/>
        </w:rPr>
        <w:tab/>
        <w:t>p140</w:t>
      </w:r>
    </w:p>
    <w:p w:rsidR="001D6C0D" w:rsidRPr="00D05EBD" w:rsidRDefault="001D6C0D" w:rsidP="001D6C0D">
      <w:pPr>
        <w:spacing w:after="0" w:line="480" w:lineRule="auto"/>
        <w:jc w:val="both"/>
        <w:rPr>
          <w:sz w:val="24"/>
          <w:szCs w:val="24"/>
        </w:rPr>
      </w:pPr>
      <w:r w:rsidRPr="00D05EBD">
        <w:rPr>
          <w:sz w:val="24"/>
          <w:szCs w:val="24"/>
        </w:rPr>
        <w:tab/>
        <w:t>4.2.2 Method</w:t>
      </w:r>
      <w:r w:rsidRPr="00D05EBD">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t>p142</w:t>
      </w:r>
    </w:p>
    <w:p w:rsidR="001D6C0D" w:rsidRPr="00D05EBD" w:rsidRDefault="001D6C0D" w:rsidP="001D6C0D">
      <w:pPr>
        <w:spacing w:after="0" w:line="480" w:lineRule="auto"/>
        <w:jc w:val="both"/>
        <w:rPr>
          <w:i/>
          <w:sz w:val="24"/>
          <w:szCs w:val="24"/>
        </w:rPr>
      </w:pPr>
      <w:r w:rsidRPr="00D05EBD">
        <w:rPr>
          <w:sz w:val="24"/>
          <w:szCs w:val="24"/>
        </w:rPr>
        <w:tab/>
      </w:r>
      <w:r w:rsidRPr="00D05EBD">
        <w:rPr>
          <w:sz w:val="24"/>
          <w:szCs w:val="24"/>
        </w:rPr>
        <w:tab/>
      </w:r>
      <w:r w:rsidRPr="00D05EBD">
        <w:rPr>
          <w:i/>
          <w:sz w:val="24"/>
          <w:szCs w:val="24"/>
        </w:rPr>
        <w:t>4.2.2.1 Participants</w:t>
      </w:r>
      <w:r w:rsidR="00B520FA">
        <w:rPr>
          <w:i/>
          <w:sz w:val="24"/>
          <w:szCs w:val="24"/>
        </w:rPr>
        <w:tab/>
      </w:r>
      <w:r w:rsidR="00B520FA">
        <w:rPr>
          <w:i/>
          <w:sz w:val="24"/>
          <w:szCs w:val="24"/>
        </w:rPr>
        <w:tab/>
      </w:r>
      <w:r w:rsidR="00B520FA">
        <w:rPr>
          <w:i/>
          <w:sz w:val="24"/>
          <w:szCs w:val="24"/>
        </w:rPr>
        <w:tab/>
      </w:r>
      <w:r w:rsidR="00B520FA">
        <w:rPr>
          <w:i/>
          <w:sz w:val="24"/>
          <w:szCs w:val="24"/>
        </w:rPr>
        <w:tab/>
      </w:r>
      <w:r w:rsidR="00B520FA">
        <w:rPr>
          <w:i/>
          <w:sz w:val="24"/>
          <w:szCs w:val="24"/>
        </w:rPr>
        <w:tab/>
      </w:r>
      <w:r w:rsidR="00B520FA">
        <w:rPr>
          <w:i/>
          <w:sz w:val="24"/>
          <w:szCs w:val="24"/>
        </w:rPr>
        <w:tab/>
      </w:r>
      <w:r w:rsidR="00B520FA">
        <w:rPr>
          <w:i/>
          <w:sz w:val="24"/>
          <w:szCs w:val="24"/>
        </w:rPr>
        <w:tab/>
        <w:t>p142</w:t>
      </w:r>
    </w:p>
    <w:p w:rsidR="001D6C0D" w:rsidRPr="00D05EBD" w:rsidRDefault="001D6C0D" w:rsidP="001D6C0D">
      <w:pPr>
        <w:spacing w:line="480" w:lineRule="auto"/>
        <w:jc w:val="both"/>
        <w:rPr>
          <w:rFonts w:cs="Times New Roman"/>
          <w:i/>
          <w:sz w:val="24"/>
          <w:szCs w:val="24"/>
        </w:rPr>
      </w:pPr>
      <w:r w:rsidRPr="00D05EBD">
        <w:rPr>
          <w:i/>
          <w:sz w:val="24"/>
          <w:szCs w:val="24"/>
        </w:rPr>
        <w:tab/>
      </w:r>
      <w:r w:rsidRPr="00D05EBD">
        <w:rPr>
          <w:i/>
          <w:sz w:val="24"/>
          <w:szCs w:val="24"/>
        </w:rPr>
        <w:tab/>
      </w:r>
      <w:r w:rsidRPr="00D05EBD">
        <w:rPr>
          <w:rFonts w:cs="Times New Roman"/>
          <w:i/>
          <w:sz w:val="24"/>
          <w:szCs w:val="24"/>
        </w:rPr>
        <w:t>4.2.2.2 Procedure</w:t>
      </w:r>
      <w:r w:rsidR="00123FBC">
        <w:rPr>
          <w:rFonts w:cs="Times New Roman"/>
          <w:i/>
          <w:sz w:val="24"/>
          <w:szCs w:val="24"/>
        </w:rPr>
        <w:tab/>
      </w:r>
      <w:r w:rsidR="00123FBC">
        <w:rPr>
          <w:rFonts w:cs="Times New Roman"/>
          <w:i/>
          <w:sz w:val="24"/>
          <w:szCs w:val="24"/>
        </w:rPr>
        <w:tab/>
      </w:r>
      <w:r w:rsidR="00123FBC">
        <w:rPr>
          <w:rFonts w:cs="Times New Roman"/>
          <w:i/>
          <w:sz w:val="24"/>
          <w:szCs w:val="24"/>
        </w:rPr>
        <w:tab/>
      </w:r>
      <w:r w:rsidR="00123FBC">
        <w:rPr>
          <w:rFonts w:cs="Times New Roman"/>
          <w:i/>
          <w:sz w:val="24"/>
          <w:szCs w:val="24"/>
        </w:rPr>
        <w:tab/>
      </w:r>
      <w:r w:rsidR="00123FBC">
        <w:rPr>
          <w:rFonts w:cs="Times New Roman"/>
          <w:i/>
          <w:sz w:val="24"/>
          <w:szCs w:val="24"/>
        </w:rPr>
        <w:tab/>
      </w:r>
      <w:r w:rsidR="00123FBC">
        <w:rPr>
          <w:rFonts w:cs="Times New Roman"/>
          <w:i/>
          <w:sz w:val="24"/>
          <w:szCs w:val="24"/>
        </w:rPr>
        <w:tab/>
      </w:r>
      <w:r w:rsidR="00123FBC">
        <w:rPr>
          <w:rFonts w:cs="Times New Roman"/>
          <w:i/>
          <w:sz w:val="24"/>
          <w:szCs w:val="24"/>
        </w:rPr>
        <w:tab/>
        <w:t>p142</w:t>
      </w:r>
    </w:p>
    <w:p w:rsidR="001D6C0D" w:rsidRDefault="001D6C0D" w:rsidP="001D6C0D">
      <w:pPr>
        <w:spacing w:line="480" w:lineRule="auto"/>
        <w:jc w:val="both"/>
        <w:rPr>
          <w:rFonts w:cs="Times New Roman"/>
          <w:i/>
          <w:sz w:val="24"/>
          <w:szCs w:val="24"/>
        </w:rPr>
      </w:pPr>
      <w:r w:rsidRPr="00D05EBD">
        <w:rPr>
          <w:rFonts w:cs="Times New Roman"/>
          <w:i/>
          <w:sz w:val="24"/>
          <w:szCs w:val="24"/>
        </w:rPr>
        <w:tab/>
      </w:r>
      <w:r w:rsidRPr="00D05EBD">
        <w:rPr>
          <w:rFonts w:cs="Times New Roman"/>
          <w:i/>
          <w:sz w:val="24"/>
          <w:szCs w:val="24"/>
        </w:rPr>
        <w:tab/>
        <w:t>4.2.2.3 Materials</w:t>
      </w:r>
      <w:r w:rsidR="00123FBC">
        <w:rPr>
          <w:rFonts w:cs="Times New Roman"/>
          <w:i/>
          <w:sz w:val="24"/>
          <w:szCs w:val="24"/>
        </w:rPr>
        <w:tab/>
      </w:r>
      <w:r w:rsidR="00123FBC">
        <w:rPr>
          <w:rFonts w:cs="Times New Roman"/>
          <w:i/>
          <w:sz w:val="24"/>
          <w:szCs w:val="24"/>
        </w:rPr>
        <w:tab/>
      </w:r>
      <w:r w:rsidR="00123FBC">
        <w:rPr>
          <w:rFonts w:cs="Times New Roman"/>
          <w:i/>
          <w:sz w:val="24"/>
          <w:szCs w:val="24"/>
        </w:rPr>
        <w:tab/>
      </w:r>
      <w:r w:rsidR="00123FBC">
        <w:rPr>
          <w:rFonts w:cs="Times New Roman"/>
          <w:i/>
          <w:sz w:val="24"/>
          <w:szCs w:val="24"/>
        </w:rPr>
        <w:tab/>
      </w:r>
      <w:r w:rsidR="00123FBC">
        <w:rPr>
          <w:rFonts w:cs="Times New Roman"/>
          <w:i/>
          <w:sz w:val="24"/>
          <w:szCs w:val="24"/>
        </w:rPr>
        <w:tab/>
      </w:r>
      <w:r w:rsidR="00123FBC">
        <w:rPr>
          <w:rFonts w:cs="Times New Roman"/>
          <w:i/>
          <w:sz w:val="24"/>
          <w:szCs w:val="24"/>
        </w:rPr>
        <w:tab/>
      </w:r>
      <w:r w:rsidR="00123FBC">
        <w:rPr>
          <w:rFonts w:cs="Times New Roman"/>
          <w:i/>
          <w:sz w:val="24"/>
          <w:szCs w:val="24"/>
        </w:rPr>
        <w:tab/>
        <w:t>p143</w:t>
      </w:r>
    </w:p>
    <w:p w:rsidR="001D6C0D" w:rsidRPr="00EA6738" w:rsidRDefault="001D6C0D" w:rsidP="001D6C0D">
      <w:pPr>
        <w:spacing w:line="480" w:lineRule="auto"/>
        <w:jc w:val="both"/>
        <w:rPr>
          <w:rFonts w:cs="Times New Roman"/>
          <w:i/>
          <w:sz w:val="24"/>
          <w:szCs w:val="24"/>
        </w:rPr>
      </w:pPr>
      <w:r w:rsidRPr="00D05EBD">
        <w:rPr>
          <w:rFonts w:cs="Times New Roman"/>
          <w:sz w:val="24"/>
          <w:szCs w:val="24"/>
        </w:rPr>
        <w:tab/>
        <w:t>4.2.3 Results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p14</w:t>
      </w:r>
      <w:r w:rsidR="00B520FA">
        <w:rPr>
          <w:rFonts w:cs="Times New Roman"/>
          <w:sz w:val="24"/>
          <w:szCs w:val="24"/>
        </w:rPr>
        <w:t>7</w:t>
      </w:r>
    </w:p>
    <w:p w:rsidR="001D6C0D" w:rsidRPr="00D05EBD" w:rsidRDefault="001D6C0D" w:rsidP="001D6C0D">
      <w:pPr>
        <w:spacing w:line="480" w:lineRule="auto"/>
        <w:jc w:val="both"/>
        <w:rPr>
          <w:rFonts w:cs="Times New Roman"/>
          <w:sz w:val="24"/>
          <w:szCs w:val="24"/>
        </w:rPr>
      </w:pPr>
      <w:r w:rsidRPr="00D05EBD">
        <w:rPr>
          <w:rFonts w:cs="Times New Roman"/>
          <w:sz w:val="24"/>
          <w:szCs w:val="24"/>
        </w:rPr>
        <w:tab/>
        <w:t>4.2.4 Discussion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p153</w:t>
      </w:r>
    </w:p>
    <w:p w:rsidR="001D6C0D" w:rsidRPr="00D05EBD" w:rsidRDefault="001D6C0D" w:rsidP="001D6C0D">
      <w:pPr>
        <w:spacing w:line="480" w:lineRule="auto"/>
        <w:jc w:val="both"/>
        <w:rPr>
          <w:rFonts w:cs="Times New Roman"/>
          <w:sz w:val="24"/>
          <w:szCs w:val="24"/>
        </w:rPr>
      </w:pPr>
      <w:r w:rsidRPr="00D05EBD">
        <w:rPr>
          <w:rFonts w:cs="Times New Roman"/>
          <w:sz w:val="24"/>
          <w:szCs w:val="24"/>
        </w:rPr>
        <w:tab/>
        <w:t>4.2.5 Concluding comment</w:t>
      </w:r>
      <w:r w:rsidR="00B520FA">
        <w:rPr>
          <w:rFonts w:cs="Times New Roman"/>
          <w:sz w:val="24"/>
          <w:szCs w:val="24"/>
        </w:rPr>
        <w:tab/>
      </w:r>
      <w:r w:rsidR="00B520FA">
        <w:rPr>
          <w:rFonts w:cs="Times New Roman"/>
          <w:sz w:val="24"/>
          <w:szCs w:val="24"/>
        </w:rPr>
        <w:tab/>
      </w:r>
      <w:r w:rsidR="00B520FA">
        <w:rPr>
          <w:rFonts w:cs="Times New Roman"/>
          <w:sz w:val="24"/>
          <w:szCs w:val="24"/>
        </w:rPr>
        <w:tab/>
      </w:r>
      <w:r w:rsidR="00B520FA">
        <w:rPr>
          <w:rFonts w:cs="Times New Roman"/>
          <w:sz w:val="24"/>
          <w:szCs w:val="24"/>
        </w:rPr>
        <w:tab/>
      </w:r>
      <w:r w:rsidR="00B520FA">
        <w:rPr>
          <w:rFonts w:cs="Times New Roman"/>
          <w:sz w:val="24"/>
          <w:szCs w:val="24"/>
        </w:rPr>
        <w:tab/>
      </w:r>
      <w:r w:rsidR="00B520FA">
        <w:rPr>
          <w:rFonts w:cs="Times New Roman"/>
          <w:sz w:val="24"/>
          <w:szCs w:val="24"/>
        </w:rPr>
        <w:tab/>
      </w:r>
      <w:r w:rsidR="00B520FA">
        <w:rPr>
          <w:rFonts w:cs="Times New Roman"/>
          <w:sz w:val="24"/>
          <w:szCs w:val="24"/>
        </w:rPr>
        <w:tab/>
        <w:t>p167</w:t>
      </w:r>
    </w:p>
    <w:p w:rsidR="001D6C0D" w:rsidRPr="00D05EBD" w:rsidRDefault="001D6C0D" w:rsidP="001D6C0D">
      <w:pPr>
        <w:spacing w:after="0" w:line="480" w:lineRule="auto"/>
        <w:jc w:val="both"/>
        <w:rPr>
          <w:sz w:val="24"/>
          <w:szCs w:val="24"/>
        </w:rPr>
      </w:pPr>
    </w:p>
    <w:p w:rsidR="001D6C0D" w:rsidRPr="00B520FA" w:rsidRDefault="001D6C0D" w:rsidP="001D6C0D">
      <w:pPr>
        <w:spacing w:after="0" w:line="480" w:lineRule="auto"/>
        <w:jc w:val="both"/>
        <w:rPr>
          <w:sz w:val="24"/>
          <w:szCs w:val="24"/>
        </w:rPr>
      </w:pPr>
      <w:r w:rsidRPr="00D05EBD">
        <w:rPr>
          <w:b/>
          <w:sz w:val="24"/>
          <w:szCs w:val="24"/>
        </w:rPr>
        <w:t xml:space="preserve">CHAPTER 5. ARE PEOPLE MORE LIKELY TO USE AUTOMATIC INTERPERSONAL EMOTION REGULATION WHEN EXPERIENCING MENTAL LOAD IN A SOCIAL CONTEXT? </w:t>
      </w:r>
      <w:r w:rsidR="00B520FA">
        <w:rPr>
          <w:b/>
          <w:sz w:val="24"/>
          <w:szCs w:val="24"/>
        </w:rPr>
        <w:tab/>
      </w:r>
      <w:r w:rsidR="00B520FA">
        <w:rPr>
          <w:sz w:val="24"/>
          <w:szCs w:val="24"/>
        </w:rPr>
        <w:t>P169</w:t>
      </w:r>
    </w:p>
    <w:p w:rsidR="001D6C0D" w:rsidRPr="00D05EBD" w:rsidRDefault="001D6C0D" w:rsidP="001D6C0D">
      <w:pPr>
        <w:spacing w:after="0" w:line="480" w:lineRule="auto"/>
        <w:jc w:val="both"/>
        <w:rPr>
          <w:sz w:val="24"/>
          <w:szCs w:val="24"/>
        </w:rPr>
      </w:pPr>
      <w:r w:rsidRPr="00D05EBD">
        <w:rPr>
          <w:sz w:val="24"/>
          <w:szCs w:val="24"/>
        </w:rPr>
        <w:t>5.1 Automaticity and cognitive load</w:t>
      </w:r>
      <w:r>
        <w:rPr>
          <w:sz w:val="24"/>
          <w:szCs w:val="24"/>
        </w:rPr>
        <w:tab/>
      </w:r>
      <w:r>
        <w:rPr>
          <w:sz w:val="24"/>
          <w:szCs w:val="24"/>
        </w:rPr>
        <w:tab/>
      </w:r>
      <w:r>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t>p172</w:t>
      </w:r>
    </w:p>
    <w:p w:rsidR="001D6C0D" w:rsidRPr="00D05EBD" w:rsidRDefault="001D6C0D" w:rsidP="001D6C0D">
      <w:pPr>
        <w:spacing w:after="0" w:line="480" w:lineRule="auto"/>
        <w:jc w:val="both"/>
        <w:rPr>
          <w:sz w:val="24"/>
          <w:szCs w:val="24"/>
        </w:rPr>
      </w:pPr>
      <w:r w:rsidRPr="00D05EBD">
        <w:rPr>
          <w:sz w:val="24"/>
          <w:szCs w:val="24"/>
        </w:rPr>
        <w:t>5.2 Interpersonal emotion regulation in romantic interactions</w:t>
      </w:r>
      <w:r w:rsidR="00B520FA">
        <w:rPr>
          <w:sz w:val="24"/>
          <w:szCs w:val="24"/>
        </w:rPr>
        <w:tab/>
      </w:r>
      <w:r w:rsidR="00B520FA">
        <w:rPr>
          <w:sz w:val="24"/>
          <w:szCs w:val="24"/>
        </w:rPr>
        <w:tab/>
      </w:r>
      <w:r w:rsidR="00B520FA">
        <w:rPr>
          <w:sz w:val="24"/>
          <w:szCs w:val="24"/>
        </w:rPr>
        <w:tab/>
        <w:t>p174</w:t>
      </w:r>
    </w:p>
    <w:p w:rsidR="001D6C0D" w:rsidRPr="00D05EBD" w:rsidRDefault="001D6C0D" w:rsidP="001D6C0D">
      <w:pPr>
        <w:spacing w:after="0" w:line="480" w:lineRule="auto"/>
        <w:jc w:val="both"/>
        <w:rPr>
          <w:sz w:val="24"/>
          <w:szCs w:val="24"/>
        </w:rPr>
      </w:pPr>
      <w:r w:rsidRPr="00D05EBD">
        <w:rPr>
          <w:sz w:val="24"/>
          <w:szCs w:val="24"/>
        </w:rPr>
        <w:t>5.3 Factors that affect AIER</w:t>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r>
      <w:r w:rsidR="00B520FA">
        <w:rPr>
          <w:sz w:val="24"/>
          <w:szCs w:val="24"/>
        </w:rPr>
        <w:tab/>
        <w:t>p176</w:t>
      </w:r>
    </w:p>
    <w:p w:rsidR="001D6C0D" w:rsidRPr="00D05EBD" w:rsidRDefault="001D6C0D" w:rsidP="001D6C0D">
      <w:pPr>
        <w:spacing w:after="0" w:line="480" w:lineRule="auto"/>
        <w:jc w:val="both"/>
        <w:rPr>
          <w:sz w:val="24"/>
          <w:szCs w:val="24"/>
        </w:rPr>
      </w:pPr>
      <w:r w:rsidRPr="00D05EBD">
        <w:rPr>
          <w:sz w:val="24"/>
          <w:szCs w:val="24"/>
        </w:rPr>
        <w:t>5.4 Study 4</w:t>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t>p178</w:t>
      </w:r>
    </w:p>
    <w:p w:rsidR="001D6C0D" w:rsidRPr="00D05EBD" w:rsidRDefault="001D6C0D" w:rsidP="001D6C0D">
      <w:pPr>
        <w:spacing w:after="0" w:line="480" w:lineRule="auto"/>
        <w:jc w:val="both"/>
        <w:rPr>
          <w:sz w:val="24"/>
          <w:szCs w:val="24"/>
        </w:rPr>
      </w:pPr>
      <w:r w:rsidRPr="00D05EBD">
        <w:rPr>
          <w:sz w:val="24"/>
          <w:szCs w:val="24"/>
        </w:rPr>
        <w:tab/>
        <w:t>5.4.1 Method</w:t>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t>p179</w:t>
      </w:r>
    </w:p>
    <w:p w:rsidR="001D6C0D" w:rsidRPr="00D05EBD" w:rsidRDefault="001D6C0D" w:rsidP="001D6C0D">
      <w:pPr>
        <w:spacing w:after="0" w:line="480" w:lineRule="auto"/>
        <w:jc w:val="both"/>
        <w:rPr>
          <w:i/>
          <w:sz w:val="24"/>
          <w:szCs w:val="24"/>
        </w:rPr>
      </w:pPr>
      <w:r>
        <w:rPr>
          <w:sz w:val="24"/>
          <w:szCs w:val="24"/>
        </w:rPr>
        <w:tab/>
      </w:r>
      <w:r w:rsidRPr="00D05EBD">
        <w:rPr>
          <w:sz w:val="24"/>
          <w:szCs w:val="24"/>
        </w:rPr>
        <w:tab/>
      </w:r>
      <w:r w:rsidRPr="00D05EBD">
        <w:rPr>
          <w:i/>
          <w:sz w:val="24"/>
          <w:szCs w:val="24"/>
        </w:rPr>
        <w:t>5.4.1.1 Participants</w:t>
      </w:r>
      <w:r w:rsidR="00BC6941">
        <w:rPr>
          <w:i/>
          <w:sz w:val="24"/>
          <w:szCs w:val="24"/>
        </w:rPr>
        <w:tab/>
      </w:r>
      <w:r w:rsidR="00BC6941">
        <w:rPr>
          <w:i/>
          <w:sz w:val="24"/>
          <w:szCs w:val="24"/>
        </w:rPr>
        <w:tab/>
      </w:r>
      <w:r w:rsidR="00BC6941">
        <w:rPr>
          <w:i/>
          <w:sz w:val="24"/>
          <w:szCs w:val="24"/>
        </w:rPr>
        <w:tab/>
      </w:r>
      <w:r w:rsidR="00BC6941">
        <w:rPr>
          <w:i/>
          <w:sz w:val="24"/>
          <w:szCs w:val="24"/>
        </w:rPr>
        <w:tab/>
      </w:r>
      <w:r w:rsidR="00BC6941">
        <w:rPr>
          <w:i/>
          <w:sz w:val="24"/>
          <w:szCs w:val="24"/>
        </w:rPr>
        <w:tab/>
      </w:r>
      <w:r w:rsidR="00BC6941">
        <w:rPr>
          <w:i/>
          <w:sz w:val="24"/>
          <w:szCs w:val="24"/>
        </w:rPr>
        <w:tab/>
      </w:r>
      <w:r w:rsidR="00BC6941">
        <w:rPr>
          <w:i/>
          <w:sz w:val="24"/>
          <w:szCs w:val="24"/>
        </w:rPr>
        <w:tab/>
        <w:t>p179</w:t>
      </w:r>
    </w:p>
    <w:p w:rsidR="001D6C0D" w:rsidRPr="00D05EBD" w:rsidRDefault="001D6C0D" w:rsidP="001D6C0D">
      <w:pPr>
        <w:spacing w:after="0" w:line="480" w:lineRule="auto"/>
        <w:jc w:val="both"/>
        <w:rPr>
          <w:i/>
          <w:sz w:val="24"/>
          <w:szCs w:val="24"/>
        </w:rPr>
      </w:pPr>
      <w:r>
        <w:rPr>
          <w:i/>
          <w:sz w:val="24"/>
          <w:szCs w:val="24"/>
        </w:rPr>
        <w:tab/>
      </w:r>
      <w:r w:rsidRPr="00D05EBD">
        <w:rPr>
          <w:i/>
          <w:sz w:val="24"/>
          <w:szCs w:val="24"/>
        </w:rPr>
        <w:tab/>
        <w:t>5.4.1.2 Procedure</w:t>
      </w:r>
      <w:r w:rsidR="00BC6941">
        <w:rPr>
          <w:i/>
          <w:sz w:val="24"/>
          <w:szCs w:val="24"/>
        </w:rPr>
        <w:tab/>
      </w:r>
      <w:r w:rsidR="00BC6941">
        <w:rPr>
          <w:i/>
          <w:sz w:val="24"/>
          <w:szCs w:val="24"/>
        </w:rPr>
        <w:tab/>
      </w:r>
      <w:r w:rsidR="00BC6941">
        <w:rPr>
          <w:i/>
          <w:sz w:val="24"/>
          <w:szCs w:val="24"/>
        </w:rPr>
        <w:tab/>
      </w:r>
      <w:r w:rsidR="00BC6941">
        <w:rPr>
          <w:i/>
          <w:sz w:val="24"/>
          <w:szCs w:val="24"/>
        </w:rPr>
        <w:tab/>
      </w:r>
      <w:r w:rsidR="00BC6941">
        <w:rPr>
          <w:i/>
          <w:sz w:val="24"/>
          <w:szCs w:val="24"/>
        </w:rPr>
        <w:tab/>
      </w:r>
      <w:r w:rsidR="00BC6941">
        <w:rPr>
          <w:i/>
          <w:sz w:val="24"/>
          <w:szCs w:val="24"/>
        </w:rPr>
        <w:tab/>
      </w:r>
      <w:r w:rsidR="00BC6941">
        <w:rPr>
          <w:i/>
          <w:sz w:val="24"/>
          <w:szCs w:val="24"/>
        </w:rPr>
        <w:tab/>
        <w:t>p180</w:t>
      </w:r>
    </w:p>
    <w:p w:rsidR="001D6C0D" w:rsidRPr="00D05EBD" w:rsidRDefault="001D6C0D" w:rsidP="001D6C0D">
      <w:pPr>
        <w:spacing w:line="480" w:lineRule="auto"/>
        <w:jc w:val="both"/>
        <w:rPr>
          <w:i/>
          <w:sz w:val="24"/>
          <w:szCs w:val="24"/>
        </w:rPr>
      </w:pPr>
      <w:r>
        <w:rPr>
          <w:i/>
          <w:sz w:val="24"/>
          <w:szCs w:val="24"/>
        </w:rPr>
        <w:tab/>
      </w:r>
      <w:r w:rsidRPr="00D05EBD">
        <w:rPr>
          <w:i/>
          <w:sz w:val="24"/>
          <w:szCs w:val="24"/>
        </w:rPr>
        <w:tab/>
        <w:t>5.4.1.3 Materials</w:t>
      </w:r>
      <w:r w:rsidR="00BC6941">
        <w:rPr>
          <w:i/>
          <w:sz w:val="24"/>
          <w:szCs w:val="24"/>
        </w:rPr>
        <w:tab/>
      </w:r>
      <w:r w:rsidR="00BC6941">
        <w:rPr>
          <w:i/>
          <w:sz w:val="24"/>
          <w:szCs w:val="24"/>
        </w:rPr>
        <w:tab/>
      </w:r>
      <w:r w:rsidR="00BC6941">
        <w:rPr>
          <w:i/>
          <w:sz w:val="24"/>
          <w:szCs w:val="24"/>
        </w:rPr>
        <w:tab/>
      </w:r>
      <w:r w:rsidR="00BC6941">
        <w:rPr>
          <w:i/>
          <w:sz w:val="24"/>
          <w:szCs w:val="24"/>
        </w:rPr>
        <w:tab/>
      </w:r>
      <w:r w:rsidR="00BC6941">
        <w:rPr>
          <w:i/>
          <w:sz w:val="24"/>
          <w:szCs w:val="24"/>
        </w:rPr>
        <w:tab/>
      </w:r>
      <w:r w:rsidR="00BC6941">
        <w:rPr>
          <w:i/>
          <w:sz w:val="24"/>
          <w:szCs w:val="24"/>
        </w:rPr>
        <w:tab/>
      </w:r>
      <w:r w:rsidR="00BC6941">
        <w:rPr>
          <w:i/>
          <w:sz w:val="24"/>
          <w:szCs w:val="24"/>
        </w:rPr>
        <w:tab/>
        <w:t>p184</w:t>
      </w:r>
    </w:p>
    <w:p w:rsidR="001D6C0D" w:rsidRPr="00D05EBD" w:rsidRDefault="001D6C0D" w:rsidP="001D6C0D">
      <w:pPr>
        <w:spacing w:line="480" w:lineRule="auto"/>
        <w:ind w:left="720" w:firstLine="720"/>
        <w:jc w:val="both"/>
        <w:rPr>
          <w:i/>
          <w:sz w:val="24"/>
          <w:szCs w:val="24"/>
        </w:rPr>
      </w:pPr>
      <w:r w:rsidRPr="00D05EBD">
        <w:rPr>
          <w:i/>
          <w:sz w:val="24"/>
          <w:szCs w:val="24"/>
        </w:rPr>
        <w:t>5.4.1.4 Data analysis strategy</w:t>
      </w:r>
      <w:r w:rsidR="00BC6941">
        <w:rPr>
          <w:i/>
          <w:sz w:val="24"/>
          <w:szCs w:val="24"/>
        </w:rPr>
        <w:tab/>
      </w:r>
      <w:r w:rsidR="00BC6941">
        <w:rPr>
          <w:i/>
          <w:sz w:val="24"/>
          <w:szCs w:val="24"/>
        </w:rPr>
        <w:tab/>
      </w:r>
      <w:r w:rsidR="00BC6941">
        <w:rPr>
          <w:i/>
          <w:sz w:val="24"/>
          <w:szCs w:val="24"/>
        </w:rPr>
        <w:tab/>
      </w:r>
      <w:r w:rsidR="00BC6941">
        <w:rPr>
          <w:i/>
          <w:sz w:val="24"/>
          <w:szCs w:val="24"/>
        </w:rPr>
        <w:tab/>
      </w:r>
      <w:r w:rsidR="00BC6941">
        <w:rPr>
          <w:i/>
          <w:sz w:val="24"/>
          <w:szCs w:val="24"/>
        </w:rPr>
        <w:tab/>
        <w:t>p189</w:t>
      </w:r>
    </w:p>
    <w:p w:rsidR="001D6C0D" w:rsidRPr="00D05EBD" w:rsidRDefault="001D6C0D" w:rsidP="001D6C0D">
      <w:pPr>
        <w:spacing w:line="480" w:lineRule="auto"/>
        <w:jc w:val="both"/>
        <w:rPr>
          <w:sz w:val="24"/>
          <w:szCs w:val="24"/>
        </w:rPr>
      </w:pPr>
      <w:r w:rsidRPr="00D05EBD">
        <w:rPr>
          <w:i/>
          <w:sz w:val="24"/>
          <w:szCs w:val="24"/>
        </w:rPr>
        <w:lastRenderedPageBreak/>
        <w:tab/>
      </w:r>
      <w:r w:rsidRPr="00D05EBD">
        <w:rPr>
          <w:sz w:val="24"/>
          <w:szCs w:val="24"/>
        </w:rPr>
        <w:t>5.4.2 Results</w:t>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t>p191</w:t>
      </w:r>
    </w:p>
    <w:p w:rsidR="001D6C0D" w:rsidRPr="00D05EBD" w:rsidRDefault="001D6C0D" w:rsidP="001D6C0D">
      <w:pPr>
        <w:spacing w:line="480" w:lineRule="auto"/>
        <w:jc w:val="both"/>
        <w:rPr>
          <w:sz w:val="24"/>
          <w:szCs w:val="24"/>
        </w:rPr>
      </w:pPr>
      <w:r w:rsidRPr="00D05EBD">
        <w:rPr>
          <w:sz w:val="24"/>
          <w:szCs w:val="24"/>
        </w:rPr>
        <w:tab/>
        <w:t>5.4.3 Discussion</w:t>
      </w:r>
      <w:r w:rsidRPr="00D05EBD">
        <w:rPr>
          <w:i/>
          <w:sz w:val="24"/>
          <w:szCs w:val="24"/>
        </w:rPr>
        <w:t xml:space="preserve"> </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00BC6941">
        <w:rPr>
          <w:sz w:val="24"/>
          <w:szCs w:val="24"/>
        </w:rPr>
        <w:t>p214</w:t>
      </w:r>
    </w:p>
    <w:p w:rsidR="001D6C0D" w:rsidRPr="00D05EBD" w:rsidRDefault="001D6C0D" w:rsidP="001D6C0D">
      <w:pPr>
        <w:spacing w:after="0" w:line="480" w:lineRule="auto"/>
        <w:jc w:val="both"/>
        <w:rPr>
          <w:b/>
          <w:sz w:val="24"/>
          <w:szCs w:val="24"/>
        </w:rPr>
      </w:pPr>
    </w:p>
    <w:p w:rsidR="001D6C0D" w:rsidRPr="00D05EBD" w:rsidRDefault="001D6C0D" w:rsidP="001D6C0D">
      <w:pPr>
        <w:spacing w:after="0" w:line="480" w:lineRule="auto"/>
        <w:jc w:val="both"/>
        <w:rPr>
          <w:b/>
          <w:sz w:val="24"/>
          <w:szCs w:val="24"/>
        </w:rPr>
      </w:pPr>
      <w:r w:rsidRPr="00D05EBD">
        <w:rPr>
          <w:b/>
          <w:sz w:val="24"/>
          <w:szCs w:val="24"/>
        </w:rPr>
        <w:t>CHAPTER 6. General discussion</w:t>
      </w:r>
      <w:r w:rsidR="00B00ACC">
        <w:rPr>
          <w:b/>
          <w:sz w:val="24"/>
          <w:szCs w:val="24"/>
        </w:rPr>
        <w:tab/>
      </w:r>
      <w:r w:rsidR="00B00ACC">
        <w:rPr>
          <w:b/>
          <w:sz w:val="24"/>
          <w:szCs w:val="24"/>
        </w:rPr>
        <w:tab/>
      </w:r>
      <w:r w:rsidR="00B00ACC">
        <w:rPr>
          <w:b/>
          <w:sz w:val="24"/>
          <w:szCs w:val="24"/>
        </w:rPr>
        <w:tab/>
      </w:r>
      <w:r w:rsidR="00B00ACC">
        <w:rPr>
          <w:b/>
          <w:sz w:val="24"/>
          <w:szCs w:val="24"/>
        </w:rPr>
        <w:tab/>
      </w:r>
      <w:r w:rsidR="00B00ACC">
        <w:rPr>
          <w:b/>
          <w:sz w:val="24"/>
          <w:szCs w:val="24"/>
        </w:rPr>
        <w:tab/>
      </w:r>
      <w:r w:rsidR="00B00ACC">
        <w:rPr>
          <w:b/>
          <w:sz w:val="24"/>
          <w:szCs w:val="24"/>
        </w:rPr>
        <w:tab/>
      </w:r>
      <w:r w:rsidR="00B00ACC">
        <w:rPr>
          <w:b/>
          <w:sz w:val="24"/>
          <w:szCs w:val="24"/>
        </w:rPr>
        <w:tab/>
      </w:r>
      <w:r w:rsidR="00B00ACC" w:rsidRPr="00B00ACC">
        <w:rPr>
          <w:sz w:val="24"/>
          <w:szCs w:val="24"/>
        </w:rPr>
        <w:t>p2</w:t>
      </w:r>
      <w:r w:rsidR="00BC6941">
        <w:rPr>
          <w:sz w:val="24"/>
          <w:szCs w:val="24"/>
        </w:rPr>
        <w:t>20</w:t>
      </w:r>
    </w:p>
    <w:p w:rsidR="001D6C0D" w:rsidRDefault="001D6C0D" w:rsidP="001D6C0D">
      <w:pPr>
        <w:spacing w:after="0" w:line="480" w:lineRule="auto"/>
        <w:jc w:val="both"/>
        <w:rPr>
          <w:sz w:val="24"/>
          <w:szCs w:val="24"/>
        </w:rPr>
      </w:pPr>
      <w:r>
        <w:rPr>
          <w:sz w:val="24"/>
          <w:szCs w:val="24"/>
        </w:rPr>
        <w:t>6.1 Summ</w:t>
      </w:r>
      <w:r w:rsidR="00BC6941">
        <w:rPr>
          <w:sz w:val="24"/>
          <w:szCs w:val="24"/>
        </w:rPr>
        <w:t>ary of Chapter 1 to 5</w:t>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t>p222</w:t>
      </w:r>
    </w:p>
    <w:p w:rsidR="001D6C0D" w:rsidRDefault="001D6C0D" w:rsidP="001D6C0D">
      <w:pPr>
        <w:spacing w:after="0" w:line="480" w:lineRule="auto"/>
        <w:jc w:val="both"/>
        <w:rPr>
          <w:sz w:val="24"/>
          <w:szCs w:val="24"/>
        </w:rPr>
      </w:pPr>
      <w:r>
        <w:rPr>
          <w:sz w:val="24"/>
          <w:szCs w:val="24"/>
        </w:rPr>
        <w:t>6.2 Does AIER happen, and if so, can it be empirically studied</w:t>
      </w:r>
      <w:r w:rsidR="00BC6941">
        <w:rPr>
          <w:sz w:val="24"/>
          <w:szCs w:val="24"/>
        </w:rPr>
        <w:t>?</w:t>
      </w:r>
      <w:r w:rsidR="00BC6941">
        <w:rPr>
          <w:sz w:val="24"/>
          <w:szCs w:val="24"/>
        </w:rPr>
        <w:tab/>
      </w:r>
      <w:r w:rsidR="00BC6941">
        <w:rPr>
          <w:sz w:val="24"/>
          <w:szCs w:val="24"/>
        </w:rPr>
        <w:tab/>
      </w:r>
      <w:r w:rsidR="00BC6941">
        <w:rPr>
          <w:sz w:val="24"/>
          <w:szCs w:val="24"/>
        </w:rPr>
        <w:tab/>
        <w:t>P229</w:t>
      </w:r>
    </w:p>
    <w:p w:rsidR="001D6C0D" w:rsidRDefault="001D6C0D" w:rsidP="001D6C0D">
      <w:pPr>
        <w:spacing w:after="0" w:line="480" w:lineRule="auto"/>
        <w:jc w:val="both"/>
        <w:rPr>
          <w:sz w:val="24"/>
          <w:szCs w:val="24"/>
        </w:rPr>
      </w:pPr>
      <w:r>
        <w:rPr>
          <w:sz w:val="24"/>
          <w:szCs w:val="24"/>
        </w:rPr>
        <w:tab/>
        <w:t xml:space="preserve">6.2.1 </w:t>
      </w:r>
      <w:r w:rsidR="00123FBC">
        <w:rPr>
          <w:sz w:val="24"/>
          <w:szCs w:val="24"/>
        </w:rPr>
        <w:t>A</w:t>
      </w:r>
      <w:r w:rsidR="00BC6941">
        <w:rPr>
          <w:sz w:val="24"/>
          <w:szCs w:val="24"/>
        </w:rPr>
        <w:t>IER with close others</w:t>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t>p236</w:t>
      </w:r>
    </w:p>
    <w:p w:rsidR="001D6C0D" w:rsidRDefault="001D6C0D" w:rsidP="001D6C0D">
      <w:pPr>
        <w:spacing w:after="0" w:line="480" w:lineRule="auto"/>
        <w:jc w:val="both"/>
        <w:rPr>
          <w:sz w:val="24"/>
          <w:szCs w:val="24"/>
        </w:rPr>
      </w:pPr>
      <w:r>
        <w:rPr>
          <w:sz w:val="24"/>
          <w:szCs w:val="24"/>
        </w:rPr>
        <w:tab/>
        <w:t xml:space="preserve">6.2.2 Improving </w:t>
      </w:r>
      <w:proofErr w:type="spellStart"/>
      <w:r>
        <w:rPr>
          <w:sz w:val="24"/>
          <w:szCs w:val="24"/>
        </w:rPr>
        <w:t>vs</w:t>
      </w:r>
      <w:proofErr w:type="spellEnd"/>
      <w:r>
        <w:rPr>
          <w:sz w:val="24"/>
          <w:szCs w:val="24"/>
        </w:rPr>
        <w:t xml:space="preserve"> </w:t>
      </w:r>
      <w:r w:rsidR="00BC6941">
        <w:rPr>
          <w:sz w:val="24"/>
          <w:szCs w:val="24"/>
        </w:rPr>
        <w:t>worsening forms of AIER</w:t>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t>p237</w:t>
      </w:r>
    </w:p>
    <w:p w:rsidR="001D6C0D" w:rsidRDefault="001D6C0D" w:rsidP="001D6C0D">
      <w:pPr>
        <w:spacing w:after="0" w:line="480" w:lineRule="auto"/>
        <w:jc w:val="both"/>
        <w:rPr>
          <w:sz w:val="24"/>
          <w:szCs w:val="24"/>
        </w:rPr>
      </w:pPr>
      <w:r>
        <w:rPr>
          <w:sz w:val="24"/>
          <w:szCs w:val="24"/>
        </w:rPr>
        <w:t>6.3 What factors are associat</w:t>
      </w:r>
      <w:r w:rsidR="00BC6941">
        <w:rPr>
          <w:sz w:val="24"/>
          <w:szCs w:val="24"/>
        </w:rPr>
        <w:t>ed with the use of AIER?</w:t>
      </w:r>
      <w:r w:rsidR="00BC6941">
        <w:rPr>
          <w:sz w:val="24"/>
          <w:szCs w:val="24"/>
        </w:rPr>
        <w:tab/>
      </w:r>
      <w:r w:rsidR="00BC6941">
        <w:rPr>
          <w:sz w:val="24"/>
          <w:szCs w:val="24"/>
        </w:rPr>
        <w:tab/>
      </w:r>
      <w:r w:rsidR="00BC6941">
        <w:rPr>
          <w:sz w:val="24"/>
          <w:szCs w:val="24"/>
        </w:rPr>
        <w:tab/>
      </w:r>
      <w:r w:rsidR="00BC6941">
        <w:rPr>
          <w:sz w:val="24"/>
          <w:szCs w:val="24"/>
        </w:rPr>
        <w:tab/>
        <w:t>P238</w:t>
      </w:r>
    </w:p>
    <w:p w:rsidR="001D6C0D" w:rsidRDefault="001D6C0D" w:rsidP="001D6C0D">
      <w:pPr>
        <w:spacing w:after="0" w:line="480" w:lineRule="auto"/>
        <w:jc w:val="both"/>
        <w:rPr>
          <w:sz w:val="24"/>
          <w:szCs w:val="24"/>
        </w:rPr>
      </w:pPr>
      <w:r>
        <w:rPr>
          <w:sz w:val="24"/>
          <w:szCs w:val="24"/>
        </w:rPr>
        <w:t>6.4 Limitations and future directions</w:t>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r>
      <w:r w:rsidR="00BC6941">
        <w:rPr>
          <w:sz w:val="24"/>
          <w:szCs w:val="24"/>
        </w:rPr>
        <w:tab/>
        <w:t>p240</w:t>
      </w:r>
    </w:p>
    <w:p w:rsidR="001D6C0D" w:rsidRDefault="00BC6941" w:rsidP="001D6C0D">
      <w:pPr>
        <w:spacing w:after="0" w:line="480" w:lineRule="auto"/>
        <w:jc w:val="both"/>
        <w:rPr>
          <w:sz w:val="24"/>
          <w:szCs w:val="24"/>
        </w:rPr>
      </w:pPr>
      <w:r>
        <w:rPr>
          <w:sz w:val="24"/>
          <w:szCs w:val="24"/>
        </w:rPr>
        <w:t>6.6 Final comment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p243</w:t>
      </w:r>
    </w:p>
    <w:p w:rsidR="001D6C0D" w:rsidRDefault="001D6C0D" w:rsidP="001D6C0D">
      <w:pPr>
        <w:spacing w:after="0" w:line="480" w:lineRule="auto"/>
        <w:jc w:val="both"/>
        <w:rPr>
          <w:b/>
          <w:sz w:val="24"/>
          <w:szCs w:val="24"/>
        </w:rPr>
      </w:pPr>
      <w:r>
        <w:rPr>
          <w:b/>
          <w:sz w:val="24"/>
          <w:szCs w:val="24"/>
        </w:rPr>
        <w:t>References</w:t>
      </w:r>
      <w:r w:rsidR="00684AFF">
        <w:rPr>
          <w:b/>
          <w:sz w:val="24"/>
          <w:szCs w:val="24"/>
        </w:rPr>
        <w:tab/>
      </w:r>
      <w:r w:rsidR="00684AFF">
        <w:rPr>
          <w:b/>
          <w:sz w:val="24"/>
          <w:szCs w:val="24"/>
        </w:rPr>
        <w:tab/>
      </w:r>
      <w:r w:rsidR="00684AFF">
        <w:rPr>
          <w:b/>
          <w:sz w:val="24"/>
          <w:szCs w:val="24"/>
        </w:rPr>
        <w:tab/>
      </w:r>
      <w:r w:rsidR="00684AFF">
        <w:rPr>
          <w:b/>
          <w:sz w:val="24"/>
          <w:szCs w:val="24"/>
        </w:rPr>
        <w:tab/>
      </w:r>
      <w:r w:rsidR="00684AFF">
        <w:rPr>
          <w:b/>
          <w:sz w:val="24"/>
          <w:szCs w:val="24"/>
        </w:rPr>
        <w:tab/>
      </w:r>
      <w:r w:rsidR="00684AFF">
        <w:rPr>
          <w:b/>
          <w:sz w:val="24"/>
          <w:szCs w:val="24"/>
        </w:rPr>
        <w:tab/>
      </w:r>
      <w:r w:rsidR="00684AFF">
        <w:rPr>
          <w:b/>
          <w:sz w:val="24"/>
          <w:szCs w:val="24"/>
        </w:rPr>
        <w:tab/>
      </w:r>
      <w:r w:rsidR="00684AFF">
        <w:rPr>
          <w:b/>
          <w:sz w:val="24"/>
          <w:szCs w:val="24"/>
        </w:rPr>
        <w:tab/>
      </w:r>
      <w:r w:rsidR="00684AFF">
        <w:rPr>
          <w:b/>
          <w:sz w:val="24"/>
          <w:szCs w:val="24"/>
        </w:rPr>
        <w:tab/>
      </w:r>
      <w:r w:rsidR="00684AFF">
        <w:rPr>
          <w:b/>
          <w:sz w:val="24"/>
          <w:szCs w:val="24"/>
        </w:rPr>
        <w:tab/>
      </w:r>
      <w:r w:rsidR="00684AFF" w:rsidRPr="00684AFF">
        <w:rPr>
          <w:sz w:val="24"/>
          <w:szCs w:val="24"/>
        </w:rPr>
        <w:t>p</w:t>
      </w:r>
      <w:r w:rsidR="00123FBC">
        <w:rPr>
          <w:sz w:val="24"/>
          <w:szCs w:val="24"/>
        </w:rPr>
        <w:t>2</w:t>
      </w:r>
      <w:r w:rsidR="00BC6941">
        <w:rPr>
          <w:sz w:val="24"/>
          <w:szCs w:val="24"/>
        </w:rPr>
        <w:t>44</w:t>
      </w:r>
    </w:p>
    <w:p w:rsidR="001D6C0D" w:rsidRDefault="001D6C0D" w:rsidP="001D6C0D">
      <w:pPr>
        <w:spacing w:after="0" w:line="480" w:lineRule="auto"/>
        <w:jc w:val="both"/>
        <w:rPr>
          <w:b/>
          <w:sz w:val="24"/>
          <w:szCs w:val="24"/>
        </w:rPr>
      </w:pPr>
    </w:p>
    <w:p w:rsidR="001D6C0D" w:rsidRDefault="001D6C0D" w:rsidP="001D6C0D">
      <w:pPr>
        <w:spacing w:after="0" w:line="480" w:lineRule="auto"/>
        <w:jc w:val="both"/>
        <w:rPr>
          <w:b/>
          <w:sz w:val="24"/>
          <w:szCs w:val="24"/>
        </w:rPr>
      </w:pPr>
    </w:p>
    <w:p w:rsidR="001D6C0D" w:rsidRPr="005056B5" w:rsidRDefault="001D6C0D" w:rsidP="001D6C0D">
      <w:pPr>
        <w:spacing w:after="0" w:line="480" w:lineRule="auto"/>
        <w:jc w:val="both"/>
        <w:rPr>
          <w:b/>
          <w:sz w:val="24"/>
          <w:szCs w:val="24"/>
        </w:rPr>
      </w:pPr>
    </w:p>
    <w:p w:rsidR="001D6C0D" w:rsidRDefault="001D6C0D" w:rsidP="001D6C0D">
      <w:pPr>
        <w:spacing w:line="480" w:lineRule="auto"/>
        <w:jc w:val="both"/>
        <w:rPr>
          <w:b/>
          <w:sz w:val="24"/>
          <w:szCs w:val="24"/>
        </w:rPr>
      </w:pPr>
    </w:p>
    <w:p w:rsidR="001D6C0D" w:rsidRDefault="001D6C0D" w:rsidP="001D6C0D">
      <w:pPr>
        <w:spacing w:line="480" w:lineRule="auto"/>
        <w:jc w:val="both"/>
        <w:rPr>
          <w:b/>
          <w:sz w:val="24"/>
          <w:szCs w:val="24"/>
        </w:rPr>
      </w:pPr>
    </w:p>
    <w:p w:rsidR="001D6C0D" w:rsidRDefault="001D6C0D" w:rsidP="001D6C0D">
      <w:pPr>
        <w:spacing w:line="480" w:lineRule="auto"/>
        <w:jc w:val="both"/>
        <w:rPr>
          <w:b/>
          <w:sz w:val="24"/>
          <w:szCs w:val="24"/>
        </w:rPr>
      </w:pPr>
    </w:p>
    <w:p w:rsidR="001D6C0D" w:rsidRDefault="001D6C0D" w:rsidP="001D6C0D">
      <w:pPr>
        <w:spacing w:line="480" w:lineRule="auto"/>
        <w:jc w:val="both"/>
        <w:rPr>
          <w:b/>
          <w:sz w:val="24"/>
          <w:szCs w:val="24"/>
        </w:rPr>
      </w:pPr>
    </w:p>
    <w:p w:rsidR="001D6C0D" w:rsidRDefault="001D6C0D" w:rsidP="001D6C0D">
      <w:pPr>
        <w:spacing w:line="480" w:lineRule="auto"/>
        <w:jc w:val="both"/>
        <w:rPr>
          <w:b/>
          <w:sz w:val="24"/>
          <w:szCs w:val="24"/>
        </w:rPr>
      </w:pPr>
    </w:p>
    <w:p w:rsidR="001D6C0D" w:rsidRDefault="001D6C0D" w:rsidP="001D6C0D">
      <w:pPr>
        <w:spacing w:line="480" w:lineRule="auto"/>
        <w:jc w:val="both"/>
        <w:rPr>
          <w:b/>
          <w:sz w:val="24"/>
          <w:szCs w:val="24"/>
        </w:rPr>
      </w:pPr>
    </w:p>
    <w:p w:rsidR="001D6C0D" w:rsidRDefault="001D6C0D" w:rsidP="001D6C0D">
      <w:pPr>
        <w:spacing w:line="480" w:lineRule="auto"/>
        <w:rPr>
          <w:b/>
          <w:sz w:val="24"/>
          <w:szCs w:val="24"/>
        </w:rPr>
      </w:pPr>
      <w:r w:rsidRPr="00D05EBD">
        <w:rPr>
          <w:b/>
          <w:sz w:val="24"/>
          <w:szCs w:val="24"/>
        </w:rPr>
        <w:lastRenderedPageBreak/>
        <w:t>List of tables</w:t>
      </w:r>
    </w:p>
    <w:p w:rsidR="001D6C0D" w:rsidRPr="00311A80" w:rsidRDefault="00BC6941" w:rsidP="001D6C0D">
      <w:pPr>
        <w:spacing w:line="360" w:lineRule="auto"/>
        <w:jc w:val="both"/>
        <w:rPr>
          <w:sz w:val="24"/>
          <w:szCs w:val="24"/>
        </w:rPr>
      </w:pPr>
      <w:r>
        <w:rPr>
          <w:sz w:val="24"/>
          <w:szCs w:val="24"/>
        </w:rPr>
        <w:t>Table II.1</w:t>
      </w:r>
      <w:r>
        <w:rPr>
          <w:sz w:val="24"/>
          <w:szCs w:val="24"/>
        </w:rPr>
        <w:tab/>
      </w:r>
      <w:r>
        <w:rPr>
          <w:sz w:val="24"/>
          <w:szCs w:val="24"/>
        </w:rPr>
        <w:tab/>
        <w:t>p63</w:t>
      </w:r>
    </w:p>
    <w:p w:rsidR="001D6C0D" w:rsidRPr="00311A80" w:rsidRDefault="00BC6941" w:rsidP="001D6C0D">
      <w:pPr>
        <w:spacing w:line="360" w:lineRule="auto"/>
        <w:jc w:val="both"/>
        <w:rPr>
          <w:sz w:val="24"/>
          <w:szCs w:val="24"/>
        </w:rPr>
      </w:pPr>
      <w:r>
        <w:rPr>
          <w:sz w:val="24"/>
          <w:szCs w:val="24"/>
        </w:rPr>
        <w:t>Table II.2</w:t>
      </w:r>
      <w:r>
        <w:rPr>
          <w:sz w:val="24"/>
          <w:szCs w:val="24"/>
        </w:rPr>
        <w:tab/>
      </w:r>
      <w:r>
        <w:rPr>
          <w:sz w:val="24"/>
          <w:szCs w:val="24"/>
        </w:rPr>
        <w:tab/>
        <w:t>p63</w:t>
      </w:r>
    </w:p>
    <w:p w:rsidR="001D6C0D" w:rsidRPr="00311A80" w:rsidRDefault="001D6C0D" w:rsidP="001D6C0D">
      <w:pPr>
        <w:spacing w:line="360" w:lineRule="auto"/>
        <w:jc w:val="both"/>
        <w:rPr>
          <w:sz w:val="24"/>
          <w:szCs w:val="24"/>
        </w:rPr>
      </w:pPr>
      <w:r w:rsidRPr="00311A80">
        <w:rPr>
          <w:sz w:val="24"/>
          <w:szCs w:val="24"/>
        </w:rPr>
        <w:t>Table III.1</w:t>
      </w:r>
      <w:r w:rsidRPr="00311A80">
        <w:rPr>
          <w:sz w:val="24"/>
          <w:szCs w:val="24"/>
        </w:rPr>
        <w:tab/>
      </w:r>
      <w:r w:rsidRPr="00311A80">
        <w:rPr>
          <w:sz w:val="24"/>
          <w:szCs w:val="24"/>
        </w:rPr>
        <w:tab/>
        <w:t>p93</w:t>
      </w:r>
    </w:p>
    <w:p w:rsidR="001D6C0D" w:rsidRPr="00311A80" w:rsidRDefault="001D6C0D" w:rsidP="001D6C0D">
      <w:pPr>
        <w:spacing w:line="360" w:lineRule="auto"/>
        <w:jc w:val="both"/>
        <w:rPr>
          <w:sz w:val="24"/>
          <w:szCs w:val="24"/>
        </w:rPr>
      </w:pPr>
      <w:r w:rsidRPr="00311A80">
        <w:rPr>
          <w:sz w:val="24"/>
          <w:szCs w:val="24"/>
        </w:rPr>
        <w:t>Table III.2</w:t>
      </w:r>
      <w:r w:rsidRPr="00311A80">
        <w:rPr>
          <w:sz w:val="24"/>
          <w:szCs w:val="24"/>
        </w:rPr>
        <w:tab/>
      </w:r>
      <w:r w:rsidRPr="00311A80">
        <w:rPr>
          <w:sz w:val="24"/>
          <w:szCs w:val="24"/>
        </w:rPr>
        <w:tab/>
        <w:t>p96</w:t>
      </w:r>
    </w:p>
    <w:p w:rsidR="001D6C0D" w:rsidRPr="00311A80" w:rsidRDefault="001D6C0D" w:rsidP="001D6C0D">
      <w:pPr>
        <w:spacing w:line="360" w:lineRule="auto"/>
        <w:jc w:val="both"/>
        <w:rPr>
          <w:sz w:val="24"/>
          <w:szCs w:val="24"/>
        </w:rPr>
      </w:pPr>
      <w:r w:rsidRPr="00311A80">
        <w:rPr>
          <w:sz w:val="24"/>
          <w:szCs w:val="24"/>
        </w:rPr>
        <w:t>Table III.3</w:t>
      </w:r>
      <w:r w:rsidRPr="00311A80">
        <w:rPr>
          <w:sz w:val="24"/>
          <w:szCs w:val="24"/>
        </w:rPr>
        <w:tab/>
      </w:r>
      <w:r w:rsidRPr="00311A80">
        <w:rPr>
          <w:sz w:val="24"/>
          <w:szCs w:val="24"/>
        </w:rPr>
        <w:tab/>
        <w:t>p98</w:t>
      </w:r>
    </w:p>
    <w:p w:rsidR="001D6C0D" w:rsidRPr="00311A80" w:rsidRDefault="001D6C0D" w:rsidP="001D6C0D">
      <w:pPr>
        <w:spacing w:line="360" w:lineRule="auto"/>
        <w:jc w:val="both"/>
        <w:rPr>
          <w:sz w:val="24"/>
          <w:szCs w:val="24"/>
        </w:rPr>
      </w:pPr>
      <w:r w:rsidRPr="00311A80">
        <w:rPr>
          <w:sz w:val="24"/>
          <w:szCs w:val="24"/>
        </w:rPr>
        <w:t>Table III.4</w:t>
      </w:r>
      <w:r w:rsidRPr="00311A80">
        <w:rPr>
          <w:sz w:val="24"/>
          <w:szCs w:val="24"/>
        </w:rPr>
        <w:tab/>
      </w:r>
      <w:r w:rsidRPr="00311A80">
        <w:rPr>
          <w:sz w:val="24"/>
          <w:szCs w:val="24"/>
        </w:rPr>
        <w:tab/>
        <w:t>p101</w:t>
      </w:r>
    </w:p>
    <w:p w:rsidR="001D6C0D" w:rsidRPr="00311A80" w:rsidRDefault="007463A4" w:rsidP="001D6C0D">
      <w:pPr>
        <w:spacing w:line="360" w:lineRule="auto"/>
        <w:jc w:val="both"/>
        <w:rPr>
          <w:sz w:val="24"/>
          <w:szCs w:val="24"/>
        </w:rPr>
      </w:pPr>
      <w:r w:rsidRPr="00311A80">
        <w:rPr>
          <w:sz w:val="24"/>
          <w:szCs w:val="24"/>
        </w:rPr>
        <w:t>Table III.5</w:t>
      </w:r>
      <w:r w:rsidRPr="00311A80">
        <w:rPr>
          <w:sz w:val="24"/>
          <w:szCs w:val="24"/>
        </w:rPr>
        <w:tab/>
      </w:r>
      <w:r w:rsidRPr="00311A80">
        <w:rPr>
          <w:sz w:val="24"/>
          <w:szCs w:val="24"/>
        </w:rPr>
        <w:tab/>
        <w:t>p105</w:t>
      </w:r>
    </w:p>
    <w:p w:rsidR="001D6C0D" w:rsidRPr="00311A80" w:rsidRDefault="001D6C0D" w:rsidP="001D6C0D">
      <w:pPr>
        <w:spacing w:line="360" w:lineRule="auto"/>
        <w:jc w:val="both"/>
        <w:rPr>
          <w:sz w:val="24"/>
          <w:szCs w:val="24"/>
        </w:rPr>
      </w:pPr>
      <w:r w:rsidRPr="00311A80">
        <w:rPr>
          <w:sz w:val="24"/>
          <w:szCs w:val="24"/>
        </w:rPr>
        <w:t>Table III.6</w:t>
      </w:r>
      <w:r w:rsidRPr="00311A80">
        <w:rPr>
          <w:sz w:val="24"/>
          <w:szCs w:val="24"/>
        </w:rPr>
        <w:tab/>
      </w:r>
      <w:r w:rsidRPr="00311A80">
        <w:rPr>
          <w:sz w:val="24"/>
          <w:szCs w:val="24"/>
        </w:rPr>
        <w:tab/>
        <w:t>p106</w:t>
      </w:r>
    </w:p>
    <w:p w:rsidR="001D6C0D" w:rsidRPr="00311A80" w:rsidRDefault="007463A4" w:rsidP="001D6C0D">
      <w:pPr>
        <w:spacing w:line="360" w:lineRule="auto"/>
        <w:jc w:val="both"/>
        <w:rPr>
          <w:sz w:val="24"/>
          <w:szCs w:val="24"/>
        </w:rPr>
      </w:pPr>
      <w:r w:rsidRPr="00311A80">
        <w:rPr>
          <w:sz w:val="24"/>
          <w:szCs w:val="24"/>
        </w:rPr>
        <w:t>Table III.7</w:t>
      </w:r>
      <w:r w:rsidRPr="00311A80">
        <w:rPr>
          <w:sz w:val="24"/>
          <w:szCs w:val="24"/>
        </w:rPr>
        <w:tab/>
      </w:r>
      <w:r w:rsidRPr="00311A80">
        <w:rPr>
          <w:sz w:val="24"/>
          <w:szCs w:val="24"/>
        </w:rPr>
        <w:tab/>
        <w:t>p117</w:t>
      </w:r>
    </w:p>
    <w:p w:rsidR="001D6C0D" w:rsidRPr="00311A80" w:rsidRDefault="001D6C0D" w:rsidP="001D6C0D">
      <w:pPr>
        <w:spacing w:line="360" w:lineRule="auto"/>
        <w:jc w:val="both"/>
        <w:rPr>
          <w:sz w:val="24"/>
          <w:szCs w:val="24"/>
        </w:rPr>
      </w:pPr>
      <w:r w:rsidRPr="00311A80">
        <w:rPr>
          <w:sz w:val="24"/>
          <w:szCs w:val="24"/>
        </w:rPr>
        <w:t>Table III.8</w:t>
      </w:r>
      <w:r w:rsidRPr="00311A80">
        <w:rPr>
          <w:sz w:val="24"/>
          <w:szCs w:val="24"/>
        </w:rPr>
        <w:tab/>
      </w:r>
      <w:r w:rsidRPr="00311A80">
        <w:rPr>
          <w:sz w:val="24"/>
          <w:szCs w:val="24"/>
        </w:rPr>
        <w:tab/>
        <w:t>p118</w:t>
      </w:r>
    </w:p>
    <w:p w:rsidR="001D6C0D" w:rsidRPr="00311A80" w:rsidRDefault="007463A4" w:rsidP="001D6C0D">
      <w:pPr>
        <w:spacing w:line="360" w:lineRule="auto"/>
        <w:jc w:val="both"/>
        <w:rPr>
          <w:sz w:val="24"/>
          <w:szCs w:val="24"/>
        </w:rPr>
      </w:pPr>
      <w:r w:rsidRPr="00311A80">
        <w:rPr>
          <w:sz w:val="24"/>
          <w:szCs w:val="24"/>
        </w:rPr>
        <w:t>Table III.9</w:t>
      </w:r>
      <w:r w:rsidRPr="00311A80">
        <w:rPr>
          <w:sz w:val="24"/>
          <w:szCs w:val="24"/>
        </w:rPr>
        <w:tab/>
      </w:r>
      <w:r w:rsidRPr="00311A80">
        <w:rPr>
          <w:sz w:val="24"/>
          <w:szCs w:val="24"/>
        </w:rPr>
        <w:tab/>
        <w:t>p120</w:t>
      </w:r>
    </w:p>
    <w:p w:rsidR="001D6C0D" w:rsidRPr="00311A80" w:rsidRDefault="001D6C0D" w:rsidP="001D6C0D">
      <w:pPr>
        <w:spacing w:line="360" w:lineRule="auto"/>
        <w:jc w:val="both"/>
        <w:rPr>
          <w:sz w:val="24"/>
          <w:szCs w:val="24"/>
        </w:rPr>
      </w:pPr>
      <w:r w:rsidRPr="00311A80">
        <w:rPr>
          <w:sz w:val="24"/>
          <w:szCs w:val="24"/>
        </w:rPr>
        <w:t>Table IV.1</w:t>
      </w:r>
      <w:r w:rsidRPr="00311A80">
        <w:rPr>
          <w:sz w:val="24"/>
          <w:szCs w:val="24"/>
        </w:rPr>
        <w:tab/>
      </w:r>
      <w:r w:rsidRPr="00311A80">
        <w:rPr>
          <w:sz w:val="24"/>
          <w:szCs w:val="24"/>
        </w:rPr>
        <w:tab/>
        <w:t>p148</w:t>
      </w:r>
    </w:p>
    <w:p w:rsidR="001D6C0D" w:rsidRPr="00311A80" w:rsidRDefault="001D6C0D" w:rsidP="001D6C0D">
      <w:pPr>
        <w:spacing w:line="360" w:lineRule="auto"/>
        <w:jc w:val="both"/>
        <w:rPr>
          <w:sz w:val="24"/>
          <w:szCs w:val="24"/>
        </w:rPr>
      </w:pPr>
      <w:r w:rsidRPr="00311A80">
        <w:rPr>
          <w:sz w:val="24"/>
          <w:szCs w:val="24"/>
        </w:rPr>
        <w:t>Table IV.2</w:t>
      </w:r>
      <w:r w:rsidRPr="00311A80">
        <w:rPr>
          <w:sz w:val="24"/>
          <w:szCs w:val="24"/>
        </w:rPr>
        <w:tab/>
      </w:r>
      <w:r w:rsidRPr="00311A80">
        <w:rPr>
          <w:sz w:val="24"/>
          <w:szCs w:val="24"/>
        </w:rPr>
        <w:tab/>
        <w:t>p151</w:t>
      </w:r>
    </w:p>
    <w:p w:rsidR="001D6C0D" w:rsidRPr="00311A80" w:rsidRDefault="001D6C0D" w:rsidP="001D6C0D">
      <w:pPr>
        <w:spacing w:line="360" w:lineRule="auto"/>
        <w:jc w:val="both"/>
        <w:rPr>
          <w:sz w:val="24"/>
          <w:szCs w:val="24"/>
        </w:rPr>
      </w:pPr>
      <w:r w:rsidRPr="00311A80">
        <w:rPr>
          <w:sz w:val="24"/>
          <w:szCs w:val="24"/>
        </w:rPr>
        <w:t>Table IV.3</w:t>
      </w:r>
      <w:r w:rsidRPr="00311A80">
        <w:rPr>
          <w:sz w:val="24"/>
          <w:szCs w:val="24"/>
        </w:rPr>
        <w:tab/>
      </w:r>
      <w:r w:rsidRPr="00311A80">
        <w:rPr>
          <w:sz w:val="24"/>
          <w:szCs w:val="24"/>
        </w:rPr>
        <w:tab/>
        <w:t>p153</w:t>
      </w:r>
    </w:p>
    <w:p w:rsidR="001D6C0D" w:rsidRPr="00311A80" w:rsidRDefault="00BC6941" w:rsidP="001D6C0D">
      <w:pPr>
        <w:spacing w:line="360" w:lineRule="auto"/>
        <w:rPr>
          <w:sz w:val="24"/>
          <w:szCs w:val="24"/>
        </w:rPr>
      </w:pPr>
      <w:r>
        <w:rPr>
          <w:sz w:val="24"/>
          <w:szCs w:val="24"/>
        </w:rPr>
        <w:t>Table V.1</w:t>
      </w:r>
      <w:r>
        <w:rPr>
          <w:sz w:val="24"/>
          <w:szCs w:val="24"/>
        </w:rPr>
        <w:tab/>
      </w:r>
      <w:r>
        <w:rPr>
          <w:sz w:val="24"/>
          <w:szCs w:val="24"/>
        </w:rPr>
        <w:tab/>
        <w:t>p194</w:t>
      </w:r>
    </w:p>
    <w:p w:rsidR="001D6C0D" w:rsidRPr="00311A80" w:rsidRDefault="00BC6941" w:rsidP="001D6C0D">
      <w:pPr>
        <w:spacing w:line="360" w:lineRule="auto"/>
        <w:rPr>
          <w:sz w:val="24"/>
          <w:szCs w:val="24"/>
        </w:rPr>
      </w:pPr>
      <w:r>
        <w:rPr>
          <w:sz w:val="24"/>
          <w:szCs w:val="24"/>
        </w:rPr>
        <w:t>Table V.2</w:t>
      </w:r>
      <w:r>
        <w:rPr>
          <w:sz w:val="24"/>
          <w:szCs w:val="24"/>
        </w:rPr>
        <w:tab/>
      </w:r>
      <w:r>
        <w:rPr>
          <w:sz w:val="24"/>
          <w:szCs w:val="24"/>
        </w:rPr>
        <w:tab/>
        <w:t>p195</w:t>
      </w:r>
    </w:p>
    <w:p w:rsidR="001D6C0D" w:rsidRPr="00311A80" w:rsidRDefault="00BC6941" w:rsidP="001D6C0D">
      <w:pPr>
        <w:spacing w:line="360" w:lineRule="auto"/>
        <w:rPr>
          <w:sz w:val="24"/>
          <w:szCs w:val="24"/>
        </w:rPr>
      </w:pPr>
      <w:r>
        <w:rPr>
          <w:sz w:val="24"/>
          <w:szCs w:val="24"/>
        </w:rPr>
        <w:t>Table V.3</w:t>
      </w:r>
      <w:r>
        <w:rPr>
          <w:sz w:val="24"/>
          <w:szCs w:val="24"/>
        </w:rPr>
        <w:tab/>
      </w:r>
      <w:r>
        <w:rPr>
          <w:sz w:val="24"/>
          <w:szCs w:val="24"/>
        </w:rPr>
        <w:tab/>
        <w:t>p196</w:t>
      </w:r>
    </w:p>
    <w:p w:rsidR="001D6C0D" w:rsidRPr="00311A80" w:rsidRDefault="00BC6941" w:rsidP="001D6C0D">
      <w:pPr>
        <w:spacing w:line="360" w:lineRule="auto"/>
        <w:rPr>
          <w:sz w:val="24"/>
          <w:szCs w:val="24"/>
        </w:rPr>
      </w:pPr>
      <w:r>
        <w:rPr>
          <w:sz w:val="24"/>
          <w:szCs w:val="24"/>
        </w:rPr>
        <w:t>Table V.4</w:t>
      </w:r>
      <w:r>
        <w:rPr>
          <w:sz w:val="24"/>
          <w:szCs w:val="24"/>
        </w:rPr>
        <w:tab/>
      </w:r>
      <w:r>
        <w:rPr>
          <w:sz w:val="24"/>
          <w:szCs w:val="24"/>
        </w:rPr>
        <w:tab/>
        <w:t>p199</w:t>
      </w:r>
    </w:p>
    <w:p w:rsidR="001D6C0D" w:rsidRPr="00311A80" w:rsidRDefault="00BC6941" w:rsidP="001D6C0D">
      <w:pPr>
        <w:spacing w:line="360" w:lineRule="auto"/>
        <w:rPr>
          <w:sz w:val="24"/>
          <w:szCs w:val="24"/>
        </w:rPr>
      </w:pPr>
      <w:r>
        <w:rPr>
          <w:sz w:val="24"/>
          <w:szCs w:val="24"/>
        </w:rPr>
        <w:t>Table V.5</w:t>
      </w:r>
      <w:r>
        <w:rPr>
          <w:sz w:val="24"/>
          <w:szCs w:val="24"/>
        </w:rPr>
        <w:tab/>
      </w:r>
      <w:r>
        <w:rPr>
          <w:sz w:val="24"/>
          <w:szCs w:val="24"/>
        </w:rPr>
        <w:tab/>
        <w:t>p209</w:t>
      </w:r>
    </w:p>
    <w:p w:rsidR="001D6C0D" w:rsidRPr="00311A80" w:rsidRDefault="00BC6941" w:rsidP="001D6C0D">
      <w:pPr>
        <w:spacing w:line="360" w:lineRule="auto"/>
        <w:rPr>
          <w:sz w:val="24"/>
          <w:szCs w:val="24"/>
        </w:rPr>
      </w:pPr>
      <w:r>
        <w:rPr>
          <w:sz w:val="24"/>
          <w:szCs w:val="24"/>
        </w:rPr>
        <w:t>Table V.6</w:t>
      </w:r>
      <w:r>
        <w:rPr>
          <w:sz w:val="24"/>
          <w:szCs w:val="24"/>
        </w:rPr>
        <w:tab/>
      </w:r>
      <w:r>
        <w:rPr>
          <w:sz w:val="24"/>
          <w:szCs w:val="24"/>
        </w:rPr>
        <w:tab/>
        <w:t>p209</w:t>
      </w:r>
    </w:p>
    <w:p w:rsidR="001D6C0D" w:rsidRDefault="001D6C0D" w:rsidP="001D6C0D">
      <w:pPr>
        <w:spacing w:line="360" w:lineRule="auto"/>
        <w:rPr>
          <w:b/>
          <w:sz w:val="24"/>
          <w:szCs w:val="24"/>
        </w:rPr>
      </w:pPr>
    </w:p>
    <w:p w:rsidR="001D6C0D" w:rsidRPr="00D05EBD" w:rsidRDefault="001D6C0D" w:rsidP="001D6C0D">
      <w:pPr>
        <w:spacing w:line="360" w:lineRule="auto"/>
        <w:rPr>
          <w:b/>
          <w:sz w:val="24"/>
          <w:szCs w:val="24"/>
        </w:rPr>
      </w:pPr>
      <w:r w:rsidRPr="00D05EBD">
        <w:rPr>
          <w:b/>
          <w:sz w:val="24"/>
          <w:szCs w:val="24"/>
        </w:rPr>
        <w:lastRenderedPageBreak/>
        <w:t>List of figures</w:t>
      </w:r>
    </w:p>
    <w:p w:rsidR="001D6C0D" w:rsidRPr="00311A80" w:rsidRDefault="007463A4" w:rsidP="001D6C0D">
      <w:pPr>
        <w:spacing w:line="360" w:lineRule="auto"/>
        <w:jc w:val="both"/>
        <w:rPr>
          <w:sz w:val="24"/>
          <w:szCs w:val="24"/>
          <w:lang w:val="fr-FR"/>
        </w:rPr>
      </w:pPr>
      <w:r w:rsidRPr="00311A80">
        <w:rPr>
          <w:sz w:val="24"/>
          <w:szCs w:val="24"/>
          <w:lang w:val="fr-FR"/>
        </w:rPr>
        <w:t>Figure 2</w:t>
      </w:r>
      <w:r w:rsidR="001D6C0D" w:rsidRPr="00311A80">
        <w:rPr>
          <w:sz w:val="24"/>
          <w:szCs w:val="24"/>
          <w:lang w:val="fr-FR"/>
        </w:rPr>
        <w:tab/>
      </w:r>
      <w:r w:rsidR="001D6C0D" w:rsidRPr="00311A80">
        <w:rPr>
          <w:sz w:val="24"/>
          <w:szCs w:val="24"/>
          <w:lang w:val="fr-FR"/>
        </w:rPr>
        <w:tab/>
        <w:t>p64</w:t>
      </w:r>
    </w:p>
    <w:p w:rsidR="001D6C0D" w:rsidRPr="00311A80" w:rsidRDefault="001D6C0D" w:rsidP="001D6C0D">
      <w:pPr>
        <w:spacing w:line="360" w:lineRule="auto"/>
        <w:jc w:val="both"/>
        <w:rPr>
          <w:sz w:val="24"/>
          <w:szCs w:val="24"/>
          <w:lang w:val="fr-FR"/>
        </w:rPr>
      </w:pPr>
      <w:r w:rsidRPr="00311A80">
        <w:rPr>
          <w:sz w:val="24"/>
          <w:szCs w:val="24"/>
          <w:lang w:val="fr-FR"/>
        </w:rPr>
        <w:t>Figure 3.1</w:t>
      </w:r>
      <w:r w:rsidRPr="00311A80">
        <w:rPr>
          <w:sz w:val="24"/>
          <w:szCs w:val="24"/>
          <w:lang w:val="fr-FR"/>
        </w:rPr>
        <w:tab/>
      </w:r>
      <w:r w:rsidRPr="00311A80">
        <w:rPr>
          <w:sz w:val="24"/>
          <w:szCs w:val="24"/>
          <w:lang w:val="fr-FR"/>
        </w:rPr>
        <w:tab/>
        <w:t>p100</w:t>
      </w:r>
    </w:p>
    <w:p w:rsidR="001D6C0D" w:rsidRPr="00311A80" w:rsidRDefault="007463A4" w:rsidP="001D6C0D">
      <w:pPr>
        <w:spacing w:line="360" w:lineRule="auto"/>
        <w:jc w:val="both"/>
        <w:rPr>
          <w:sz w:val="24"/>
          <w:szCs w:val="24"/>
          <w:lang w:val="fr-FR"/>
        </w:rPr>
      </w:pPr>
      <w:r w:rsidRPr="00311A80">
        <w:rPr>
          <w:sz w:val="24"/>
          <w:szCs w:val="24"/>
          <w:lang w:val="fr-FR"/>
        </w:rPr>
        <w:t>Figura 3.2</w:t>
      </w:r>
      <w:r w:rsidRPr="00311A80">
        <w:rPr>
          <w:sz w:val="24"/>
          <w:szCs w:val="24"/>
          <w:lang w:val="fr-FR"/>
        </w:rPr>
        <w:tab/>
      </w:r>
      <w:r w:rsidRPr="00311A80">
        <w:rPr>
          <w:sz w:val="24"/>
          <w:szCs w:val="24"/>
          <w:lang w:val="fr-FR"/>
        </w:rPr>
        <w:tab/>
        <w:t>p109</w:t>
      </w:r>
    </w:p>
    <w:p w:rsidR="001D6C0D" w:rsidRPr="00590F0E" w:rsidRDefault="001D6C0D" w:rsidP="001D6C0D">
      <w:pPr>
        <w:spacing w:line="480" w:lineRule="auto"/>
        <w:jc w:val="both"/>
        <w:rPr>
          <w:sz w:val="24"/>
          <w:szCs w:val="24"/>
          <w:lang w:val="fr-FR"/>
        </w:rPr>
      </w:pPr>
      <w:r w:rsidRPr="00590F0E">
        <w:rPr>
          <w:sz w:val="24"/>
          <w:szCs w:val="24"/>
          <w:lang w:val="fr-FR"/>
        </w:rPr>
        <w:t>Figure 3.3</w:t>
      </w:r>
      <w:r w:rsidRPr="00590F0E">
        <w:rPr>
          <w:sz w:val="24"/>
          <w:szCs w:val="24"/>
          <w:lang w:val="fr-FR"/>
        </w:rPr>
        <w:tab/>
      </w:r>
      <w:r w:rsidRPr="00590F0E">
        <w:rPr>
          <w:sz w:val="24"/>
          <w:szCs w:val="24"/>
          <w:lang w:val="fr-FR"/>
        </w:rPr>
        <w:tab/>
        <w:t>p121</w:t>
      </w:r>
    </w:p>
    <w:p w:rsidR="001D6C0D" w:rsidRPr="00590F0E" w:rsidRDefault="00BC6941" w:rsidP="001D6C0D">
      <w:pPr>
        <w:spacing w:line="480" w:lineRule="auto"/>
        <w:jc w:val="both"/>
        <w:rPr>
          <w:sz w:val="24"/>
          <w:szCs w:val="24"/>
          <w:lang w:val="fr-FR"/>
        </w:rPr>
      </w:pPr>
      <w:r>
        <w:rPr>
          <w:sz w:val="24"/>
          <w:szCs w:val="24"/>
          <w:lang w:val="fr-FR"/>
        </w:rPr>
        <w:t>Figure 5.1</w:t>
      </w:r>
      <w:r>
        <w:rPr>
          <w:sz w:val="24"/>
          <w:szCs w:val="24"/>
          <w:lang w:val="fr-FR"/>
        </w:rPr>
        <w:tab/>
      </w:r>
      <w:r>
        <w:rPr>
          <w:sz w:val="24"/>
          <w:szCs w:val="24"/>
          <w:lang w:val="fr-FR"/>
        </w:rPr>
        <w:tab/>
        <w:t>p202</w:t>
      </w:r>
    </w:p>
    <w:p w:rsidR="001D6C0D" w:rsidRPr="00590F0E" w:rsidRDefault="00BC6941" w:rsidP="001D6C0D">
      <w:pPr>
        <w:spacing w:line="480" w:lineRule="auto"/>
        <w:jc w:val="both"/>
        <w:rPr>
          <w:sz w:val="24"/>
          <w:szCs w:val="24"/>
          <w:lang w:val="fr-FR"/>
        </w:rPr>
      </w:pPr>
      <w:r>
        <w:rPr>
          <w:sz w:val="24"/>
          <w:szCs w:val="24"/>
          <w:lang w:val="fr-FR"/>
        </w:rPr>
        <w:t>Figure 5.2</w:t>
      </w:r>
      <w:r>
        <w:rPr>
          <w:sz w:val="24"/>
          <w:szCs w:val="24"/>
          <w:lang w:val="fr-FR"/>
        </w:rPr>
        <w:tab/>
      </w:r>
      <w:r>
        <w:rPr>
          <w:sz w:val="24"/>
          <w:szCs w:val="24"/>
          <w:lang w:val="fr-FR"/>
        </w:rPr>
        <w:tab/>
        <w:t>p204</w:t>
      </w:r>
    </w:p>
    <w:p w:rsidR="001D6C0D" w:rsidRPr="00590F0E" w:rsidRDefault="00BC6941" w:rsidP="001D6C0D">
      <w:pPr>
        <w:spacing w:line="480" w:lineRule="auto"/>
        <w:jc w:val="both"/>
        <w:rPr>
          <w:sz w:val="24"/>
          <w:szCs w:val="24"/>
          <w:lang w:val="fr-FR"/>
        </w:rPr>
      </w:pPr>
      <w:r>
        <w:rPr>
          <w:sz w:val="24"/>
          <w:szCs w:val="24"/>
          <w:lang w:val="fr-FR"/>
        </w:rPr>
        <w:t>Figure 5.3</w:t>
      </w:r>
      <w:r>
        <w:rPr>
          <w:sz w:val="24"/>
          <w:szCs w:val="24"/>
          <w:lang w:val="fr-FR"/>
        </w:rPr>
        <w:tab/>
      </w:r>
      <w:r>
        <w:rPr>
          <w:sz w:val="24"/>
          <w:szCs w:val="24"/>
          <w:lang w:val="fr-FR"/>
        </w:rPr>
        <w:tab/>
        <w:t>p206</w:t>
      </w:r>
    </w:p>
    <w:p w:rsidR="001D6C0D" w:rsidRPr="00590F0E" w:rsidRDefault="001D6C0D" w:rsidP="001D6C0D">
      <w:pPr>
        <w:spacing w:line="480" w:lineRule="auto"/>
        <w:jc w:val="both"/>
        <w:rPr>
          <w:sz w:val="24"/>
          <w:szCs w:val="24"/>
          <w:lang w:val="fr-FR"/>
        </w:rPr>
      </w:pPr>
      <w:r w:rsidRPr="00590F0E">
        <w:rPr>
          <w:sz w:val="24"/>
          <w:szCs w:val="24"/>
          <w:lang w:val="fr-FR"/>
        </w:rPr>
        <w:t>Fig</w:t>
      </w:r>
      <w:r w:rsidR="00BC6941">
        <w:rPr>
          <w:sz w:val="24"/>
          <w:szCs w:val="24"/>
          <w:lang w:val="fr-FR"/>
        </w:rPr>
        <w:t>ure 5.4</w:t>
      </w:r>
      <w:r w:rsidR="00BC6941">
        <w:rPr>
          <w:sz w:val="24"/>
          <w:szCs w:val="24"/>
          <w:lang w:val="fr-FR"/>
        </w:rPr>
        <w:tab/>
      </w:r>
      <w:r w:rsidR="00BC6941">
        <w:rPr>
          <w:sz w:val="24"/>
          <w:szCs w:val="24"/>
          <w:lang w:val="fr-FR"/>
        </w:rPr>
        <w:tab/>
        <w:t>p207</w:t>
      </w:r>
    </w:p>
    <w:p w:rsidR="00286A7F" w:rsidRPr="00590F0E" w:rsidRDefault="00286A7F" w:rsidP="00AE640B">
      <w:pPr>
        <w:spacing w:line="480" w:lineRule="auto"/>
        <w:jc w:val="both"/>
        <w:rPr>
          <w:b/>
          <w:sz w:val="24"/>
          <w:szCs w:val="24"/>
          <w:lang w:val="fr-FR"/>
        </w:rPr>
      </w:pPr>
    </w:p>
    <w:p w:rsidR="00286A7F" w:rsidRPr="00590F0E" w:rsidRDefault="00286A7F" w:rsidP="00AE640B">
      <w:pPr>
        <w:spacing w:line="480" w:lineRule="auto"/>
        <w:jc w:val="both"/>
        <w:rPr>
          <w:b/>
          <w:sz w:val="24"/>
          <w:szCs w:val="24"/>
          <w:lang w:val="fr-FR"/>
        </w:rPr>
      </w:pPr>
    </w:p>
    <w:p w:rsidR="00286A7F" w:rsidRPr="00590F0E" w:rsidRDefault="00286A7F" w:rsidP="00AE640B">
      <w:pPr>
        <w:spacing w:line="480" w:lineRule="auto"/>
        <w:jc w:val="both"/>
        <w:rPr>
          <w:b/>
          <w:sz w:val="24"/>
          <w:szCs w:val="24"/>
          <w:lang w:val="fr-FR"/>
        </w:rPr>
      </w:pPr>
    </w:p>
    <w:p w:rsidR="00286A7F" w:rsidRPr="00590F0E" w:rsidRDefault="00286A7F" w:rsidP="00AE640B">
      <w:pPr>
        <w:spacing w:line="480" w:lineRule="auto"/>
        <w:jc w:val="both"/>
        <w:rPr>
          <w:b/>
          <w:sz w:val="24"/>
          <w:szCs w:val="24"/>
          <w:lang w:val="fr-FR"/>
        </w:rPr>
      </w:pPr>
    </w:p>
    <w:p w:rsidR="001D6C0D" w:rsidRPr="00590F0E" w:rsidRDefault="001D6C0D" w:rsidP="00AE640B">
      <w:pPr>
        <w:spacing w:line="480" w:lineRule="auto"/>
        <w:jc w:val="both"/>
        <w:rPr>
          <w:b/>
          <w:sz w:val="24"/>
          <w:szCs w:val="24"/>
          <w:lang w:val="fr-FR"/>
        </w:rPr>
      </w:pPr>
    </w:p>
    <w:p w:rsidR="001D6C0D" w:rsidRPr="00590F0E" w:rsidRDefault="001D6C0D" w:rsidP="00AE640B">
      <w:pPr>
        <w:spacing w:line="480" w:lineRule="auto"/>
        <w:jc w:val="both"/>
        <w:rPr>
          <w:b/>
          <w:sz w:val="24"/>
          <w:szCs w:val="24"/>
          <w:lang w:val="fr-FR"/>
        </w:rPr>
      </w:pPr>
    </w:p>
    <w:p w:rsidR="001D6C0D" w:rsidRPr="00590F0E" w:rsidRDefault="001D6C0D" w:rsidP="00AE640B">
      <w:pPr>
        <w:spacing w:line="480" w:lineRule="auto"/>
        <w:jc w:val="both"/>
        <w:rPr>
          <w:b/>
          <w:sz w:val="24"/>
          <w:szCs w:val="24"/>
          <w:lang w:val="fr-FR"/>
        </w:rPr>
      </w:pPr>
    </w:p>
    <w:p w:rsidR="001D6C0D" w:rsidRPr="00590F0E" w:rsidRDefault="001D6C0D" w:rsidP="00AE640B">
      <w:pPr>
        <w:spacing w:line="480" w:lineRule="auto"/>
        <w:jc w:val="both"/>
        <w:rPr>
          <w:b/>
          <w:sz w:val="24"/>
          <w:szCs w:val="24"/>
          <w:lang w:val="fr-FR"/>
        </w:rPr>
      </w:pPr>
    </w:p>
    <w:p w:rsidR="001D6C0D" w:rsidRPr="00590F0E" w:rsidRDefault="001D6C0D" w:rsidP="00AE640B">
      <w:pPr>
        <w:spacing w:line="480" w:lineRule="auto"/>
        <w:jc w:val="both"/>
        <w:rPr>
          <w:b/>
          <w:sz w:val="24"/>
          <w:szCs w:val="24"/>
          <w:lang w:val="fr-FR"/>
        </w:rPr>
      </w:pPr>
    </w:p>
    <w:p w:rsidR="001D6C0D" w:rsidRPr="00590F0E" w:rsidRDefault="001D6C0D" w:rsidP="00AE640B">
      <w:pPr>
        <w:spacing w:line="480" w:lineRule="auto"/>
        <w:jc w:val="both"/>
        <w:rPr>
          <w:b/>
          <w:sz w:val="24"/>
          <w:szCs w:val="24"/>
          <w:lang w:val="fr-FR"/>
        </w:rPr>
      </w:pPr>
    </w:p>
    <w:p w:rsidR="00FB1389" w:rsidRPr="00590F0E" w:rsidRDefault="00C47B02" w:rsidP="00AE640B">
      <w:pPr>
        <w:spacing w:line="480" w:lineRule="auto"/>
        <w:jc w:val="both"/>
        <w:rPr>
          <w:b/>
          <w:sz w:val="24"/>
          <w:szCs w:val="24"/>
          <w:lang w:val="fr-FR"/>
        </w:rPr>
      </w:pPr>
      <w:r w:rsidRPr="00590F0E">
        <w:rPr>
          <w:b/>
          <w:sz w:val="24"/>
          <w:szCs w:val="24"/>
          <w:lang w:val="fr-FR"/>
        </w:rPr>
        <w:lastRenderedPageBreak/>
        <w:t>APPENDIC</w:t>
      </w:r>
      <w:r w:rsidR="00FB1389" w:rsidRPr="00590F0E">
        <w:rPr>
          <w:b/>
          <w:sz w:val="24"/>
          <w:szCs w:val="24"/>
          <w:lang w:val="fr-FR"/>
        </w:rPr>
        <w:t xml:space="preserve">ES </w:t>
      </w:r>
    </w:p>
    <w:p w:rsidR="00311A80" w:rsidRPr="00590F0E" w:rsidRDefault="00BC6941" w:rsidP="00AE640B">
      <w:pPr>
        <w:spacing w:line="480" w:lineRule="auto"/>
        <w:jc w:val="both"/>
        <w:rPr>
          <w:sz w:val="24"/>
          <w:szCs w:val="24"/>
          <w:lang w:val="fr-FR"/>
        </w:rPr>
      </w:pPr>
      <w:proofErr w:type="spellStart"/>
      <w:r>
        <w:rPr>
          <w:sz w:val="24"/>
          <w:szCs w:val="24"/>
          <w:lang w:val="fr-FR"/>
        </w:rPr>
        <w:t>Chapter</w:t>
      </w:r>
      <w:proofErr w:type="spellEnd"/>
      <w:r>
        <w:rPr>
          <w:sz w:val="24"/>
          <w:szCs w:val="24"/>
          <w:lang w:val="fr-FR"/>
        </w:rPr>
        <w:t xml:space="preserve"> 2</w:t>
      </w:r>
      <w:r>
        <w:rPr>
          <w:sz w:val="24"/>
          <w:szCs w:val="24"/>
          <w:lang w:val="fr-FR"/>
        </w:rPr>
        <w:tab/>
      </w:r>
      <w:r>
        <w:rPr>
          <w:sz w:val="24"/>
          <w:szCs w:val="24"/>
          <w:lang w:val="fr-FR"/>
        </w:rPr>
        <w:tab/>
        <w:t>p281</w:t>
      </w:r>
    </w:p>
    <w:p w:rsidR="00311A80" w:rsidRPr="00590F0E" w:rsidRDefault="00BC6941" w:rsidP="00AE640B">
      <w:pPr>
        <w:spacing w:line="480" w:lineRule="auto"/>
        <w:jc w:val="both"/>
        <w:rPr>
          <w:sz w:val="24"/>
          <w:szCs w:val="24"/>
          <w:lang w:val="fr-FR"/>
        </w:rPr>
      </w:pPr>
      <w:proofErr w:type="spellStart"/>
      <w:r>
        <w:rPr>
          <w:sz w:val="24"/>
          <w:szCs w:val="24"/>
          <w:lang w:val="fr-FR"/>
        </w:rPr>
        <w:t>Chapter</w:t>
      </w:r>
      <w:proofErr w:type="spellEnd"/>
      <w:r>
        <w:rPr>
          <w:sz w:val="24"/>
          <w:szCs w:val="24"/>
          <w:lang w:val="fr-FR"/>
        </w:rPr>
        <w:t xml:space="preserve"> 3</w:t>
      </w:r>
      <w:r>
        <w:rPr>
          <w:sz w:val="24"/>
          <w:szCs w:val="24"/>
          <w:lang w:val="fr-FR"/>
        </w:rPr>
        <w:tab/>
      </w:r>
      <w:r>
        <w:rPr>
          <w:sz w:val="24"/>
          <w:szCs w:val="24"/>
          <w:lang w:val="fr-FR"/>
        </w:rPr>
        <w:tab/>
        <w:t>p290</w:t>
      </w:r>
    </w:p>
    <w:p w:rsidR="00311A80" w:rsidRPr="00590F0E" w:rsidRDefault="00BC6941" w:rsidP="00AE640B">
      <w:pPr>
        <w:spacing w:line="480" w:lineRule="auto"/>
        <w:jc w:val="both"/>
        <w:rPr>
          <w:sz w:val="24"/>
          <w:szCs w:val="24"/>
          <w:lang w:val="fr-FR"/>
        </w:rPr>
      </w:pPr>
      <w:proofErr w:type="spellStart"/>
      <w:r>
        <w:rPr>
          <w:sz w:val="24"/>
          <w:szCs w:val="24"/>
          <w:lang w:val="fr-FR"/>
        </w:rPr>
        <w:t>Chapter</w:t>
      </w:r>
      <w:proofErr w:type="spellEnd"/>
      <w:r>
        <w:rPr>
          <w:sz w:val="24"/>
          <w:szCs w:val="24"/>
          <w:lang w:val="fr-FR"/>
        </w:rPr>
        <w:t xml:space="preserve"> 4</w:t>
      </w:r>
      <w:r>
        <w:rPr>
          <w:sz w:val="24"/>
          <w:szCs w:val="24"/>
          <w:lang w:val="fr-FR"/>
        </w:rPr>
        <w:tab/>
      </w:r>
      <w:r>
        <w:rPr>
          <w:sz w:val="24"/>
          <w:szCs w:val="24"/>
          <w:lang w:val="fr-FR"/>
        </w:rPr>
        <w:tab/>
        <w:t>p300</w:t>
      </w:r>
    </w:p>
    <w:p w:rsidR="00311A80" w:rsidRPr="00590F0E" w:rsidRDefault="00BC6941" w:rsidP="00AE640B">
      <w:pPr>
        <w:spacing w:line="480" w:lineRule="auto"/>
        <w:jc w:val="both"/>
        <w:rPr>
          <w:sz w:val="24"/>
          <w:szCs w:val="24"/>
          <w:lang w:val="fr-FR"/>
        </w:rPr>
      </w:pPr>
      <w:proofErr w:type="spellStart"/>
      <w:r>
        <w:rPr>
          <w:sz w:val="24"/>
          <w:szCs w:val="24"/>
          <w:lang w:val="fr-FR"/>
        </w:rPr>
        <w:t>Chapter</w:t>
      </w:r>
      <w:proofErr w:type="spellEnd"/>
      <w:r>
        <w:rPr>
          <w:sz w:val="24"/>
          <w:szCs w:val="24"/>
          <w:lang w:val="fr-FR"/>
        </w:rPr>
        <w:t xml:space="preserve"> 5</w:t>
      </w:r>
      <w:r>
        <w:rPr>
          <w:sz w:val="24"/>
          <w:szCs w:val="24"/>
          <w:lang w:val="fr-FR"/>
        </w:rPr>
        <w:tab/>
      </w:r>
      <w:r>
        <w:rPr>
          <w:sz w:val="24"/>
          <w:szCs w:val="24"/>
          <w:lang w:val="fr-FR"/>
        </w:rPr>
        <w:tab/>
        <w:t>p305</w:t>
      </w:r>
    </w:p>
    <w:p w:rsidR="00311A80" w:rsidRPr="00590F0E" w:rsidRDefault="00311A80" w:rsidP="00AE640B">
      <w:pPr>
        <w:spacing w:line="480" w:lineRule="auto"/>
        <w:jc w:val="both"/>
        <w:rPr>
          <w:sz w:val="24"/>
          <w:szCs w:val="24"/>
          <w:lang w:val="fr-FR"/>
        </w:rPr>
      </w:pPr>
    </w:p>
    <w:p w:rsidR="00FB1389" w:rsidRPr="00590F0E" w:rsidRDefault="00FB1389" w:rsidP="00AE640B">
      <w:pPr>
        <w:spacing w:line="480" w:lineRule="auto"/>
        <w:jc w:val="both"/>
        <w:rPr>
          <w:sz w:val="24"/>
          <w:szCs w:val="24"/>
          <w:lang w:val="fr-FR"/>
        </w:rPr>
      </w:pPr>
    </w:p>
    <w:p w:rsidR="00FB1389" w:rsidRPr="00590F0E" w:rsidRDefault="00FB1389" w:rsidP="00AE640B">
      <w:pPr>
        <w:spacing w:line="480" w:lineRule="auto"/>
        <w:jc w:val="both"/>
        <w:rPr>
          <w:sz w:val="24"/>
          <w:szCs w:val="24"/>
          <w:lang w:val="fr-FR"/>
        </w:rPr>
      </w:pPr>
    </w:p>
    <w:p w:rsidR="00FB1389" w:rsidRPr="00590F0E" w:rsidRDefault="00FB1389" w:rsidP="00AE640B">
      <w:pPr>
        <w:spacing w:line="480" w:lineRule="auto"/>
        <w:jc w:val="both"/>
        <w:rPr>
          <w:b/>
          <w:sz w:val="24"/>
          <w:szCs w:val="24"/>
          <w:lang w:val="fr-FR"/>
        </w:rPr>
      </w:pPr>
    </w:p>
    <w:p w:rsidR="00286A7F" w:rsidRPr="00590F0E" w:rsidRDefault="00286A7F" w:rsidP="00AE640B">
      <w:pPr>
        <w:spacing w:line="480" w:lineRule="auto"/>
        <w:jc w:val="both"/>
        <w:rPr>
          <w:b/>
          <w:sz w:val="24"/>
          <w:szCs w:val="24"/>
          <w:lang w:val="fr-FR"/>
        </w:rPr>
      </w:pPr>
    </w:p>
    <w:p w:rsidR="00286A7F" w:rsidRPr="00590F0E" w:rsidRDefault="00286A7F" w:rsidP="00AE640B">
      <w:pPr>
        <w:spacing w:line="480" w:lineRule="auto"/>
        <w:jc w:val="both"/>
        <w:rPr>
          <w:b/>
          <w:sz w:val="24"/>
          <w:szCs w:val="24"/>
          <w:lang w:val="fr-FR"/>
        </w:rPr>
      </w:pPr>
    </w:p>
    <w:p w:rsidR="00286A7F" w:rsidRPr="00590F0E" w:rsidRDefault="00286A7F" w:rsidP="00AE640B">
      <w:pPr>
        <w:spacing w:line="480" w:lineRule="auto"/>
        <w:jc w:val="both"/>
        <w:rPr>
          <w:b/>
          <w:sz w:val="24"/>
          <w:szCs w:val="24"/>
          <w:lang w:val="fr-FR"/>
        </w:rPr>
      </w:pPr>
    </w:p>
    <w:p w:rsidR="00286A7F" w:rsidRPr="00590F0E" w:rsidRDefault="00286A7F" w:rsidP="00AE640B">
      <w:pPr>
        <w:spacing w:line="480" w:lineRule="auto"/>
        <w:jc w:val="both"/>
        <w:rPr>
          <w:b/>
          <w:sz w:val="24"/>
          <w:szCs w:val="24"/>
          <w:lang w:val="fr-FR"/>
        </w:rPr>
      </w:pPr>
    </w:p>
    <w:p w:rsidR="00286A7F" w:rsidRPr="00590F0E" w:rsidRDefault="00286A7F" w:rsidP="00AE640B">
      <w:pPr>
        <w:spacing w:line="480" w:lineRule="auto"/>
        <w:jc w:val="both"/>
        <w:rPr>
          <w:b/>
          <w:sz w:val="24"/>
          <w:szCs w:val="24"/>
          <w:lang w:val="fr-FR"/>
        </w:rPr>
      </w:pPr>
    </w:p>
    <w:p w:rsidR="00286A7F" w:rsidRPr="00590F0E" w:rsidRDefault="00286A7F" w:rsidP="00AE640B">
      <w:pPr>
        <w:spacing w:line="480" w:lineRule="auto"/>
        <w:jc w:val="both"/>
        <w:rPr>
          <w:b/>
          <w:sz w:val="24"/>
          <w:szCs w:val="24"/>
          <w:lang w:val="fr-FR"/>
        </w:rPr>
      </w:pPr>
    </w:p>
    <w:p w:rsidR="00286A7F" w:rsidRPr="00590F0E" w:rsidRDefault="00286A7F" w:rsidP="00AE640B">
      <w:pPr>
        <w:spacing w:line="480" w:lineRule="auto"/>
        <w:jc w:val="both"/>
        <w:rPr>
          <w:b/>
          <w:sz w:val="24"/>
          <w:szCs w:val="24"/>
          <w:lang w:val="fr-FR"/>
        </w:rPr>
      </w:pPr>
    </w:p>
    <w:p w:rsidR="00286A7F" w:rsidRPr="00590F0E" w:rsidRDefault="00286A7F" w:rsidP="00AE640B">
      <w:pPr>
        <w:spacing w:line="480" w:lineRule="auto"/>
        <w:jc w:val="both"/>
        <w:rPr>
          <w:b/>
          <w:sz w:val="24"/>
          <w:szCs w:val="24"/>
          <w:lang w:val="fr-FR"/>
        </w:rPr>
      </w:pPr>
    </w:p>
    <w:p w:rsidR="00286A7F" w:rsidRPr="00590F0E" w:rsidRDefault="00286A7F" w:rsidP="00AE640B">
      <w:pPr>
        <w:spacing w:line="480" w:lineRule="auto"/>
        <w:jc w:val="both"/>
        <w:rPr>
          <w:b/>
          <w:sz w:val="24"/>
          <w:szCs w:val="24"/>
          <w:lang w:val="fr-FR"/>
        </w:rPr>
      </w:pPr>
    </w:p>
    <w:p w:rsidR="00E56E65" w:rsidRPr="00590F0E" w:rsidRDefault="00E56E65" w:rsidP="00E5732F">
      <w:pPr>
        <w:spacing w:line="480" w:lineRule="auto"/>
        <w:rPr>
          <w:b/>
          <w:sz w:val="72"/>
          <w:szCs w:val="72"/>
          <w:lang w:val="fr-FR"/>
        </w:rPr>
      </w:pPr>
    </w:p>
    <w:p w:rsidR="00C47B02" w:rsidRPr="00590F0E" w:rsidRDefault="00C47B02" w:rsidP="00C47B02">
      <w:pPr>
        <w:spacing w:line="480" w:lineRule="auto"/>
        <w:jc w:val="center"/>
        <w:rPr>
          <w:b/>
          <w:sz w:val="72"/>
          <w:szCs w:val="72"/>
          <w:lang w:val="fr-FR"/>
        </w:rPr>
      </w:pPr>
      <w:r w:rsidRPr="00590F0E">
        <w:rPr>
          <w:b/>
          <w:sz w:val="72"/>
          <w:szCs w:val="72"/>
          <w:lang w:val="fr-FR"/>
        </w:rPr>
        <w:t>CHAPTER 1</w:t>
      </w:r>
    </w:p>
    <w:p w:rsidR="00C47B02" w:rsidRPr="00C47B02" w:rsidRDefault="00C47B02" w:rsidP="00C47B02">
      <w:pPr>
        <w:spacing w:line="480" w:lineRule="auto"/>
        <w:jc w:val="center"/>
        <w:rPr>
          <w:b/>
          <w:sz w:val="40"/>
          <w:szCs w:val="40"/>
        </w:rPr>
      </w:pPr>
      <w:r w:rsidRPr="00C47B02">
        <w:rPr>
          <w:b/>
          <w:sz w:val="40"/>
          <w:szCs w:val="40"/>
        </w:rPr>
        <w:t>Conceptual foundations of automatic interpersonal emotion regulation</w:t>
      </w:r>
    </w:p>
    <w:p w:rsidR="00FB1389" w:rsidRPr="00D05EBD" w:rsidRDefault="00FB1389" w:rsidP="00AE640B">
      <w:pPr>
        <w:spacing w:line="480" w:lineRule="auto"/>
        <w:jc w:val="both"/>
        <w:rPr>
          <w:b/>
          <w:sz w:val="24"/>
          <w:szCs w:val="24"/>
        </w:rPr>
      </w:pPr>
      <w:r w:rsidRPr="00D05EBD">
        <w:rPr>
          <w:b/>
          <w:sz w:val="24"/>
          <w:szCs w:val="24"/>
        </w:rPr>
        <w:br w:type="page"/>
      </w:r>
    </w:p>
    <w:p w:rsidR="00FB1389" w:rsidRPr="00D05EBD" w:rsidRDefault="00FB1389" w:rsidP="00AE640B">
      <w:pPr>
        <w:spacing w:line="480" w:lineRule="auto"/>
        <w:jc w:val="both"/>
        <w:rPr>
          <w:b/>
          <w:sz w:val="24"/>
          <w:szCs w:val="24"/>
        </w:rPr>
      </w:pPr>
      <w:r w:rsidRPr="00D05EBD">
        <w:rPr>
          <w:b/>
          <w:sz w:val="24"/>
          <w:szCs w:val="24"/>
        </w:rPr>
        <w:lastRenderedPageBreak/>
        <w:t>1.1 Introduction</w:t>
      </w:r>
    </w:p>
    <w:p w:rsidR="00FB1389" w:rsidRPr="00D05EBD" w:rsidRDefault="00FB1389" w:rsidP="00AE640B">
      <w:pPr>
        <w:spacing w:line="480" w:lineRule="auto"/>
        <w:jc w:val="both"/>
        <w:rPr>
          <w:sz w:val="24"/>
          <w:szCs w:val="24"/>
        </w:rPr>
      </w:pPr>
      <w:r w:rsidRPr="00D05EBD">
        <w:rPr>
          <w:sz w:val="24"/>
          <w:szCs w:val="24"/>
        </w:rPr>
        <w:tab/>
        <w:t xml:space="preserve">In everyday life people are exposed to situations that may potentially elicit emotions. People might have a stressful work meeting, attend their child’s first school performance, or simply watch a very sad film, to name some examples. During situations like this people may need to control or change the way they feel or express their emotions, referred to as </w:t>
      </w:r>
      <w:r w:rsidRPr="00D05EBD">
        <w:rPr>
          <w:i/>
          <w:sz w:val="24"/>
          <w:szCs w:val="24"/>
        </w:rPr>
        <w:t>emotion regulation</w:t>
      </w:r>
      <w:r w:rsidRPr="00D05EBD">
        <w:rPr>
          <w:sz w:val="24"/>
          <w:szCs w:val="24"/>
        </w:rPr>
        <w:t xml:space="preserve"> (ER). For example, a driver might control her anger by refraining from shouting at someone overtaking her when she is at a corner. People engage in ER for many reasons, they could use ER to react appropriately in a given context (e.g. avoid crying in public or smiling when receiving a gift that one does not like), or to promote pleasure and avoid pain (e.g. looking away during the disturbing scenes of a horror film) </w:t>
      </w:r>
      <w:r w:rsidR="00B06E70">
        <w:rPr>
          <w:sz w:val="24"/>
          <w:szCs w:val="24"/>
        </w:rPr>
        <w:fldChar w:fldCharType="begin" w:fldLock="1"/>
      </w:r>
      <w:r w:rsidR="00844B08">
        <w:rPr>
          <w:sz w:val="24"/>
          <w:szCs w:val="24"/>
        </w:rPr>
        <w:instrText>ADDIN CSL_CITATION { "citationItems" : [ { "id" : "ITEM-1", "itemData" : { "DOI" : "10.1037/1089-2680.2.3.271", "ISBN" : "1939-1552(Electronic);1089-2680(Print)", "ISSN" : "10892680", "PMID" : "21827323", "abstract" : "The emerging field of emotion regulation studies how individuals influence which emotions they have, when they have them, and how they experience and express them. This review takes an evolutionary perspective and characterizes emotion in terms of response tendencies. Emotion regulation is denned and distinguished from coping, mood regulation, defense, and affect regulation. In the increasingly specialized discipline of psychology, the field of emotion regulation cuts across traditional boundaries and provides common ground. According to a process model of emotion regulation, emotion may be regulated at five points in the emotion generative process: (a) selection of the situation, (b) modification of the situation, (c) deployment of attention, (d) change of cognitions, and (e) modulation of responses. The field of emotion regulation promises new insights into age-old questions about how people manage their emotions.", "author" : [ { "dropping-particle" : "", "family" : "Gross", "given" : "James J", "non-dropping-particle" : "", "parse-names" : false, "suffix" : "" } ], "container-title" : "Review of General Psychology", "id" : "ITEM-1", "issue" : "5", "issued" : { "date-parts" : [ [ "1998" ] ] }, "page" : "271-299", "title" : "The Emerging Field of Emotion Regulation : An Integrative Review Ih Ih", "type" : "article-journal", "volume" : "2" }, "uris" : [ "http://www.mendeley.com/documents/?uuid=9c5b6258-1f15-3b8b-a30f-fa6ff64a7de8" ] }, { "id" : "ITEM-2", "itemData" : { "DOI" : "10.1207/S15327965PLI1103_03", "ISBN" : "1047840X", "ISSN" : "1047-840X", "PMID" : "4715363", "abstract" : "Understanding howemotion regulation issimilar to and differentfrom otherself-control tasks can advance the understanding of emotion regulation. Emotion regulation has many similarities to other regulatory tasks such as dieting, and abstaining from smoking, drugs, alcohol, ill-advised sexual encounters, gambling, andprocrastina- tion, but it differs in afew important respects. Emotion regulation is similar to other kinds of self-regulation in that it consists of three components: standards, monitoring, and strength. Emotion regulation involves overriding one set responses with another, incompatible set, just like with other types of self-control. And like other regulatory tasks, emotion regulation can fail either because of underregulation or because of misregulation. Although emotion regulation is similar in many respects to other regulatory tasks, it is a special case of self-regulation in that it can often undermine at- tempts at other kinds of self- control. Specifically, focusing on regulating moods and feeling states can lead to afailure of self-control in other areas.", "author" : [ { "dropping-particle" : "", "family" : "Tice", "given" : "Dianne M", "non-dropping-particle" : "", "parse-names" : false, "suffix" : "" }, { "dropping-particle" : "", "family" : "Bratslavsky", "given" : "Ellen", "non-dropping-particle" : "", "parse-names" : false, "suffix" : "" } ], "container-title" : "Psychological Inquiry", "id" : "ITEM-2", "issue" : "3", "issued" : { "date-parts" : [ [ "2000" ] ] }, "page" : "149-159", "title" : "Giving in to Feel Good: The Place of Emotion Regulation in the Context of General Self-Control", "type" : "article-journal", "volume" : "11" }, "uris" : [ "http://www.mendeley.com/documents/?uuid=12e56f22-1f38-3055-8f56-3608205a0220" ] } ], "mendeley" : { "formattedCitation" : "(Gross, 1998; Dianne M Tice &amp; Bratslavsky, 2000)", "manualFormatting" : "(Gross, 1998; Tice &amp; Bratslavsky, 2000)", "plainTextFormattedCitation" : "(Gross, 1998; Dianne M Tice &amp; Bratslavsky, 2000)", "previouslyFormattedCitation" : "(Gross, 1998; Dianne M Tice &amp; Bratslavsky, 2000)" }, "properties" : { "noteIndex" : 0 }, "schema" : "https://github.com/citation-style-language/schema/raw/master/csl-citation.json" }</w:instrText>
      </w:r>
      <w:r w:rsidR="00B06E70">
        <w:rPr>
          <w:sz w:val="24"/>
          <w:szCs w:val="24"/>
        </w:rPr>
        <w:fldChar w:fldCharType="separate"/>
      </w:r>
      <w:r w:rsidR="00844B08">
        <w:rPr>
          <w:noProof/>
          <w:sz w:val="24"/>
          <w:szCs w:val="24"/>
        </w:rPr>
        <w:t xml:space="preserve">(Gross, 1998; </w:t>
      </w:r>
      <w:r w:rsidR="00C1796E" w:rsidRPr="00C1796E">
        <w:rPr>
          <w:noProof/>
          <w:sz w:val="24"/>
          <w:szCs w:val="24"/>
        </w:rPr>
        <w:t>Tice &amp; Bratslavsky, 2000)</w:t>
      </w:r>
      <w:r w:rsidR="00B06E70">
        <w:rPr>
          <w:sz w:val="24"/>
          <w:szCs w:val="24"/>
        </w:rPr>
        <w:fldChar w:fldCharType="end"/>
      </w:r>
      <w:r w:rsidRPr="00D05EBD">
        <w:rPr>
          <w:sz w:val="24"/>
          <w:szCs w:val="24"/>
        </w:rPr>
        <w:t xml:space="preserve">. </w:t>
      </w:r>
    </w:p>
    <w:p w:rsidR="00FB1389" w:rsidRPr="00D05EBD" w:rsidRDefault="00FB1389" w:rsidP="00AE640B">
      <w:pPr>
        <w:spacing w:line="480" w:lineRule="auto"/>
        <w:ind w:firstLine="720"/>
        <w:jc w:val="both"/>
        <w:rPr>
          <w:sz w:val="24"/>
          <w:szCs w:val="24"/>
        </w:rPr>
      </w:pPr>
      <w:r w:rsidRPr="00D05EBD">
        <w:rPr>
          <w:sz w:val="24"/>
          <w:szCs w:val="24"/>
        </w:rPr>
        <w:t xml:space="preserve">Individuals can regulate their emotions in a variety of ways. From shifting their attention to avoid exposure to an undesired situation (e.g. </w:t>
      </w:r>
      <w:r w:rsidR="00B06E70">
        <w:rPr>
          <w:sz w:val="24"/>
          <w:szCs w:val="24"/>
        </w:rPr>
        <w:fldChar w:fldCharType="begin" w:fldLock="1"/>
      </w:r>
      <w:r w:rsidR="00AD532D">
        <w:rPr>
          <w:sz w:val="24"/>
          <w:szCs w:val="24"/>
        </w:rPr>
        <w:instrText>ADDIN CSL_CITATION { "citationItems" : [ { "id" : "ITEM-1", "itemData" : { "DOI" : "10.1037/0033-2909.121.3.417", "ISBN" : "0033-2909\\r1939-1455", "ISSN" : "0033-2909", "PMID" : "9136643", "abstract" : "In a conceptual and temporal framework, derived from research on social cognition, social interaction, and stress and coping, the authors analyze the processes through which people anticipate or detect potential stressors and act in advance to prevent them or to mute their impact (proactive coping). The framework specifies five stages in proactive coping: (1) resource accumulation, (2) recognition of potential stressors. (3) initial appraisal, (4) preliminary coping efforts, and (5) elicitation and use of feedback concerning initial efforts. The authors detail the role of individual differences, skills, and resources at each stage. They highlight the unique predictions afforded by a focus on proactive coping and the importance of understanding how people avoid and offset potential stressors. (PsycINFO Database Record (c) 2010 APA, all rights reserved). (from the journal abstract)", "author" : [ { "dropping-particle" : "", "family" : "Aspinwall", "given" : "Lisa G", "non-dropping-particle" : "", "parse-names" : false, "suffix" : "" }, { "dropping-particle" : "", "family" : "Taylor", "given" : "Shelley E", "non-dropping-particle" : "", "parse-names" : false, "suffix" : "" } ], "container-title" : "Psychological Bulletin", "id" : "ITEM-1", "issue" : "3", "issued" : { "date-parts" : [ [ "1997" ] ] }, "page" : "417-436", "title" : "A stitch in time: Self-regulation and proactive coping", "type" : "article-journal", "volume" : "121" }, "uris" : [ "http://www.mendeley.com/documents/?uuid=c234b38d-e1b3-354f-ba69-8ab92cb6b64d" ] } ], "mendeley" : { "formattedCitation" : "(Aspinwall &amp; Taylor, 1997)", "manualFormatting" : "Aspinwall &amp; Taylor, 1997)", "plainTextFormattedCitation" : "(Aspinwall &amp; Taylor, 1997)", "previouslyFormattedCitation" : "(Aspinwall &amp; Taylor, 1997)" }, "properties" : { "noteIndex" : 0 }, "schema" : "https://github.com/citation-style-language/schema/raw/master/csl-citation.json" }</w:instrText>
      </w:r>
      <w:r w:rsidR="00B06E70">
        <w:rPr>
          <w:sz w:val="24"/>
          <w:szCs w:val="24"/>
        </w:rPr>
        <w:fldChar w:fldCharType="separate"/>
      </w:r>
      <w:r w:rsidR="00AD532D" w:rsidRPr="00AD532D">
        <w:rPr>
          <w:noProof/>
          <w:sz w:val="24"/>
          <w:szCs w:val="24"/>
        </w:rPr>
        <w:t>Aspinwall &amp; Taylor, 1997)</w:t>
      </w:r>
      <w:r w:rsidR="00B06E70">
        <w:rPr>
          <w:sz w:val="24"/>
          <w:szCs w:val="24"/>
        </w:rPr>
        <w:fldChar w:fldCharType="end"/>
      </w:r>
      <w:r w:rsidRPr="00D05EBD">
        <w:rPr>
          <w:sz w:val="24"/>
          <w:szCs w:val="24"/>
        </w:rPr>
        <w:t xml:space="preserve"> to thinking of a situation in a different </w:t>
      </w:r>
      <w:r w:rsidR="003C0500">
        <w:rPr>
          <w:sz w:val="24"/>
          <w:szCs w:val="24"/>
        </w:rPr>
        <w:t xml:space="preserve">way to make it less threatening, unpleasant or </w:t>
      </w:r>
      <w:r w:rsidRPr="00D05EBD">
        <w:rPr>
          <w:sz w:val="24"/>
          <w:szCs w:val="24"/>
        </w:rPr>
        <w:t>distressing</w:t>
      </w:r>
      <w:r w:rsidR="00AD532D">
        <w:rPr>
          <w:sz w:val="24"/>
          <w:szCs w:val="24"/>
        </w:rPr>
        <w:t xml:space="preserve"> </w:t>
      </w:r>
      <w:r w:rsidR="00B06E70">
        <w:rPr>
          <w:sz w:val="24"/>
          <w:szCs w:val="24"/>
        </w:rPr>
        <w:fldChar w:fldCharType="begin" w:fldLock="1"/>
      </w:r>
      <w:r w:rsidR="0089549E">
        <w:rPr>
          <w:sz w:val="24"/>
          <w:szCs w:val="24"/>
        </w:rPr>
        <w:instrText>ADDIN CSL_CITATION { "citationItems" : [ { "id" : "ITEM-1", "itemData" : { "DOI" : "10.1037/0022-3514.85.2.348", "ISBN" : "0022-3514\\r1939-1315", "ISSN" : "0022-3514", "PMID" : "12916575", "abstract" : "Five studies tested two general hypotheses: Individuals differ in their use of emotion regulation strategies such as reappraisal and suppression, and these individual differences have implications for affect, well-being, and social relationships. Study 1 presents new measures of the habitual use of reappraisal and suppression. Study 2 examines convergent and discriminant validity. Study 3 shows that reappraisers experience and express greater positive emotion and lesser negative emotion, whereas suppressors experience and express lesser positive emotion, yet experience greater negative emotion. Study 4 indicates that using reappraisal is associated with better interpersonal functioning, whereas using suppression is associated with worse interpersonal functioning. Study 5 shows that using reappraisal is related positively to well-being, whereas using suppression is related negatively.", "author" : [ { "dropping-particle" : "", "family" : "Gross", "given" : "James J", "non-dropping-particle" : "", "parse-names" : false, "suffix" : "" }, { "dropping-particle" : "", "family" : "John", "given" : "Oliver P", "non-dropping-particle" : "", "parse-names" : false, "suffix" : "" } ], "container-title" : "Journal of personality and social psychology", "id" : "ITEM-1", "issue" : "2", "issued" : { "date-parts" : [ [ "2003" ] ] }, "page" : "348-362", "title" : "Individual differences in two emotion regulation processes: implications for affect, relationships, and well-being.", "type" : "article-journal", "volume" : "85" }, "uris" : [ "http://www.mendeley.com/documents/?uuid=7e997c56-1c76-416c-9e20-cb6be3789ff7" ] } ], "mendeley" : { "formattedCitation" : "(Gross &amp; John, 2003b)", "plainTextFormattedCitation" : "(Gross &amp; John, 2003b)", "previouslyFormattedCitation" : "(Gross &amp; John, 2003b)" }, "properties" : { "noteIndex" : 0 }, "schema" : "https://github.com/citation-style-language/schema/raw/master/csl-citation.json" }</w:instrText>
      </w:r>
      <w:r w:rsidR="00B06E70">
        <w:rPr>
          <w:sz w:val="24"/>
          <w:szCs w:val="24"/>
        </w:rPr>
        <w:fldChar w:fldCharType="separate"/>
      </w:r>
      <w:r w:rsidR="0089549E" w:rsidRPr="0089549E">
        <w:rPr>
          <w:noProof/>
          <w:sz w:val="24"/>
          <w:szCs w:val="24"/>
        </w:rPr>
        <w:t>(Gross &amp; John, 2003b)</w:t>
      </w:r>
      <w:r w:rsidR="00B06E70">
        <w:rPr>
          <w:sz w:val="24"/>
          <w:szCs w:val="24"/>
        </w:rPr>
        <w:fldChar w:fldCharType="end"/>
      </w:r>
      <w:r w:rsidRPr="00D05EBD">
        <w:rPr>
          <w:sz w:val="24"/>
          <w:szCs w:val="24"/>
        </w:rPr>
        <w:t>, or even by modulating body responses like the way one breathes to reduce worrying about a particular event</w:t>
      </w:r>
      <w:r w:rsidR="00AD532D">
        <w:rPr>
          <w:sz w:val="24"/>
          <w:szCs w:val="24"/>
        </w:rPr>
        <w:t xml:space="preserve"> </w:t>
      </w:r>
      <w:r w:rsidR="00B06E70">
        <w:rPr>
          <w:sz w:val="24"/>
          <w:szCs w:val="24"/>
        </w:rPr>
        <w:fldChar w:fldCharType="begin" w:fldLock="1"/>
      </w:r>
      <w:r w:rsidR="00AD532D">
        <w:rPr>
          <w:sz w:val="24"/>
          <w:szCs w:val="24"/>
        </w:rPr>
        <w:instrText>ADDIN CSL_CITATION { "citationItems" : [ { "id" : "ITEM-1", "itemData" : { "DOI" : "10.1016/j.brat.2005.12.007", "ISBN" : "0005-7967", "ISSN" : "00057967", "PMID" : "16460668", "abstract" : "The current study investigated whether a 15 min recorded focused breathing induction in a normal, primarily undergraduate population would decrease the intensity and negativity of emotional responses to affectively valenced picture slides and increase willingness to remain in contact with aversive picture slides. The effects of the focused breathing induction were compared with the effects of 15 min recorded inductions of unfocused attention and worrying. The focused breathing group maintained consistent, moderately positive responses to the neutral slides before and after the induction, whereas the unfocused attention and worry groups responded significantly more negatively to the neutral slides after the induction than before it. The focusing breathing group also reported lower negative affect and overall emotional volatility in response to the post-induction slides than the worry group, and greater willingness to view highly negative slides than the unfocused attention group. The lower-reported negative and overall affect in response to the final slide blocks, and greater willingness to view optional negative slides by the focused breathing group may be viewed as more adaptive responding to negative stimuli. The results are discussed as being consistent with emotional regulatory properties of mindfulness. ?? 2006 Elsevier Ltd. All rights reserved.", "author" : [ { "dropping-particle" : "", "family" : "Arch", "given" : "Joanna J.", "non-dropping-particle" : "", "parse-names" : false, "suffix" : "" }, { "dropping-particle" : "", "family" : "Craske", "given" : "Michelle G.", "non-dropping-particle" : "", "parse-names" : false, "suffix" : "" } ], "container-title" : "Behaviour Research and Therapy", "id" : "ITEM-1", "issue" : "12", "issued" : { "date-parts" : [ [ "2006" ] ] }, "page" : "1849-1858", "title" : "Mechanisms of mindfulness: Emotion regulation following a focused breathing induction", "type" : "article-journal", "volume" : "44" }, "uris" : [ "http://www.mendeley.com/documents/?uuid=a8eac63e-4bd5-450c-b766-b5a5e4de6543" ] } ], "mendeley" : { "formattedCitation" : "(Arch &amp; Craske, 2006)", "plainTextFormattedCitation" : "(Arch &amp; Craske, 2006)", "previouslyFormattedCitation" : "(Arch &amp; Craske, 2006)" }, "properties" : { "noteIndex" : 0 }, "schema" : "https://github.com/citation-style-language/schema/raw/master/csl-citation.json" }</w:instrText>
      </w:r>
      <w:r w:rsidR="00B06E70">
        <w:rPr>
          <w:sz w:val="24"/>
          <w:szCs w:val="24"/>
        </w:rPr>
        <w:fldChar w:fldCharType="separate"/>
      </w:r>
      <w:r w:rsidR="00AD532D" w:rsidRPr="00AD532D">
        <w:rPr>
          <w:noProof/>
          <w:sz w:val="24"/>
          <w:szCs w:val="24"/>
        </w:rPr>
        <w:t>(Arch &amp; Craske, 2006)</w:t>
      </w:r>
      <w:r w:rsidR="00B06E70">
        <w:rPr>
          <w:sz w:val="24"/>
          <w:szCs w:val="24"/>
        </w:rPr>
        <w:fldChar w:fldCharType="end"/>
      </w:r>
      <w:r w:rsidRPr="00D05EBD">
        <w:rPr>
          <w:sz w:val="24"/>
          <w:szCs w:val="24"/>
        </w:rPr>
        <w:t xml:space="preserve">. ER can occur under the person’s awareness – termed </w:t>
      </w:r>
      <w:r w:rsidRPr="00D05EBD">
        <w:rPr>
          <w:i/>
          <w:sz w:val="24"/>
          <w:szCs w:val="24"/>
        </w:rPr>
        <w:t>controlled emotion regulation</w:t>
      </w:r>
      <w:r w:rsidRPr="00D05EBD">
        <w:rPr>
          <w:sz w:val="24"/>
          <w:szCs w:val="24"/>
        </w:rPr>
        <w:t xml:space="preserve"> (CER)</w:t>
      </w:r>
      <w:r w:rsidRPr="00D05EBD">
        <w:rPr>
          <w:i/>
          <w:sz w:val="24"/>
          <w:szCs w:val="24"/>
        </w:rPr>
        <w:t xml:space="preserve"> </w:t>
      </w:r>
      <w:r w:rsidRPr="00D05EBD">
        <w:rPr>
          <w:sz w:val="24"/>
          <w:szCs w:val="24"/>
        </w:rPr>
        <w:t>(e.g. breathing deeply to soothe angry feelings);</w:t>
      </w:r>
      <w:r w:rsidRPr="00D05EBD">
        <w:rPr>
          <w:i/>
          <w:sz w:val="24"/>
          <w:szCs w:val="24"/>
        </w:rPr>
        <w:t xml:space="preserve"> </w:t>
      </w:r>
      <w:r w:rsidRPr="00D05EBD">
        <w:rPr>
          <w:sz w:val="24"/>
          <w:szCs w:val="24"/>
        </w:rPr>
        <w:t xml:space="preserve">and ER that happens without the person’s awareness - termed </w:t>
      </w:r>
      <w:r w:rsidRPr="00D05EBD">
        <w:rPr>
          <w:i/>
          <w:sz w:val="24"/>
          <w:szCs w:val="24"/>
        </w:rPr>
        <w:t>automatic or implicit emotion regulation</w:t>
      </w:r>
      <w:r w:rsidRPr="00D05EBD">
        <w:rPr>
          <w:sz w:val="24"/>
          <w:szCs w:val="24"/>
        </w:rPr>
        <w:t xml:space="preserve"> (AER)</w:t>
      </w:r>
      <w:r w:rsidRPr="00D05EBD">
        <w:rPr>
          <w:i/>
          <w:sz w:val="24"/>
          <w:szCs w:val="24"/>
        </w:rPr>
        <w:t xml:space="preserve"> </w:t>
      </w:r>
      <w:r w:rsidRPr="00D05EBD">
        <w:rPr>
          <w:sz w:val="24"/>
          <w:szCs w:val="24"/>
        </w:rPr>
        <w:t xml:space="preserve">(e.g., walking away from a market stall with rotting fish to avoid feeling disgust, without awareness of what is being done to avoid such disgust). Furthermore, ER can occur within the person – termed </w:t>
      </w:r>
      <w:r w:rsidRPr="00D05EBD">
        <w:rPr>
          <w:i/>
          <w:sz w:val="24"/>
          <w:szCs w:val="24"/>
        </w:rPr>
        <w:t>intrapersonal emotion regulation</w:t>
      </w:r>
      <w:r w:rsidRPr="00D05EBD">
        <w:rPr>
          <w:sz w:val="24"/>
          <w:szCs w:val="24"/>
        </w:rPr>
        <w:t xml:space="preserve"> (e.g. listening to a song one likes to enhance one’s emotions) (see </w:t>
      </w:r>
      <w:r w:rsidR="00B06E70">
        <w:rPr>
          <w:sz w:val="24"/>
          <w:szCs w:val="24"/>
        </w:rPr>
        <w:fldChar w:fldCharType="begin" w:fldLock="1"/>
      </w:r>
      <w:r w:rsidR="00AD532D">
        <w:rPr>
          <w:sz w:val="24"/>
          <w:szCs w:val="24"/>
        </w:rPr>
        <w:instrText>ADDIN CSL_CITATION { "citationItems" : [ { "id" : "ITEM-1", "itemData" : { "DOI" : "10.1080/02699930802619031", "ISBN" : "0269-9931", "ISSN" : "0269-9931", "PMID" : "35772160", "abstract" : "The present article reviews modern research on the psychology of emotion regulation. Emotion regulation determines the offset of emotional responding and is thus distinct from emotional sensitivity, which determines the onset of emotional responding. Among the most viable categories for classifying emotion-regulation strategies are the targets and functions of emotion regulation. The emotion-generating systems that are targeted in emotion regulation include attention, knowledge, and bodily responses. The functions of emotion regulation include satisfying hedonic needs, supporting specific goal pursuits, and facilitating the global personality system. Emotion-regulation strategies are classified in terms of their targets and functions and relevant empirical work is reviewed. Throughout this review, emotion regulation emerges as one of the most far-ranging and influential processes at the interface of cognition and emotion.", "author" : [ { "dropping-particle" : "", "family" : "Koole", "given" : "Sander L", "non-dropping-particle" : "", "parse-names" : false, "suffix" : "" } ], "container-title" : "Cognition &amp; Emotion", "id" : "ITEM-1", "issue" : "1", "issued" : { "date-parts" : [ [ "2009" ] ] }, "page" : "4-41", "title" : "The psychology of emotion regulation: An integrative review", "type" : "article-journal", "volume" : "23" }, "uris" : [ "http://www.mendeley.com/documents/?uuid=2765591b-72cd-392a-96cf-2b00e6218bef" ] } ], "mendeley" : { "formattedCitation" : "(Koole, 2009)", "manualFormatting" : "Koole, 2009", "plainTextFormattedCitation" : "(Koole, 2009)", "previouslyFormattedCitation" : "(Koole, 2009)" }, "properties" : { "noteIndex" : 0 }, "schema" : "https://github.com/citation-style-language/schema/raw/master/csl-citation.json" }</w:instrText>
      </w:r>
      <w:r w:rsidR="00B06E70">
        <w:rPr>
          <w:sz w:val="24"/>
          <w:szCs w:val="24"/>
        </w:rPr>
        <w:fldChar w:fldCharType="separate"/>
      </w:r>
      <w:r w:rsidR="00AD532D" w:rsidRPr="00AD532D">
        <w:rPr>
          <w:noProof/>
          <w:sz w:val="24"/>
          <w:szCs w:val="24"/>
        </w:rPr>
        <w:t>Koole, 2009</w:t>
      </w:r>
      <w:r w:rsidR="00B06E70">
        <w:rPr>
          <w:sz w:val="24"/>
          <w:szCs w:val="24"/>
        </w:rPr>
        <w:fldChar w:fldCharType="end"/>
      </w:r>
      <w:r w:rsidRPr="00D05EBD">
        <w:rPr>
          <w:sz w:val="24"/>
          <w:szCs w:val="24"/>
        </w:rPr>
        <w:t xml:space="preserve">, for a review); or between individuals – termed </w:t>
      </w:r>
      <w:r w:rsidRPr="00D05EBD">
        <w:rPr>
          <w:i/>
          <w:sz w:val="24"/>
          <w:szCs w:val="24"/>
        </w:rPr>
        <w:lastRenderedPageBreak/>
        <w:t xml:space="preserve">interpersonal emotion regulation </w:t>
      </w:r>
      <w:r w:rsidRPr="00D05EBD">
        <w:rPr>
          <w:sz w:val="24"/>
          <w:szCs w:val="24"/>
        </w:rPr>
        <w:t>(IER) (e.g., soothing a child who has burst into tears to try to make him feel better).</w:t>
      </w:r>
      <w:r w:rsidRPr="00973AEB">
        <w:rPr>
          <w:rStyle w:val="Refdenotaalpie"/>
        </w:rPr>
        <w:footnoteReference w:id="1"/>
      </w:r>
    </w:p>
    <w:p w:rsidR="00FB1389" w:rsidRPr="00D05EBD" w:rsidRDefault="00FB1389" w:rsidP="00AE640B">
      <w:pPr>
        <w:spacing w:line="480" w:lineRule="auto"/>
        <w:ind w:firstLine="720"/>
        <w:jc w:val="both"/>
        <w:rPr>
          <w:sz w:val="24"/>
          <w:szCs w:val="24"/>
        </w:rPr>
      </w:pPr>
      <w:r w:rsidRPr="00D05EBD">
        <w:rPr>
          <w:sz w:val="24"/>
          <w:szCs w:val="24"/>
        </w:rPr>
        <w:t xml:space="preserve">Although research into ER has been increasing rapidly </w:t>
      </w:r>
      <w:r w:rsidR="00B06E70">
        <w:rPr>
          <w:sz w:val="24"/>
          <w:szCs w:val="24"/>
        </w:rPr>
        <w:fldChar w:fldCharType="begin" w:fldLock="1"/>
      </w:r>
      <w:r w:rsidR="005903ED">
        <w:rPr>
          <w:sz w:val="24"/>
          <w:szCs w:val="24"/>
        </w:rPr>
        <w:instrText>ADDIN CSL_CITATION { "citationItems" : [ { "id" : "ITEM-1", "itemData" : { "DOI" : "10.1037/a0032135", "ISBN" : "1931-1516", "ISSN" : "1931-1516", "PMID" : "23527510", "abstract" : "The field of emotion regulation has now come of age. However, enthusiasm for the topic continues to outstrip conceptual clarity. In this article, I review the state of the field. I do this by asking-and attempting to succinctly answer-10 fundamental questions concerning emotion regulation, ranging from what emotion regulation is, to why it matters, to how we can change it. I conclude by considering some of the challenges that confront this rapidly growing field. (PsycINFO Database Record (c) 2013 APA, all rights reserved).", "author" : [ { "dropping-particle" : "", "family" : "Gross", "given" : "James J", "non-dropping-particle" : "", "parse-names" : false, "suffix" : "" } ], "container-title" : "Emotion", "id" : "ITEM-1", "issue" : "3", "issued" : { "date-parts" : [ [ "2013" ] ] }, "page" : "359-365", "title" : "Emotion regulation: Taking stock and moving forward", "type" : "article-journal", "volume" : "13" }, "uris" : [ "http://www.mendeley.com/documents/?uuid=f08c25a6-f035-3145-8861-2375635411fa" ] }, { "id" : "ITEM-2", "itemData" : { "DOI" : "10.1080/02699930802619031", "ISBN" : "0269-9931", "ISSN" : "0269-9931", "PMID" : "35772160", "abstract" : "The present article reviews modern research on the psychology of emotion regulation. Emotion regulation determines the offset of emotional responding and is thus distinct from emotional sensitivity, which determines the onset of emotional responding. Among the most viable categories for classifying emotion-regulation strategies are the targets and functions of emotion regulation. The emotion-generating systems that are targeted in emotion regulation include attention, knowledge, and bodily responses. The functions of emotion regulation include satisfying hedonic needs, supporting specific goal pursuits, and facilitating the global personality system. Emotion-regulation strategies are classified in terms of their targets and functions and relevant empirical work is reviewed. Throughout this review, emotion regulation emerges as one of the most far-ranging and influential processes at the interface of cognition and emotion.", "author" : [ { "dropping-particle" : "", "family" : "Koole", "given" : "Sander L", "non-dropping-particle" : "", "parse-names" : false, "suffix" : "" } ], "container-title" : "Cognition &amp; Emotion", "id" : "ITEM-2", "issue" : "1", "issued" : { "date-parts" : [ [ "2009" ] ] }, "page" : "4-41", "title" : "The psychology of emotion regulation: An integrative review", "type" : "article-journal", "volume" : "23" }, "uris" : [ "http://www.mendeley.com/documents/?uuid=2765591b-72cd-392a-96cf-2b00e6218bef" ] } ], "mendeley" : { "formattedCitation" : "(Gross, 2013; Koole, 2009)", "plainTextFormattedCitation" : "(Gross, 2013; Koole, 2009)", "previouslyFormattedCitation" : "(Gross, 2013; Koole, 2009)" }, "properties" : { "noteIndex" : 0 }, "schema" : "https://github.com/citation-style-language/schema/raw/master/csl-citation.json" }</w:instrText>
      </w:r>
      <w:r w:rsidR="00B06E70">
        <w:rPr>
          <w:sz w:val="24"/>
          <w:szCs w:val="24"/>
        </w:rPr>
        <w:fldChar w:fldCharType="separate"/>
      </w:r>
      <w:r w:rsidR="005903ED" w:rsidRPr="005903ED">
        <w:rPr>
          <w:noProof/>
          <w:sz w:val="24"/>
          <w:szCs w:val="24"/>
        </w:rPr>
        <w:t>(Gross, 2013; Koole, 2009)</w:t>
      </w:r>
      <w:r w:rsidR="00B06E70">
        <w:rPr>
          <w:sz w:val="24"/>
          <w:szCs w:val="24"/>
        </w:rPr>
        <w:fldChar w:fldCharType="end"/>
      </w:r>
      <w:r w:rsidRPr="00D05EBD">
        <w:rPr>
          <w:sz w:val="24"/>
          <w:szCs w:val="24"/>
        </w:rPr>
        <w:t xml:space="preserve">, most of it focuses on controlled and intrapersonal forms of ER. The little research that has investigated IER (interpersonal emotion regulation) has focused mostly on controlled IER (see </w:t>
      </w:r>
      <w:r w:rsidR="00B06E70">
        <w:rPr>
          <w:sz w:val="24"/>
          <w:szCs w:val="24"/>
        </w:rPr>
        <w:fldChar w:fldCharType="begin" w:fldLock="1"/>
      </w:r>
      <w:r w:rsidR="00973AEB">
        <w:rPr>
          <w:sz w:val="24"/>
          <w:szCs w:val="24"/>
        </w:rPr>
        <w:instrText>ADDIN CSL_CITATION { "citationItems" : [ { "id" : "ITEM-1", "itemData" : { "DOI" : "10.1037/a0015962", "ISBN" : "1528-3542 1931-1516", "ISSN" : "1931-1516", "PMID" : "19653772", "abstract" : "Controlled interpersonal affect regulation refers to the deliberate regulation of someone else's affect. Building on existing research concerning this everyday process, the authors describe the development of a theoretical classification scheme that distinguishes between the types of strategy used to achieve interpersonal affect regulation. To test the theoretical classification, the authors generated a corpus of 378 distinct strategies using self-report questionnaires and diaries completed by student and working samples. Twenty participants then performed a card-sort of the strategies. Hierarchical cluster analysis was used to determine how well the theoretical classification represented spontaneous understandings of controlled interpersonal affect regulation. The final classification primarily distinguished between strategies used to improve versus those used to worsen others' affect, and between strategies that engaged the target in a situation or affective state versus relationship-oriented strategies. The classification provides a meaningful basis for organizing existing research and making future conceptual and empirical distinctions.", "author" : [ { "dropping-particle" : "", "family" : "Niven", "given" : "Karen", "non-dropping-particle" : "", "parse-names" : false, "suffix" : "" }, { "dropping-particle" : "", "family" : "Totterdell", "given" : "Peter", "non-dropping-particle" : "", "parse-names" : false, "suffix" : "" }, { "dropping-particle" : "", "family" : "Holman", "given" : "David", "non-dropping-particle" : "", "parse-names" : false, "suffix" : "" } ], "container-title" : "Emotion", "id" : "ITEM-1", "issue" : "4", "issued" : { "date-parts" : [ [ "2009" ] ] }, "page" : "498-509", "title" : "A classification of controlled interpersonal affect regulation strategies.", "type" : "article-journal", "volume" : "9" }, "uris" : [ "http://www.mendeley.com/documents/?uuid=ef880a8e-77d6-36af-8aa2-b9c5b926699d" ] }, { "id" : "ITEM-2", "itemData" : { "DOI" : "10.1080/026999399379285", "ISBN" : "0269-9931", "ISSN" : "0269-9931", "PMID" : "105", "abstract" : "This paper presents a provisional classi\u00ae cat ion of deliberate strategies for improving unpleasant affect based on conceptual judgements concerning their similar it ies and differences. A corpus of self-reported upward affect - regulation strategies was collected using questionnaires, interviews, and group discussions, in conjunct ion with an examination of exist ing literature on related topics. A total of 162 dist inct strategies were ident i\u00ae ed and a preliminary categor isation was developed by the invest igator s. We then conducted a card-sor t task in which 24 par t icipants produced separate cla ssi- \u00ae cations of the strategies. The similar ity mat r ix ar ising from co-occur rence data wa s subjected to hiera rchical cluster analysis and the obtained typology provided independent suppor t for our proposed dist inct ions between strategies implemented cognit ively and behaviourally, between diversion and engagement strategies, and between act ive dist ract ion and direct avoidance, and for speci\u00ae c lower-level groupings of strategies relat ing to venting, re- appraisal, and seeking social suppor t . Potent ial re\u00ae nements and applicat ions of the result ing classi\u00ae cat ion system are considered.", "author" : [ { "dropping-particle" : "", "family" : "Parkinson", "given" : "Brian", "non-dropping-particle" : "", "parse-names" : false, "suffix" : "" }, { "dropping-particle" : "", "family" : "Totterdell", "given" : "Peter", "non-dropping-particle" : "", "parse-names" : false, "suffix" : "" } ], "container-title" : "Cognition &amp; Emotion", "id" : "ITEM-2", "issue" : "3", "issued" : { "date-parts" : [ [ "1999" ] ] }, "page" : "277-303", "title" : "Classifying Affect-regulation Strategies", "type" : "article-journal", "volume" : "13" }, "uris" : [ "http://www.mendeley.com/documents/?uuid=4db133c7-1dfc-360d-b9a2-45432ab9fc42" ] } ], "mendeley" : { "formattedCitation" : "(Niven, Totterdell, &amp; Holman, 2009; Brian Parkinson &amp; Totterdell, 1999a)", "manualFormatting" : "Niven, Totterdell, &amp; Holman, 2009; Parkinson &amp; Totterdell, 1999", "plainTextFormattedCitation" : "(Niven, Totterdell, &amp; Holman, 2009; Brian Parkinson &amp; Totterdell, 1999a)", "previouslyFormattedCitation" : "(Niven, Totterdell, &amp; Holman, 2009; Brian Parkinson &amp; Totterdell, 1999a)" }, "properties" : { "noteIndex" : 0 }, "schema" : "https://github.com/citation-style-language/schema/raw/master/csl-citation.json" }</w:instrText>
      </w:r>
      <w:r w:rsidR="00B06E70">
        <w:rPr>
          <w:sz w:val="24"/>
          <w:szCs w:val="24"/>
        </w:rPr>
        <w:fldChar w:fldCharType="separate"/>
      </w:r>
      <w:r w:rsidR="005903ED" w:rsidRPr="005903ED">
        <w:rPr>
          <w:noProof/>
          <w:sz w:val="24"/>
          <w:szCs w:val="24"/>
        </w:rPr>
        <w:t>Niven, Totterdell, &amp; Holman, 2009; Parkinson &amp; Totterdell, 1999</w:t>
      </w:r>
      <w:r w:rsidR="00B06E70">
        <w:rPr>
          <w:sz w:val="24"/>
          <w:szCs w:val="24"/>
        </w:rPr>
        <w:fldChar w:fldCharType="end"/>
      </w:r>
      <w:r w:rsidR="005903ED">
        <w:rPr>
          <w:sz w:val="24"/>
          <w:szCs w:val="24"/>
        </w:rPr>
        <w:t xml:space="preserve">, </w:t>
      </w:r>
      <w:r w:rsidRPr="00D05EBD">
        <w:rPr>
          <w:sz w:val="24"/>
          <w:szCs w:val="24"/>
        </w:rPr>
        <w:t xml:space="preserve">for an overview). The present thesis distinguishes itself by attempting to investigate </w:t>
      </w:r>
      <w:r w:rsidRPr="00D05EBD">
        <w:rPr>
          <w:i/>
          <w:sz w:val="24"/>
          <w:szCs w:val="24"/>
        </w:rPr>
        <w:t>automatic</w:t>
      </w:r>
      <w:r w:rsidRPr="00D05EBD">
        <w:rPr>
          <w:sz w:val="24"/>
          <w:szCs w:val="24"/>
        </w:rPr>
        <w:t xml:space="preserve"> forms of</w:t>
      </w:r>
      <w:r w:rsidRPr="00D05EBD">
        <w:rPr>
          <w:i/>
          <w:sz w:val="24"/>
          <w:szCs w:val="24"/>
        </w:rPr>
        <w:t xml:space="preserve"> </w:t>
      </w:r>
      <w:r w:rsidRPr="00D05EBD">
        <w:rPr>
          <w:sz w:val="24"/>
          <w:szCs w:val="24"/>
        </w:rPr>
        <w:t>interpersonal emotion regulation (AIER). AIER strategies are the things that people do to modify the emotions of others without awareness</w:t>
      </w:r>
      <w:r w:rsidR="00844B08">
        <w:rPr>
          <w:sz w:val="24"/>
          <w:szCs w:val="24"/>
        </w:rPr>
        <w:t>, intention and/or effort</w:t>
      </w:r>
      <w:r w:rsidRPr="00D05EBD">
        <w:rPr>
          <w:sz w:val="24"/>
          <w:szCs w:val="24"/>
        </w:rPr>
        <w:t xml:space="preserve"> </w:t>
      </w:r>
      <w:r w:rsidR="00844B08">
        <w:rPr>
          <w:sz w:val="24"/>
          <w:szCs w:val="24"/>
        </w:rPr>
        <w:t>to do</w:t>
      </w:r>
      <w:r w:rsidRPr="00D05EBD">
        <w:rPr>
          <w:sz w:val="24"/>
          <w:szCs w:val="24"/>
        </w:rPr>
        <w:t xml:space="preserve"> something to elicit those changes. The AIER strategies that this thesis explores have the purpose of changing another person’s emotions. Thus, this thesis would talk about, for example, chewing with an open mouth to annoy someone else but would not include chewing with an open mouth when it is a habitual behaviour that does not have the purpose of regulating someone else’s emotions. </w:t>
      </w:r>
    </w:p>
    <w:p w:rsidR="00FB1389" w:rsidRPr="00D05EBD" w:rsidRDefault="00FB1389" w:rsidP="00AE640B">
      <w:pPr>
        <w:spacing w:line="480" w:lineRule="auto"/>
        <w:ind w:firstLine="720"/>
        <w:jc w:val="both"/>
        <w:rPr>
          <w:sz w:val="24"/>
          <w:szCs w:val="24"/>
        </w:rPr>
      </w:pPr>
      <w:r w:rsidRPr="00D05EBD">
        <w:rPr>
          <w:sz w:val="24"/>
          <w:szCs w:val="24"/>
        </w:rPr>
        <w:t xml:space="preserve">Several empirical studies have suggested the presence of automaticity in IER (e.g., </w:t>
      </w:r>
      <w:r w:rsidR="00B06E70">
        <w:rPr>
          <w:sz w:val="24"/>
          <w:szCs w:val="24"/>
        </w:rPr>
        <w:fldChar w:fldCharType="begin" w:fldLock="1"/>
      </w:r>
      <w:r w:rsidR="0053749D">
        <w:rPr>
          <w:sz w:val="24"/>
          <w:szCs w:val="24"/>
        </w:rPr>
        <w:instrText>ADDIN CSL_CITATION { "citationItems" : [ { "id" : "ITEM-1", "itemData" : { "DOI" : "10.1111/j.1467-9280.2006.01832.x", "ISBN" : "0956-7976 (Print)\\n0956-7976 (Linking)", "ISSN" : "0956-7976", "PMID" : "17201784", "abstract" : "ABSTRACT - Social contact promotes enhanced health and well-being, likely as a function of the social regulation of emotional responding in the face of various life stressors. For this functional magnetic resonance imaging (JMRI) study, 16 married women were subjected to the threat of electric shock while holding their husband's hand, the hand of an anonymous male experimenter, or no hand at all. Results indicated a pervasive attenuation of activation in the neural systems supporting emotional and behavioral threat responses when the women held their husband's hand. A more limited attenuation of activation in these systems occurred when they held the hand of a stranger. Most strikingly, the effects of spousal hand-holding on neural threat responses varied as a function of marital quality, with higher marital quality predicting less threat- related neural activation in the right anterior insula, su- perior frontal gyrus, and hypothalamus during spousal, but not stranger, hand-holding.", "author" : [ { "dropping-particle" : "", "family" : "Coan", "given" : "James A", "non-dropping-particle" : "", "parse-names" : false, "suffix" : "" }, { "dropping-particle" : "", "family" : "Schaefer", "given" : "Hillary S", "non-dropping-particle" : "", "parse-names" : false, "suffix" : "" }, { "dropping-particle" : "", "family" : "Davidson", "given" : "Richard J", "non-dropping-particle" : "", "parse-names" : false, "suffix" : "" } ], "container-title" : "Psychological Science", "id" : "ITEM-1", "issue" : "12", "issued" : { "date-parts" : [ [ "2006" ] ] }, "page" : "1032-1039", "title" : "Lending a Hand of the Neural Response to Threat", "type" : "article-journal", "volume" : "17" }, "uris" : [ "http://www.mendeley.com/documents/?uuid=fb49fff1-0081-3839-9e76-e854af63eef8" ] }, { "id" : "ITEM-2", "itemData" : { "DOI" : "10.1037/0022-3514.84.1.148", "ISBN" : "1939-1315(Electronic);0022-3514(Print)", "ISSN" : "0022-3514", "PMID" : "12518976", "abstract" : "The mere psychological presence of relationship partners was hypothesized to trigger interpersonal goals that are then pursued nonconsciously. Qualitative data suggested that people tend to pursue different interpersonal goals within different types of relationships (e.g., mother, best friend, coworker). In several studies, priming participants' relationship representations produced goal-directed behavior (achievement, helping, understanding) in line with the previously assessed goal content of those representations. These findings support the hypothesis that interpersonal goals are component features of relationship representations and that mere activation of those representations, even in the partner's physical absence, causes the goals to become active and to guide behavior nonconsciously within the current situation.", "author" : [ { "dropping-particle" : "", "family" : "Fitzsimons", "given" : "Gr\u00e1inne M", "non-dropping-particle" : "", "parse-names" : false, "suffix" : "" }, { "dropping-particle" : "", "family" : "Bargh", "given" : "John A", "non-dropping-particle" : "", "parse-names" : false, "suffix" : "" } ], "container-title" : "Journal of personality and social psychology", "id" : "ITEM-2", "issue" : "1", "issued" : { "date-parts" : [ [ "2003" ] ] }, "page" : "148-164", "title" : "Thinking of you: nonconscious pursuit of interpersonal goals associated with relationship partners.", "type" : "article-journal", "volume" : "84" }, "uris" : [ "http://www.mendeley.com/documents/?uuid=7137123e-9cd1-39b6-a99a-8b1f20d231aa" ] }, { "id" : "ITEM-3", "itemData" : { "DOI" : "10.1177/0146167211415629", "ISBN" : "1552-7433 (Electronic)\\n0146-1672 (Linking)", "ISSN" : "0146-1672", "PMID" : "21778468", "abstract" : "The present research investigated whether accommodation, typically formulated as the tendency to deliberately inhibit a destructive reaction in response to a partner's destructive behavior, could also occur spontaneously. Supporting this notion, results of the first study revealed that participants respond to their partner's angry face with a spontaneous smile, whereas strangers' angry faces are mimicked and thus lead to a spontaneous frown. Importantly, the facial EMG data are moderated by participants' daily interaction styles: People perceiving themselves in a communal relationship show spontaneous acts of accommodation, whereas this is not the case for people in exchange relationships. The moderation occurred in our first (spontaneous) and third (forced accommodation) studies. The results of the second study replicated the first study in that participants in communal relationships frowned less toward partner's subliminally presented angry faces but more to their sad faces. The authors discuss their findings as spontaneous social emotion regulation.", "author" : [ { "dropping-particle" : "", "family" : "Hafner", "given" : "M.", "non-dropping-particle" : "", "parse-names" : false, "suffix" : "" }, { "dropping-particle" : "", "family" : "IJzerman", "given" : "H.", "non-dropping-particle" : "", "parse-names" : false, "suffix" : "" } ], "container-title" : "Personality and Social Psychology Bulletin", "id" : "ITEM-3", "issue" : "12", "issued" : { "date-parts" : [ [ "2011" ] ] }, "page" : "1551-1563", "title" : "The Face of Love: Spontaneous Accommodation as Social Emotion Regulation", "type" : "article-journal", "volume" : "37" }, "uris" : [ "http://www.mendeley.com/documents/?uuid=d8441312-f5ce-3917-9524-4faebf9aa0a8" ] } ], "mendeley" : { "formattedCitation" : "(Coan, Schaefer, &amp; Davidson, 2006; Fitzsimons &amp; Bargh, 2003; Hafner &amp; IJzerman, 2011)", "manualFormatting" : "Coan, Schaefer, &amp; Davidson, 2006; Fitzsimons &amp; Bargh, 2003; Hafner &amp; IJzerman, 2011)", "plainTextFormattedCitation" : "(Coan, Schaefer, &amp; Davidson, 2006; Fitzsimons &amp; Bargh, 2003; Hafner &amp; IJzerman, 2011)", "previouslyFormattedCitation" : "(Coan, Schaefer, &amp; Davidson, 2006; Fitzsimons &amp; Bargh, 2003; Hafner &amp; IJzerman, 2011)" }, "properties" : { "noteIndex" : 0 }, "schema" : "https://github.com/citation-style-language/schema/raw/master/csl-citation.json" }</w:instrText>
      </w:r>
      <w:r w:rsidR="00B06E70">
        <w:rPr>
          <w:sz w:val="24"/>
          <w:szCs w:val="24"/>
        </w:rPr>
        <w:fldChar w:fldCharType="separate"/>
      </w:r>
      <w:r w:rsidR="005903ED" w:rsidRPr="005903ED">
        <w:rPr>
          <w:noProof/>
          <w:sz w:val="24"/>
          <w:szCs w:val="24"/>
        </w:rPr>
        <w:t>Coan, Schaefer, &amp; Davidson, 2006; Fitzsimons &amp; Bargh, 2003; Hafner &amp; IJzerman, 2011)</w:t>
      </w:r>
      <w:r w:rsidR="00B06E70">
        <w:rPr>
          <w:sz w:val="24"/>
          <w:szCs w:val="24"/>
        </w:rPr>
        <w:fldChar w:fldCharType="end"/>
      </w:r>
      <w:r w:rsidRPr="00D05EBD">
        <w:rPr>
          <w:sz w:val="24"/>
          <w:szCs w:val="24"/>
        </w:rPr>
        <w:t xml:space="preserve"> but there is currently no consensus on the best way to elicit and measure AIER. This thesis aims to develop a systematic way to elicit and measure AIER and to investigate the factors that predict or are associated with the use of AIER. Studying AIER should provide a better understanding of interpersonal relationships by explaining: why people engage in AIER, which IER strategies tend to be more automatic (i.e. improving someone else's emotions, worsening someone else's emotions), the conditions in which </w:t>
      </w:r>
      <w:r w:rsidRPr="00D05EBD">
        <w:rPr>
          <w:sz w:val="24"/>
          <w:szCs w:val="24"/>
        </w:rPr>
        <w:lastRenderedPageBreak/>
        <w:t>IER is more likely to be performed automatically (i.e. after having previously exerted self-control, under cognitive load, with close others, with strangers) and how to identify AIER. This holds the promise of improving relationships and well-being in general.</w:t>
      </w:r>
    </w:p>
    <w:p w:rsidR="00FB1389" w:rsidRPr="00D05EBD" w:rsidRDefault="00FB1389" w:rsidP="00AE640B">
      <w:pPr>
        <w:spacing w:line="480" w:lineRule="auto"/>
        <w:ind w:firstLine="720"/>
        <w:jc w:val="both"/>
        <w:rPr>
          <w:sz w:val="24"/>
          <w:szCs w:val="24"/>
        </w:rPr>
      </w:pPr>
      <w:r w:rsidRPr="00D05EBD">
        <w:rPr>
          <w:sz w:val="24"/>
          <w:szCs w:val="24"/>
        </w:rPr>
        <w:t xml:space="preserve">The present chapter describes the basic concepts necessary to understand AIER. The chapter then outlines how the automaticity of ER has been studied and describes the methodology that this thesis uses to explore AIER. The basic questions investigated in this thesis are then introduced and finally the content of the thesis is briefly described. </w:t>
      </w:r>
    </w:p>
    <w:p w:rsidR="00FB1389" w:rsidRPr="00D05EBD" w:rsidRDefault="00FB1389" w:rsidP="00AE640B">
      <w:pPr>
        <w:spacing w:line="480" w:lineRule="auto"/>
        <w:jc w:val="both"/>
        <w:rPr>
          <w:sz w:val="24"/>
          <w:szCs w:val="24"/>
          <w:highlight w:val="cyan"/>
        </w:rPr>
      </w:pPr>
      <w:r w:rsidRPr="00D05EBD">
        <w:rPr>
          <w:b/>
          <w:sz w:val="24"/>
          <w:szCs w:val="24"/>
        </w:rPr>
        <w:t xml:space="preserve">1.2 Emotion regulation </w:t>
      </w:r>
    </w:p>
    <w:p w:rsidR="00FB1389" w:rsidRPr="00D05EBD" w:rsidRDefault="00FB1389" w:rsidP="00AE640B">
      <w:pPr>
        <w:spacing w:line="480" w:lineRule="auto"/>
        <w:ind w:firstLine="720"/>
        <w:jc w:val="both"/>
        <w:rPr>
          <w:sz w:val="24"/>
          <w:szCs w:val="24"/>
        </w:rPr>
      </w:pPr>
      <w:r w:rsidRPr="00D05EBD">
        <w:rPr>
          <w:sz w:val="24"/>
          <w:szCs w:val="24"/>
        </w:rPr>
        <w:t>To first understand what ER is, it is necessary to explain what is being regulated, thus to understand what emotions</w:t>
      </w:r>
      <w:r w:rsidRPr="00973AEB">
        <w:rPr>
          <w:rStyle w:val="Refdenotaalpie"/>
        </w:rPr>
        <w:footnoteReference w:id="2"/>
      </w:r>
      <w:r w:rsidRPr="00D05EBD">
        <w:rPr>
          <w:sz w:val="24"/>
          <w:szCs w:val="24"/>
        </w:rPr>
        <w:t xml:space="preserve"> are. Emotions are multifaceted, whole-body responses that involve coordinated changes in the domains of subjective experience, neurological activation, attention processes, cognitive appraisals (i.e. interpretations of an emotionally arousing event), behaviour and peripheral physiology </w:t>
      </w:r>
      <w:r w:rsidR="00B06E70">
        <w:rPr>
          <w:sz w:val="24"/>
          <w:szCs w:val="24"/>
        </w:rPr>
        <w:fldChar w:fldCharType="begin" w:fldLock="1"/>
      </w:r>
      <w:r w:rsidR="00405B04">
        <w:rPr>
          <w:sz w:val="24"/>
          <w:szCs w:val="24"/>
        </w:rPr>
        <w:instrText>ADDIN CSL_CITATION { "citationItems" : [ { "id" : "ITEM-1", "itemData" : { "DOI" : "10.1111/j.1751-9004.2007.00005.x", "abstract" : "How do people effectively regulate their emotional reactions? Why are some people better at this than others? Most prior research has addressed these ques-tions by focusing on deliberate forms of emotion regulation. We argue that this focus has left out an important aspect of emotion regulation, namely, automatic emotion regulation (AER). Our review of the behavioral literature suggests that AER is pervasive in everyday life, and has far-reaching consequences for individuals' emotions. However, the behavioral literature has yet to address the mechanisms underlying the observed effects. Because it is difficult to directly measure the processes involved in AER, evidence from neuroscientific studies is particularly helpful in addressing these questions. Our review of the neuroscientific literature suggests distinct neural bases for different types of AER, which provides important clues about the cognitive and behavioral processes that might be involved in AER. Remember the last time you were in a hurry but had to wait for the driver in front of you to clumsily parallel park his car? Chances are that in this situation (or others like it), you may have felt like honking or yelling out of the car window. But did you actually do either of these things? Probably not. You might have consciously told yourself to calm down, determinedly gripping the steering wheel and clenching your teeth. However, in many such instances \u2013 when you resist giving in to emotional impulses \u2013 you do not do so consciously, but rather automati-cally. Your habit of not venting your anger at incompetent drivers or your familiarity with the well-learned rule not to shout angrily in public might not even enter your mind. Our goal in this article is to consider such automatic processes in emotion regulation. We begin by defining emotion and emotion regulation, and distinguishing between deliberate and automatic emotion regulation. We argue that most recent research has focused on deliberate aspects of emotion regulation, paying less attention to automatic aspects. We then explain why we expect automatic emotion regulation (AER) to be impor-tant for shaping individuals' emotional responses and well-being. Next, we review the empirical evidence on the experiential, behavioral, and", "author" : [ { "dropping-particle" : "", "family" : "Mauss", "given" : "Iris B", "non-dropping-particle" : "", "parse-names" : false, "suffix" : "" }, { "dropping-particle" : "", "family" : "Bunge", "given" : "Silvia A", "non-dropping-particle" : "", "parse-names" : false, "suffix" : "" }, { "dropping-particle" : "", "family" : "Gross", "given" : "James J", "non-dropping-particle" : "", "parse-names" : false, "suffix" : "" } ], "container-title" : "Social and Personality Psychology Compass", "id" : "ITEM-1", "issue" : "10", "issued" : { "date-parts" : [ [ "2007" ] ] }, "page" : "146-167", "title" : "Automatic Emotion Regulation", "type" : "article-journal", "volume" : "1" }, "uris" : [ "http://www.mendeley.com/documents/?uuid=487c5a61-7d3f-31dc-bb5a-558243ea34da" ] }, { "id" : "ITEM-2", "itemData" : { "DOI" : "10.1111/j.1540-5834.1994.tb01276.x", "ISSN" : "0037976X", "author" : [ { "dropping-particle" : "", "family" : "Thompson", "given" : "Ross A.", "non-dropping-particle" : "", "parse-names" : false, "suffix" : "" } ], "container-title" : "Monographs of the Society for Research in Child Development", "id" : "ITEM-2", "issue" : "2-3", "issued" : { "date-parts" : [ [ "1994" ] ] }, "page" : "25-52", "title" : "Emotion Regulation: A Theme in Search of Definition", "type" : "article-journal", "volume" : "59" }, "uris" : [ "http://www.mendeley.com/documents/?uuid=eadec02e-80c8-3515-9a5f-39924f3bf4e7" ] } ], "mendeley" : { "formattedCitation" : "(Mauss, Bunge, &amp; Gross, 2007; Thompson, 1994)", "plainTextFormattedCitation" : "(Mauss, Bunge, &amp; Gross, 2007; Thompson, 1994)", "previouslyFormattedCitation" : "(Mauss, Bunge, &amp; Gross, 2007; Thompson, 1994)" }, "properties" : { "noteIndex" : 0 }, "schema" : "https://github.com/citation-style-language/schema/raw/master/csl-citation.json" }</w:instrText>
      </w:r>
      <w:r w:rsidR="00B06E70">
        <w:rPr>
          <w:sz w:val="24"/>
          <w:szCs w:val="24"/>
        </w:rPr>
        <w:fldChar w:fldCharType="separate"/>
      </w:r>
      <w:r w:rsidR="00405B04" w:rsidRPr="00405B04">
        <w:rPr>
          <w:noProof/>
          <w:sz w:val="24"/>
          <w:szCs w:val="24"/>
        </w:rPr>
        <w:t>(Mauss, Bunge, &amp; Gross, 2007; Thompson, 1994)</w:t>
      </w:r>
      <w:r w:rsidR="00B06E70">
        <w:rPr>
          <w:sz w:val="24"/>
          <w:szCs w:val="24"/>
        </w:rPr>
        <w:fldChar w:fldCharType="end"/>
      </w:r>
      <w:r w:rsidR="00405B04">
        <w:rPr>
          <w:sz w:val="24"/>
          <w:szCs w:val="24"/>
        </w:rPr>
        <w:t>.</w:t>
      </w:r>
      <w:r w:rsidRPr="00D05EBD">
        <w:rPr>
          <w:sz w:val="24"/>
          <w:szCs w:val="24"/>
        </w:rPr>
        <w:t xml:space="preserve"> Emotions can be differentiated from moods by their duration (emotions are shorter than moods), their intensity (emotions are more intense than moods), but mainly due to the of the presence of a goal (emotions are goal directed whereas moods tend not to)</w:t>
      </w:r>
      <w:r w:rsidR="00AA5207">
        <w:rPr>
          <w:sz w:val="24"/>
          <w:szCs w:val="24"/>
        </w:rPr>
        <w:t xml:space="preserve"> </w:t>
      </w:r>
      <w:r w:rsidR="00B06E70">
        <w:rPr>
          <w:sz w:val="24"/>
          <w:szCs w:val="24"/>
        </w:rPr>
        <w:fldChar w:fldCharType="begin" w:fldLock="1"/>
      </w:r>
      <w:r w:rsidR="001D3E14">
        <w:rPr>
          <w:sz w:val="24"/>
          <w:szCs w:val="24"/>
        </w:rPr>
        <w:instrText>ADDIN CSL_CITATION { "citationItems" : [ { "id" : "ITEM-1", "itemData" : { "DOI" : "10.1177/1754073909351755", "ISSN" : "17540739", "abstract" : "Critics of appraisal theory have difficulty accepting appraisal (with its constructive flavor) as an automatic process, and hence as a potential cause of most emotions. In response, some appraisal theorists have argued that appraisal was never meant as a causal process but as a constituent of emotional experience. Others have argued that appraisal is a causal process, but that it can be either rule-based or associative, and that the associative variant can be automatic. This article first proposes empirically investigating whether rule-based appraisal can also be automatic and then proposes investigating the automatic nature of constructive (instead of rule-based) appraisal because the distinction between rule-based and associative is problematic. Finally, it discusses experiments that support the view that constructive appraisal can be automatic. (PsycINFO Database Record (c) 2010 APA, all rights reserved) (journal abstract).", "author" : [ { "dropping-particle" : "", "family" : "Moors", "given" : "Agnes", "non-dropping-particle" : "", "parse-names" : false, "suffix" : "" } ], "container-title" : "Emotion Review", "id" : "ITEM-1", "issue" : "2", "issued" : { "date-parts" : [ [ "2010" ] ] }, "page" : "139-156", "title" : "Automatic Constructive Appraisal as a Candidate Cause of Emotion", "type" : "article-journal", "volume" : "2" }, "uris" : [ "http://www.mendeley.com/documents/?uuid=d7d642f0-a305-3895-aa86-739641bad690" ] } ], "mendeley" : { "formattedCitation" : "(Moors, 2010)", "plainTextFormattedCitation" : "(Moors, 2010)", "previouslyFormattedCitation" : "(Moors, 2010)" }, "properties" : { "noteIndex" : 0 }, "schema" : "https://github.com/citation-style-language/schema/raw/master/csl-citation.json" }</w:instrText>
      </w:r>
      <w:r w:rsidR="00B06E70">
        <w:rPr>
          <w:sz w:val="24"/>
          <w:szCs w:val="24"/>
        </w:rPr>
        <w:fldChar w:fldCharType="separate"/>
      </w:r>
      <w:r w:rsidR="00AA5207" w:rsidRPr="00AA5207">
        <w:rPr>
          <w:noProof/>
          <w:sz w:val="24"/>
          <w:szCs w:val="24"/>
        </w:rPr>
        <w:t>(Moors, 2010)</w:t>
      </w:r>
      <w:r w:rsidR="00B06E70">
        <w:rPr>
          <w:sz w:val="24"/>
          <w:szCs w:val="24"/>
        </w:rPr>
        <w:fldChar w:fldCharType="end"/>
      </w:r>
      <w:r w:rsidRPr="00D05EBD">
        <w:rPr>
          <w:sz w:val="24"/>
          <w:szCs w:val="24"/>
        </w:rPr>
        <w:t xml:space="preserve">. Emotions have a goal component as they originate when a person sees a situation that is relevant to his or her goals. For example, a student might get a good grade and feel happy because she had the goal of raising her grades to enter a good university </w:t>
      </w:r>
      <w:r w:rsidR="00B06E70">
        <w:rPr>
          <w:sz w:val="24"/>
          <w:szCs w:val="24"/>
        </w:rPr>
        <w:fldChar w:fldCharType="begin" w:fldLock="1"/>
      </w:r>
      <w:r w:rsidR="00F143C7">
        <w:rPr>
          <w:sz w:val="24"/>
          <w:szCs w:val="24"/>
        </w:rPr>
        <w:instrText>ADDIN CSL_CITATION { "citationItems" : [ { "id" : "ITEM-1", "itemData" : { "author" : [ { "dropping-particle" : "", "family" : "Gross", "given" : "James J.", "non-dropping-particle" : "", "parse-names" : false, "suffix" : "" }, { "dropping-particle" : "", "family" : "Thompson", "given" : "R. A.", "non-dropping-particle" : "", "parse-names" : false, "suffix" : "" } ], "container-title" : "Handbook of Emotion Regulation", "id" : "ITEM-1", "issue" : "January 2007", "issued" : { "date-parts" : [ [ "2007" ] ] }, "page" : "3-24", "title" : "Emotion regulation: Conceptual foundations", "type" : "article-journal" }, "uris" : [ "http://www.mendeley.com/documents/?uuid=3fdd5741-e821-40e5-b181-e81743540639" ] } ], "mendeley" : { "formattedCitation" : "(Gross &amp; Thompson, 2007)", "plainTextFormattedCitation" : "(Gross &amp; Thompson, 2007)", "previouslyFormattedCitation" : "(Gross &amp; Thompson, 2007)" }, "properties" : { "noteIndex" : 0 }, "schema" : "https://github.com/citation-style-language/schema/raw/master/csl-citation.json" }</w:instrText>
      </w:r>
      <w:r w:rsidR="00B06E70">
        <w:rPr>
          <w:sz w:val="24"/>
          <w:szCs w:val="24"/>
        </w:rPr>
        <w:fldChar w:fldCharType="separate"/>
      </w:r>
      <w:r w:rsidR="00F143C7" w:rsidRPr="00F143C7">
        <w:rPr>
          <w:noProof/>
          <w:sz w:val="24"/>
          <w:szCs w:val="24"/>
        </w:rPr>
        <w:t>(Gross &amp; Thompson, 2007)</w:t>
      </w:r>
      <w:r w:rsidR="00B06E70">
        <w:rPr>
          <w:sz w:val="24"/>
          <w:szCs w:val="24"/>
        </w:rPr>
        <w:fldChar w:fldCharType="end"/>
      </w:r>
      <w:r w:rsidRPr="00D05EBD">
        <w:rPr>
          <w:sz w:val="24"/>
          <w:szCs w:val="24"/>
        </w:rPr>
        <w:t xml:space="preserve">. The present thesis will focus on emotions only, given the fact that they have an intentional </w:t>
      </w:r>
      <w:r w:rsidRPr="00D05EBD">
        <w:rPr>
          <w:sz w:val="24"/>
          <w:szCs w:val="24"/>
        </w:rPr>
        <w:lastRenderedPageBreak/>
        <w:t>component (a goal), and the topic of study in the present thesis, AIER, implies engaging in intentional behaviour to modify or regulate the emotions of someone else in an automatic way.</w:t>
      </w:r>
    </w:p>
    <w:p w:rsidR="00FB1389" w:rsidRPr="00D05EBD" w:rsidRDefault="00FB1389" w:rsidP="00AE640B">
      <w:pPr>
        <w:spacing w:line="480" w:lineRule="auto"/>
        <w:ind w:firstLine="720"/>
        <w:jc w:val="both"/>
        <w:rPr>
          <w:sz w:val="24"/>
          <w:szCs w:val="24"/>
          <w:u w:val="single"/>
        </w:rPr>
      </w:pPr>
      <w:r w:rsidRPr="00D05EBD">
        <w:rPr>
          <w:sz w:val="24"/>
          <w:szCs w:val="24"/>
        </w:rPr>
        <w:t xml:space="preserve">This thesis considers emotions as dimensional (including two or more dimensions, like valence and arousal </w:t>
      </w:r>
      <w:r w:rsidR="00B06E70">
        <w:rPr>
          <w:sz w:val="24"/>
          <w:szCs w:val="24"/>
        </w:rPr>
        <w:fldChar w:fldCharType="begin" w:fldLock="1"/>
      </w:r>
      <w:r w:rsidR="00A451BD">
        <w:rPr>
          <w:sz w:val="24"/>
          <w:szCs w:val="24"/>
        </w:rPr>
        <w:instrText>ADDIN CSL_CITATION { "citationItems" : [ { "id" : "ITEM-1", "itemData" : { "DOI" : "10.1111/j.1469-8986.1993.tb03352.x", "ISBN" : "0048-5772", "ISSN" : "0048-5772", "PMID" : "8497555", "abstract" : "Colored photographic pictures that varied widely across the affective dimensions of valence (pleasant-unpleasant) and arousal (excited-calm) were each viewed for a 6-s period while facial electromyographic (zygomatic and corrugator muscle activity) and visceral (heart rate and skin conductance) reactions were measured. Judgments relating to pleasure, arousal, interest, and emotional state were measured, as was choice viewing time. Significant covariation was obtained between (a) facial expression and affective valence judgments and (b) skin conductance magnitude and arousal ratings. Interest ratings and viewing time were also associated with arousal. Although differences due to the subject's gender and cognitive style were obtained, affective responses were largely independent of the personality factors investigated. Response specificity, particularly facial expressiveness, supported the view that specific affects have unique patterns of reactivity. The consistency of the dimensional relationships between evaluative judgments (i.e., pleasure and arousal) and physiological response, however, emphasizes that emotion is fundamentally organized by these motivational parameters.", "author" : [ { "dropping-particle" : "", "family" : "Lang", "given" : "P J", "non-dropping-particle" : "", "parse-names" : false, "suffix" : "" }, { "dropping-particle" : "", "family" : "Greenwald", "given" : "M K", "non-dropping-particle" : "", "parse-names" : false, "suffix" : "" }, { "dropping-particle" : "", "family" : "Bradley", "given" : "M M", "non-dropping-particle" : "", "parse-names" : false, "suffix" : "" }, { "dropping-particle" : "", "family" : "Hamm", "given" : "a O", "non-dropping-particle" : "", "parse-names" : false, "suffix" : "" } ], "container-title" : "Psychophysiology", "id" : "ITEM-1", "issue" : "3", "issued" : { "date-parts" : [ [ "1993" ] ] }, "page" : "261-273", "title" : "Looking at pictures: affective, facial, visceral, and behavioral reactions.", "type" : "article-journal", "volume" : "30" }, "uris" : [ "http://www.mendeley.com/documents/?uuid=526666f3-82a4-42a1-a333-4129eb6ac7f5" ] }, { "id" : "ITEM-2", "itemData" : { "DOI" : "10.1017/S0954579405050340", "ISBN" : "0954-5794 (Print) 0954-5794 (Linking)", "ISSN" : "0954-5794", "PMID" : "16262989", "abstract" : "The circumplex model of affect proposes that all affective states arise from cognitive interpretations of core neural sensations that are the product of two independent neurophysiological systems. This model stands in contrast to theories of basic emotions, which posit that a discrete and independent neural system subserves every emotion. We propose that basic emotion theories no longer explain adequately the vast number of empirical observations from studies in affective neuroscience, and we suggest that a conceptual shift is needed in the empirical approaches taken to the study of emotion and affective psychopathologies. The circumplex model of affect is more consistent with many recent findings from behavioral, cognitive neuroscience, neuroimaging, and developmental studies of affect. Moreover, the model offers new theoretical and empirical approaches to studying the development of affective disorders as well as the genetic and cognitive underpinnings of affective processing within the central nervous system.", "author" : [ { "dropping-particle" : "", "family" : "Posner", "given" : "Jonathan", "non-dropping-particle" : "", "parse-names" : false, "suffix" : "" }, { "dropping-particle" : "", "family" : "Russell", "given" : "James A", "non-dropping-particle" : "", "parse-names" : false, "suffix" : "" }, { "dropping-particle" : "", "family" : "Peterson", "given" : "Bradley S", "non-dropping-particle" : "", "parse-names" : false, "suffix" : "" } ], "container-title" : "Development and Psychopathology", "id" : "ITEM-2", "issue" : "3", "issued" : { "date-parts" : [ [ "2005" ] ] }, "page" : "715-734", "title" : "The circumplex model of affect: An integrative approach to affective neuroscience, cognitive development, and psychopathology.", "type" : "article-journal", "volume" : "17" }, "uris" : [ "http://www.mendeley.com/documents/?uuid=083ceb09-5b1b-36f9-93c4-26f635a20b76" ] }, { "id" : "ITEM-3", "itemData" : { "DOI" : "10.4324/9780203889930", "ISBN" : "9780203889930", "author" : [ { "dropping-particle" : "", "family" : "Talarico", "given" : "Jennifer M.", "non-dropping-particle" : "", "parse-names" : false, "suffix" : "" }, { "dropping-particle" : "", "family" : "Rubin", "given" : "David C.", "non-dropping-particle" : "", "parse-names" : false, "suffix" : "" } ], "container-title" : "Flashbulb Memories: New Issues and New Perspectives", "id" : "ITEM-3", "issued" : { "date-parts" : [ [ "2009" ] ] }, "number-of-pages" : "79-97", "title" : "Flashbulb memories result from ordinary memory processes and extraordinary event characteristics", "type" : "book" }, "uris" : [ "http://www.mendeley.com/documents/?uuid=e1e61aa8-9815-4b5e-b4f0-1e97b0031a19" ] }, { "id" : "ITEM-4", "itemData" : { "DOI" : "10.1037/h0077714", "ISBN" : "0022-3514, 0022-3514", "ISSN" : "0022-3514", "PMID" : "2764020961044689222", "abstract" : "Factor-analytic evidence has led most psychologists to describe affect as a set of dimensions, such as displeasure, distress, depression, excitement, and so on, with each dimension varying independently of the others. However, there is other evidence that rather than being independent, these affective dimensions are interrelated in a highly systematic fashion. The evidence suggests that these interrelationships can be represented by a spatial model in which affective concepts fall in a circle in the following order: pleasure (0), excitement (45), arousal (90), distress (135), displeasure (180), depression (225), sleepiness (270), and relaxation (315). This model was offered both as a way psychologists can represent the structure of affective experience, as assessed through self-report, and as a representation of the cognitive structure that laymen utilize in conceptualizing affect. Supportive evidence was obtained by scaling 28 emoti</w:instrText>
      </w:r>
      <w:r w:rsidR="00A451BD" w:rsidRPr="00A451BD">
        <w:rPr>
          <w:sz w:val="24"/>
          <w:szCs w:val="24"/>
          <w:lang w:val="de-DE"/>
        </w:rPr>
        <w:instrText>on-denoting adjectives in 4 different ways: R. T. Ross's (1938) technique for a circular ordering of variables, a multidimensional scaling procedure based on perceived similarity among the terms, a unidimensional scaling on hypothesized pleasure\u2013displeasure and degree-of-arousal dimensions, and a principal-components analysis of 343 Ss' self-reports of their current affective states. (70 ref)", "author" : [ { "dropping-particle" : "", "family" : "Russell", "given" : "James A", "non-dropping-particle" : "", "parse-names" : false, "suffix" : "" } ], "container-title" : "Journal of Personality and Social Psychology", "id" : "ITEM-4", "issue" : "6", "issued" : { "date-parts" : [ [ "1980" ] ] }, "page" : "1161-1178", "title" : "A circumplex model of affect.", "type" : "article-journal", "volume" : "39" }, "uris" : [ "http://www.mendeley.com/documents/?uuid=3a519c84-693e-3d09-a932-980e1b40f001" ] } ], "mendeley" : { "formattedCitation" : "(Lang, Greenwald, Bradley, &amp; Hamm, 1993; Posner, Russell, &amp; Peterson, 2005; Russell, 1980; Talarico &amp; Rubin, 2009)", "plainTextFormattedCitation" : "(Lang, Greenwald, Bradley, &amp; Hamm, 1993; Posner, Russell, &amp; Peterson, 2005; Russell, 1980; Talarico &amp; Rubin, 2009)", "previouslyFormattedCitation" : "(Lang, Greenwald, Bradley, &amp; Hamm, 1993; Posner, Russell, &amp; Peterson, 2005; Russell, 1980; Talarico &amp; Rubin, 2009)" }, "properties" : { "noteIndex" : 0 }, "schema" : "https://github.com/citation-style-language/schema/raw/master/csl-citation.json" }</w:instrText>
      </w:r>
      <w:r w:rsidR="00B06E70">
        <w:rPr>
          <w:sz w:val="24"/>
          <w:szCs w:val="24"/>
        </w:rPr>
        <w:fldChar w:fldCharType="separate"/>
      </w:r>
      <w:r w:rsidR="00F143C7" w:rsidRPr="00F143C7">
        <w:rPr>
          <w:noProof/>
          <w:sz w:val="24"/>
          <w:szCs w:val="24"/>
          <w:lang w:val="de-DE"/>
        </w:rPr>
        <w:t>(Lang, Greenwald, Bradley, &amp; Hamm, 1993; Posner, Russell, &amp; Peterson, 2005; Russell, 1980; Talarico &amp; Rubin, 2009)</w:t>
      </w:r>
      <w:r w:rsidR="00B06E70">
        <w:rPr>
          <w:sz w:val="24"/>
          <w:szCs w:val="24"/>
        </w:rPr>
        <w:fldChar w:fldCharType="end"/>
      </w:r>
      <w:r w:rsidRPr="00F143C7">
        <w:rPr>
          <w:sz w:val="24"/>
          <w:szCs w:val="24"/>
          <w:lang w:val="de-DE"/>
        </w:rPr>
        <w:t xml:space="preserve">. </w:t>
      </w:r>
      <w:r w:rsidRPr="00D05EBD">
        <w:rPr>
          <w:sz w:val="24"/>
          <w:szCs w:val="24"/>
        </w:rPr>
        <w:t xml:space="preserve">On the valence dimension, emotions cause changes in many aspects of people's bodies and minds and these changes can be generally interpreted as positive or negative; giving rise respectively to positive and negative experiences of emotion </w:t>
      </w:r>
      <w:r w:rsidR="00B06E70">
        <w:rPr>
          <w:sz w:val="24"/>
          <w:szCs w:val="24"/>
        </w:rPr>
        <w:fldChar w:fldCharType="begin" w:fldLock="1"/>
      </w:r>
      <w:r w:rsidR="002A3B4D">
        <w:rPr>
          <w:sz w:val="24"/>
          <w:szCs w:val="24"/>
        </w:rPr>
        <w:instrText>ADDIN CSL_CITATION { "citationItems" : [ { "id" : "ITEM-1", "itemData" : { "DOI" : "10.1098/rstb.2004.1512", "ISBN" : "0003-066X\\r1935-990X", "ISSN" : "0962-8436", "PMID" : "15347528", "abstract" : "The broaden-and-build theory describes the form and function of a subset of positive emotions, including joy, interest, contentment and love. A key proposition is that these positive emotions broaden an individual's momentary thought-action repertoire: joy sparks the urge to play, interest sparks the urge to explore, contentment sparks the urge to savour and integrate, and love sparks a recurring cycle of each of these urges within safe, close relationships. The broadened mindsets arising from these positive emotions are contrasted to the narrowed mindsets sparked by many negative emotions (i.e. specific action tendencies, such as attack or flee). A second key proposition concerns the consequences of these broadened mindsets: by broadening an individual's momentary thought-action repertoire--whether through play, exploration or similar activities--positive emotions promote discovery of novel and creative actions, ideas and social bonds, which in turn build that individual's personal resources; ranging from physical and intellectual resources, to social and psychological resources. Importantly, these resources function as reserves that can be drawn on later to improve the odds of successful coping and survival. This chapter reviews the latest empirical evidence supporting the broaden-and-build theory and draws out implications the theory holds for optimizing health and well-being.", "author" : [ { "dropping-particle" : "", "family" : "Fredrickson", "given" : "Barbara L", "non-dropping-particle" : "", "parse-names" : false, "suffix" : "" } ], "container-title" : "Philosophical transactions of the Royal Society of London. Series B, Biological sciences", "id" : "ITEM-1", "issue" : "1449", "issued" : { "date-parts" : [ [ "2004" ] ] }, "page" : "1367-78", "title" : "The broaden-and-build theory of positive emotions.", "type" : "article-journal", "volume" : "359" }, "uris" : [ "http://www.mendeley.com/documents/?uuid=8777dc0b-339f-3bca-8572-23da77a4f394" ] }, { "id" : "ITEM-2", "itemData" : { "DOI" : "10.1037/0033-295X.97.3.315", "ISBN" : "1939-1471", "ISSN" : "0033-295X", "PMID" : "1669960", "abstract" : "A widespread assumption in theories of emotion is that there exists a small set of basic emotions. From a biological perspective, this idea is manifested in the belief that there might be neurophysiolog- ical and anatomical substrates corresponding to the basic emotions. From a psychological perspec- tive, basic emotions are often held to be the primitive building blocks of other, nonbasic emotions. The content of such claims is examined, and the results suggest that there is no coherent nontrivial notion of basic emotions as the elementary psychological primitives in terms of which other emo- tions can be explained. Thus, the view that there exist basic emotions out of which all other emotions are built, and in terms of which they can be explained, is questioned, raising the possibility that this position is an article of faith rather than an empirically or theoretically defensible basis for the conduct of emotion research. This suggests that perhaps the notion of basic emotions will not lead to significant progress in the field. An alternative approach to explaining the phenomena that appear to motivate the postulation of basic emotions is presented.", "author" : [ { "dropping-particle" : "", "family" : "Ortony", "given" : "Andrew", "non-dropping-particle" : "", "parse-names" : false, "suffix" : "" }, { "dropping-particle" : "", "family" : "Turner", "given" : "Terence J", "non-dropping-particle" : "", "parse-names" : false, "suffix" : "" } ], "container-title" : "Psychological review", "id" : "ITEM-2", "issue" : "3", "issued" : { "date-parts" : [ [ "1990" ] ] }, "page" : "315-331", "title" : "What ' s Basic About Basic Emotions ?", "type" : "article-journal", "volume" : "97" }, "uris" : [ "http://www.mendeley.com/documents/?uuid=2e3fb419-0ec2-4d66-af0e-163c5640c1f9" ] } ], "mendeley" : { "formattedCitation" : "(Fredrickson, 2004; Ortony &amp; Turner, 1990)", "plainTextFormattedCitation" : "(Fredrickson, 2004; Ortony &amp; Turner, 1990)", "previouslyFormattedCitation" : "(Fredrickson, 2004; Ortony &amp; Turner, 1990)" }, "properties" : { "noteIndex" : 0 }, "schema" : "https://github.com/citation-style-language/schema/raw/master/csl-citation.json" }</w:instrText>
      </w:r>
      <w:r w:rsidR="00B06E70">
        <w:rPr>
          <w:sz w:val="24"/>
          <w:szCs w:val="24"/>
        </w:rPr>
        <w:fldChar w:fldCharType="separate"/>
      </w:r>
      <w:r w:rsidR="00A451BD" w:rsidRPr="00A451BD">
        <w:rPr>
          <w:noProof/>
          <w:sz w:val="24"/>
          <w:szCs w:val="24"/>
        </w:rPr>
        <w:t>(Fredrickson, 2004; Ortony &amp; Turner, 1990)</w:t>
      </w:r>
      <w:r w:rsidR="00B06E70">
        <w:rPr>
          <w:sz w:val="24"/>
          <w:szCs w:val="24"/>
        </w:rPr>
        <w:fldChar w:fldCharType="end"/>
      </w:r>
      <w:r w:rsidRPr="00D05EBD">
        <w:rPr>
          <w:sz w:val="24"/>
          <w:szCs w:val="24"/>
        </w:rPr>
        <w:t xml:space="preserve">. Negative emotions refer to emotions which are believed as non-desired, to be avoided, considered as undesirable behaviour and, experienced as unpleasant, for example, sadness, anger and fear </w:t>
      </w:r>
      <w:r w:rsidR="00B06E70">
        <w:rPr>
          <w:sz w:val="24"/>
          <w:szCs w:val="24"/>
        </w:rPr>
        <w:fldChar w:fldCharType="begin" w:fldLock="1"/>
      </w:r>
      <w:r w:rsidR="008A2510">
        <w:rPr>
          <w:sz w:val="24"/>
          <w:szCs w:val="24"/>
        </w:rPr>
        <w:instrText>ADDIN CSL_CITATION { "citationItems" : [ { "id" : "ITEM-1", "itemData" : { "ISBN" : "0792315499", "author" : [ { "dropping-particle" : "", "family" : "Green", "given" : "O. H.", "non-dropping-particle" : "", "parse-names" : false, "suffix" : "" } ], "id" : "ITEM-1", "issued" : { "date-parts" : [ [ "1992" ] ] }, "number-of-pages" : "203", "publisher" : "Springer", "title" : "The emotions: a philosophical theory", "type" : "book" }, "uris" : [ "http://www.mendeley.com/documents/?uuid=68411c80-ca4b-39a7-824e-f569118f20f0" ] } ], "mendeley" : { "formattedCitation" : "(Green, 1992)", "plainTextFormattedCitation" : "(Green, 1992)", "previouslyFormattedCitation" : "(Green, 1992)" }, "properties" : { "noteIndex" : 0 }, "schema" : "https://github.com/citation-style-language/schema/raw/master/csl-citation.json" }</w:instrText>
      </w:r>
      <w:r w:rsidR="00B06E70">
        <w:rPr>
          <w:sz w:val="24"/>
          <w:szCs w:val="24"/>
        </w:rPr>
        <w:fldChar w:fldCharType="separate"/>
      </w:r>
      <w:r w:rsidR="008A2510" w:rsidRPr="008A2510">
        <w:rPr>
          <w:noProof/>
          <w:sz w:val="24"/>
          <w:szCs w:val="24"/>
        </w:rPr>
        <w:t>(Green, 1992)</w:t>
      </w:r>
      <w:r w:rsidR="00B06E70">
        <w:rPr>
          <w:sz w:val="24"/>
          <w:szCs w:val="24"/>
        </w:rPr>
        <w:fldChar w:fldCharType="end"/>
      </w:r>
      <w:r w:rsidR="008A2510">
        <w:rPr>
          <w:sz w:val="24"/>
          <w:szCs w:val="24"/>
        </w:rPr>
        <w:t>.</w:t>
      </w:r>
      <w:r w:rsidRPr="00D05EBD">
        <w:rPr>
          <w:sz w:val="24"/>
          <w:szCs w:val="24"/>
        </w:rPr>
        <w:t xml:space="preserve"> On the other hand, positive emotions refer to emotions believed as desired, to be approached, considered desirable behaviour and experienced as pleasant states, for example, joy </w:t>
      </w:r>
      <w:r w:rsidRPr="008A2510">
        <w:rPr>
          <w:sz w:val="24"/>
          <w:szCs w:val="24"/>
        </w:rPr>
        <w:t>(Green, 1992). O</w:t>
      </w:r>
      <w:r w:rsidRPr="00D05EBD">
        <w:rPr>
          <w:sz w:val="24"/>
          <w:szCs w:val="24"/>
        </w:rPr>
        <w:t xml:space="preserve">n the arousal dimension emotional experiences range from calming or soothing to agitating or exciting. Although many researchers have seen emotions as portraying pleasant or unpleasant states that are approached or avoided, in many cases unpleasant emotions serve as vehicles to attain goals </w:t>
      </w:r>
      <w:r w:rsidR="00B06E70">
        <w:rPr>
          <w:sz w:val="24"/>
          <w:szCs w:val="24"/>
        </w:rPr>
        <w:fldChar w:fldCharType="begin" w:fldLock="1"/>
      </w:r>
      <w:r w:rsidR="002A3B4D">
        <w:rPr>
          <w:sz w:val="24"/>
          <w:szCs w:val="24"/>
        </w:rPr>
        <w:instrText>ADDIN CSL_CITATION { "citationItems" : [ { "id" : "ITEM-1", "itemData" : { "DOI" : "10.1111/j.1467-8721.2009.01617.x", "ISBN" : "0963-7214", "ISSN" : "09637214", "abstract" : "It is typically assumedthat people always want to feel good. Recent evidence, however, demonstrates that people want to feel unpleasant emotions, such as anger or fear, when these emotions promote the attainment of their long-termgoals. If emotions are regulated for instrumental reasons, people shouldwantto feel pleasant emotionswhen immediate benefits outweigh future benefits, but when fu- ture benefits outweigh immediate benefits, people may prefer to feel useful emotions, even if they are unpleasant. In this article, I describe an instrumental account of emo- tion regulation, review empirical evidence relevant to it, and discuss its implications for promoting adaptive emo- tional experiences.", "author" : [ { "dropping-particle" : "", "family" : "Tamir", "given" : "Maya", "non-dropping-particle" : "", "parse-names" : false, "suffix" : "" } ], "container-title" : "Current Directions in Psychological Science", "id" : "ITEM-1", "issued" : { "date-parts" : [ [ "2009" ] ] }, "title" : "What do people want to feel and why?: Pleasure and utility in emotion regulation", "type" : "article-journal" }, "uris" : [ "http://www.mendeley.com/documents/?uuid=1a034c90-c807-3674-9e56-f2a2e9ff30bc" ] } ], "mendeley" : { "formattedCitation" : "(Tamir, 2009)", "plainTextFormattedCitation" : "(Tamir, 2009)", "previouslyFormattedCitation" : "(Tamir, 2009)" }, "properties" : { "noteIndex" : 0 }, "schema" : "https://github.com/citation-style-language/schema/raw/master/csl-citation.json" }</w:instrText>
      </w:r>
      <w:r w:rsidR="00B06E70">
        <w:rPr>
          <w:sz w:val="24"/>
          <w:szCs w:val="24"/>
        </w:rPr>
        <w:fldChar w:fldCharType="separate"/>
      </w:r>
      <w:r w:rsidR="002A3B4D" w:rsidRPr="002A3B4D">
        <w:rPr>
          <w:noProof/>
          <w:sz w:val="24"/>
          <w:szCs w:val="24"/>
        </w:rPr>
        <w:t>(Tamir, 2009)</w:t>
      </w:r>
      <w:r w:rsidR="00B06E70">
        <w:rPr>
          <w:sz w:val="24"/>
          <w:szCs w:val="24"/>
        </w:rPr>
        <w:fldChar w:fldCharType="end"/>
      </w:r>
      <w:r w:rsidRPr="00D05EBD">
        <w:rPr>
          <w:sz w:val="24"/>
          <w:szCs w:val="24"/>
        </w:rPr>
        <w:t xml:space="preserve">. For example, </w:t>
      </w:r>
      <w:r w:rsidR="00B06E70">
        <w:rPr>
          <w:sz w:val="24"/>
          <w:szCs w:val="24"/>
        </w:rPr>
        <w:fldChar w:fldCharType="begin" w:fldLock="1"/>
      </w:r>
      <w:r w:rsidR="00075D4A">
        <w:rPr>
          <w:sz w:val="24"/>
          <w:szCs w:val="24"/>
        </w:rPr>
        <w:instrText>ADDIN CSL_CITATION { "citationItems" : [ { "id" : "ITEM-1", "itemData" : { "DOI" : "10.1037/a0027223", "ISBN" : "1931-1516\\n1528-3542", "ISSN" : "1528-3542", "PMID" : "22309724", "abstract" : "Is it adaptive to seek pleasant emotions and avoid unpleasant emotions all the time or seek pleasant and unpleasant emotions at the right time? Participants reported on their preferences for anger and happiness in general and in contexts in which they might be useful or not (i.e., confrontations and collaborations, respectively). People who generally wanted to feel more happiness and less anger experienced greater well-being. However, when emotional preferences were examined in context, people who wanted to feel more anger or more happiness when they were useful, and people who wanted to feel less of those emotions when they were not useful, experienced greater well-being. Such patterns could not be explained by differences in the perceived usefulness of emotions, intelligence, perceived regulatory skills, emotional acceptance, social desirability, or general emotional preferences. These findings demonstrate that people who want to feel unpleasant emotions when they are useful may be happier overall.", "author" : [ { "dropping-particle" : "", "family" : "Tamir", "given" : "Maya", "non-dropping-particle" : "", "parse-names" : false, "suffix" : "" }, { "dropping-particle" : "", "family" : "Ford", "given" : "Brett Q.", "non-dropping-particle" : "", "parse-names" : false, "suffix" : "" } ], "container-title" : "Emotion", "id" : "ITEM-1", "issue" : "5", "issued" : { "date-parts" : [ [ "2012" ] ] }, "page" : "1061-1070", "title" : "Should people pursue feelings that feel good or feelings that do good? Emotional preferences and well-being.", "type" : "article-journal", "volume" : "12" }, "uris" : [ "http://www.mendeley.com/documents/?uuid=b89cee83-ba15-4528-9510-4ae624b53e4b" ] } ], "mendeley" : { "formattedCitation" : "(Tamir &amp; Ford, 2012)", "manualFormatting" : "Tamir and Ford (2012", "plainTextFormattedCitation" : "(Tamir &amp; Ford, 2012)", "previouslyFormattedCitation" : "(Tamir &amp; Ford, 2012)" }, "properties" : { "noteIndex" : 0 }, "schema" : "https://github.com/citation-style-language/schema/raw/master/csl-citation.json" }</w:instrText>
      </w:r>
      <w:r w:rsidR="00B06E70">
        <w:rPr>
          <w:sz w:val="24"/>
          <w:szCs w:val="24"/>
        </w:rPr>
        <w:fldChar w:fldCharType="separate"/>
      </w:r>
      <w:r w:rsidR="00075D4A">
        <w:rPr>
          <w:noProof/>
          <w:sz w:val="24"/>
          <w:szCs w:val="24"/>
        </w:rPr>
        <w:t>Tamir and Ford</w:t>
      </w:r>
      <w:r w:rsidR="002A3B4D" w:rsidRPr="002A3B4D">
        <w:rPr>
          <w:noProof/>
          <w:sz w:val="24"/>
          <w:szCs w:val="24"/>
        </w:rPr>
        <w:t xml:space="preserve"> </w:t>
      </w:r>
      <w:r w:rsidR="00075D4A">
        <w:rPr>
          <w:noProof/>
          <w:sz w:val="24"/>
          <w:szCs w:val="24"/>
        </w:rPr>
        <w:t>(</w:t>
      </w:r>
      <w:r w:rsidR="002A3B4D" w:rsidRPr="002A3B4D">
        <w:rPr>
          <w:noProof/>
          <w:sz w:val="24"/>
          <w:szCs w:val="24"/>
        </w:rPr>
        <w:t>2012</w:t>
      </w:r>
      <w:r w:rsidR="00B06E70">
        <w:rPr>
          <w:sz w:val="24"/>
          <w:szCs w:val="24"/>
        </w:rPr>
        <w:fldChar w:fldCharType="end"/>
      </w:r>
      <w:r w:rsidR="00075D4A">
        <w:rPr>
          <w:sz w:val="24"/>
          <w:szCs w:val="24"/>
        </w:rPr>
        <w:t>)</w:t>
      </w:r>
      <w:r w:rsidRPr="00D05EBD">
        <w:rPr>
          <w:sz w:val="24"/>
          <w:szCs w:val="24"/>
        </w:rPr>
        <w:t>, showed that participants preferred experiencing unpleasant emotions when havin</w:t>
      </w:r>
      <w:r w:rsidR="00075D4A">
        <w:rPr>
          <w:sz w:val="24"/>
          <w:szCs w:val="24"/>
        </w:rPr>
        <w:t>g the goal to confront someone.</w:t>
      </w:r>
      <w:r w:rsidRPr="00D05EBD">
        <w:rPr>
          <w:sz w:val="24"/>
          <w:szCs w:val="24"/>
        </w:rPr>
        <w:t xml:space="preserve"> To sum up, even though emotions </w:t>
      </w:r>
      <w:r w:rsidR="00A11739" w:rsidRPr="00D05EBD">
        <w:rPr>
          <w:sz w:val="24"/>
          <w:szCs w:val="24"/>
        </w:rPr>
        <w:t>have been</w:t>
      </w:r>
      <w:r w:rsidRPr="00D05EBD">
        <w:rPr>
          <w:sz w:val="24"/>
          <w:szCs w:val="24"/>
        </w:rPr>
        <w:t xml:space="preserve"> generally categorised as positive and negative, it is important to keep in mind that disregarding </w:t>
      </w:r>
      <w:r w:rsidR="00A11739" w:rsidRPr="00D05EBD">
        <w:rPr>
          <w:sz w:val="24"/>
          <w:szCs w:val="24"/>
        </w:rPr>
        <w:t xml:space="preserve">the </w:t>
      </w:r>
      <w:r w:rsidRPr="00D05EBD">
        <w:rPr>
          <w:sz w:val="24"/>
          <w:szCs w:val="24"/>
        </w:rPr>
        <w:t xml:space="preserve">valence, emotions can help people reach a goal, becoming useful or positive for people's aims. Emotions are important as they may inform people about the </w:t>
      </w:r>
      <w:r w:rsidRPr="00D05EBD">
        <w:rPr>
          <w:sz w:val="24"/>
          <w:szCs w:val="24"/>
        </w:rPr>
        <w:lastRenderedPageBreak/>
        <w:t>progress that they have made towards their goals and signal where attention is needed</w:t>
      </w:r>
      <w:r w:rsidR="00075D4A">
        <w:rPr>
          <w:sz w:val="24"/>
          <w:szCs w:val="24"/>
        </w:rPr>
        <w:t xml:space="preserve"> </w:t>
      </w:r>
      <w:r w:rsidR="00B06E70">
        <w:rPr>
          <w:sz w:val="24"/>
          <w:szCs w:val="24"/>
        </w:rPr>
        <w:fldChar w:fldCharType="begin" w:fldLock="1"/>
      </w:r>
      <w:r w:rsidR="00075D4A">
        <w:rPr>
          <w:sz w:val="24"/>
          <w:szCs w:val="24"/>
        </w:rPr>
        <w:instrText>ADDIN CSL_CITATION { "citationItems" : [ { "id" : "ITEM-1", "itemData" : { "DOI" : "10.1037/0033-295X.97.1.19", "ISBN" : "0033-295X", "ISSN" : "0033-295X", "PMID" : "20090828", "abstract" : "Both positive and negative affect may occur concurrently based on the various individual goals and thus r independent. Relation between negative emotion and disengagement from goals.", "author" : [ { "dropping-particle" : "", "family" : "Carver", "given" : "Charles S.", "non-dropping-particle" : "", "parse-names" : false, "suffix" : "" }, { "dropping-particle" : "", "family" : "Scheier", "given" : "Michael F.", "non-dropping-particle" : "", "parse-names" : false, "suffix" : "" } ], "container-title" : "Psychological Review", "id" : "ITEM-1", "issue" : "1", "issued" : { "date-parts" : [ [ "1990" ] ] }, "page" : "19-35", "title" : "Origins and functions of positive and negative affect: A control-process view.", "type" : "article-journal", "volume" : "97" }, "uris" : [ "http://www.mendeley.com/documents/?uuid=5e87e0e1-422e-4e36-bb34-11d75f939c9a" ] } ], "mendeley" : { "formattedCitation" : "(Carver &amp; Scheier, 1990)", "plainTextFormattedCitation" : "(Carver &amp; Scheier, 1990)", "previouslyFormattedCitation" : "(Carver &amp; Scheier, 1990)" }, "properties" : { "noteIndex" : 0 }, "schema" : "https://github.com/citation-style-language/schema/raw/master/csl-citation.json" }</w:instrText>
      </w:r>
      <w:r w:rsidR="00B06E70">
        <w:rPr>
          <w:sz w:val="24"/>
          <w:szCs w:val="24"/>
        </w:rPr>
        <w:fldChar w:fldCharType="separate"/>
      </w:r>
      <w:r w:rsidR="00075D4A" w:rsidRPr="00075D4A">
        <w:rPr>
          <w:noProof/>
          <w:sz w:val="24"/>
          <w:szCs w:val="24"/>
        </w:rPr>
        <w:t>(Carver &amp; Scheier, 1990)</w:t>
      </w:r>
      <w:r w:rsidR="00B06E70">
        <w:rPr>
          <w:sz w:val="24"/>
          <w:szCs w:val="24"/>
        </w:rPr>
        <w:fldChar w:fldCharType="end"/>
      </w:r>
      <w:r w:rsidRPr="00D05EBD">
        <w:rPr>
          <w:sz w:val="24"/>
          <w:szCs w:val="24"/>
        </w:rPr>
        <w:t xml:space="preserve">. For example, if someone experiences unpleasant emotions (feels unhappy) about his eating habits, this could be telling him that more work needs to be done to reach the goal of eating healthily. </w:t>
      </w:r>
    </w:p>
    <w:p w:rsidR="00D04317" w:rsidRPr="00012752" w:rsidRDefault="00FB1389" w:rsidP="00012752">
      <w:pPr>
        <w:spacing w:line="480" w:lineRule="auto"/>
        <w:ind w:firstLine="720"/>
        <w:jc w:val="both"/>
        <w:rPr>
          <w:sz w:val="24"/>
          <w:szCs w:val="24"/>
        </w:rPr>
      </w:pPr>
      <w:r w:rsidRPr="00D05EBD">
        <w:rPr>
          <w:sz w:val="24"/>
          <w:szCs w:val="24"/>
        </w:rPr>
        <w:t xml:space="preserve">Having explained what is being regulated it is now possible to have an operational definition of ER. Many researchers have provided different definitions of ER but for the purpose of this thesis </w:t>
      </w:r>
      <w:r w:rsidRPr="00D05EBD">
        <w:rPr>
          <w:i/>
          <w:sz w:val="24"/>
          <w:szCs w:val="24"/>
        </w:rPr>
        <w:t xml:space="preserve">emotion regulation </w:t>
      </w:r>
      <w:r w:rsidRPr="00D05EBD">
        <w:rPr>
          <w:sz w:val="24"/>
          <w:szCs w:val="24"/>
        </w:rPr>
        <w:t xml:space="preserve">is defined as the changes in any aspect of people’s emotional states (e.g. occurrence, valence, arousal, duration, approach/avoidance) that can happen </w:t>
      </w:r>
      <w:r w:rsidR="00A41BE2">
        <w:rPr>
          <w:sz w:val="24"/>
          <w:szCs w:val="24"/>
        </w:rPr>
        <w:t>at</w:t>
      </w:r>
      <w:r w:rsidRPr="00D05EBD">
        <w:rPr>
          <w:sz w:val="24"/>
          <w:szCs w:val="24"/>
        </w:rPr>
        <w:t xml:space="preserve"> any point from the person’s total awareness to the person’s total lack of </w:t>
      </w:r>
      <w:r w:rsidRPr="00405B04">
        <w:rPr>
          <w:sz w:val="24"/>
          <w:szCs w:val="24"/>
        </w:rPr>
        <w:t xml:space="preserve">awareness </w:t>
      </w:r>
      <w:r w:rsidR="00B06E70" w:rsidRPr="00405B04">
        <w:rPr>
          <w:sz w:val="24"/>
          <w:szCs w:val="24"/>
        </w:rPr>
        <w:fldChar w:fldCharType="begin" w:fldLock="1"/>
      </w:r>
      <w:r w:rsidR="00405B04" w:rsidRPr="00405B04">
        <w:rPr>
          <w:sz w:val="24"/>
          <w:szCs w:val="24"/>
        </w:rPr>
        <w:instrText>ADDIN CSL_CITATION { "citationItems" : [ { "id" : "ITEM-1", "itemData" : { "author" : [ { "dropping-particle" : "", "family" : "Gross", "given" : "James J.", "non-dropping-particle" : "", "parse-names" : false, "suffix" : "" }, { "dropping-particle" : "", "family" : "Thompson", "given" : "R. A.", "non-dropping-particle" : "", "parse-names" : false, "suffix" : "" } ], "container-title" : "Handbook of Emotion Regulation", "id" : "ITEM-1", "issue" : "January 2007", "issued" : { "date-parts" : [ [ "2007" ] ] }, "page" : "3-24", "title" : "Emotion regulation: Conceptual foundations", "type" : "article-journal" }, "uris" : [ "http://www.mendeley.com/documents/?uuid=3fdd5741-e821-40e5-b181-e81743540639" ] }, { "id" : "ITEM-2", "itemData" : { "DOI" : "10.1080/02699930802619031", "ISBN" : "0269-9931", "ISSN" : "0269-9931", "PMID" : "35772160", "abstract" : "The present article reviews modern research on the psychology of emotion regulation. Emotion regulation determines the offset of emotional responding and is thus distinct from emotional sensitivity, which determines the onset of emotional responding. Among the most viable categories for classifying emotion-regulation strategies are the targets and functions of emotion regulation. The emotion-generating systems that are targeted in emotion regulation include attention, knowledge, and bodily responses. The functions of emotion regulation include satisfying hedonic needs, supporting specific goal pursuits, and facilitating the global personality system. Emotion-regulation strategies are classified in terms of their targets and functions and relevant empirical work is reviewed. Throughout this review, emotion regulation emerges as one of the most far-ranging and influential processes at the interface of cognition and emotion.", "author" : [ { "dropping-particle" : "", "family" : "Koole", "given" : "Sander L", "non-dropping-particle" : "", "parse-names" : false, "suffix" : "" } ], "container-title" : "Cognition &amp; Emotion", "id" : "ITEM-2", "issue" : "1", "issued" : { "date-parts" : [ [ "2009" ] ] }, "page" : "4-41", "title" : "The psychology of emotion regulation: An integrative review", "type" : "article-journal", "volume" : "23" }, "uris" : [ "http://www.mendeley.com/documents/?uuid=b2ff470e-778e-3ade-a88c-9a51830a945a" ] } ], "mendeley" : { "formattedCitation" : "(Gross &amp; Thompson, 2007; Koole, 2009)", "plainTextFormattedCitation" : "(Gross &amp; Thompson, 2007; Koole, 2009)", "previouslyFormattedCitation" : "(Gross &amp; Thompson, 2007; Koole, 2009)" }, "properties" : { "noteIndex" : 0 }, "schema" : "https://github.com/citation-style-language/schema/raw/master/csl-citation.json" }</w:instrText>
      </w:r>
      <w:r w:rsidR="00B06E70" w:rsidRPr="00405B04">
        <w:rPr>
          <w:sz w:val="24"/>
          <w:szCs w:val="24"/>
        </w:rPr>
        <w:fldChar w:fldCharType="separate"/>
      </w:r>
      <w:r w:rsidR="005D275E" w:rsidRPr="00405B04">
        <w:rPr>
          <w:noProof/>
          <w:sz w:val="24"/>
          <w:szCs w:val="24"/>
        </w:rPr>
        <w:t>(Gross &amp; Thompson, 2007; Koole, 2009)</w:t>
      </w:r>
      <w:r w:rsidR="00B06E70" w:rsidRPr="00405B04">
        <w:rPr>
          <w:sz w:val="24"/>
          <w:szCs w:val="24"/>
        </w:rPr>
        <w:fldChar w:fldCharType="end"/>
      </w:r>
      <w:r w:rsidRPr="00D05EBD">
        <w:rPr>
          <w:sz w:val="24"/>
          <w:szCs w:val="24"/>
        </w:rPr>
        <w:t xml:space="preserve">. When regulating emotions, people can regulate the intake of emotionally arousing information, they can alter the interpretation of emotionally eliciting events (e.g. by thinking that sweating before teaching a class is normal), or can enhance accessibility to coping resources (e.g. calling a friend to provide company) </w:t>
      </w:r>
      <w:r w:rsidR="00B06E70">
        <w:rPr>
          <w:sz w:val="24"/>
          <w:szCs w:val="24"/>
        </w:rPr>
        <w:fldChar w:fldCharType="begin" w:fldLock="1"/>
      </w:r>
      <w:r w:rsidR="00C707EB">
        <w:rPr>
          <w:sz w:val="24"/>
          <w:szCs w:val="24"/>
        </w:rPr>
        <w:instrText>ADDIN CSL_CITATION { "citationItems" : [ { "id" : "ITEM-1", "itemData" : { "DOI" : "10.1111/j.1540-5834.1994.tb01276.x", "ISSN" : "0037976X", "author" : [ { "dropping-particle" : "", "family" : "Thompson", "given" : "Ross A.", "non-dropping-particle" : "", "parse-names" : false, "suffix" : "" } ], "container-title" : "Monographs of the Society for Research in Child Development", "id" : "ITEM-1", "issue" : "2-3", "issued" : { "date-parts" : [ [ "1994" ] ] }, "page" : "25-52", "title" : "Emotion Regulation: A Theme in Search of Definition", "type" : "article-journal", "volume" : "59" }, "uris" : [ "http://www.mendeley.com/documents/?uuid=eadec02e-80c8-3515-9a5f-39924f3bf4e7" ] } ], "mendeley" : { "formattedCitation" : "(Thompson, 1994)", "plainTextFormattedCitation" : "(Thompson, 1994)", "previouslyFormattedCitation" : "(Thompson, 1994)" }, "properties" : { "noteIndex" : 0 }, "schema" : "https://github.com/citation-style-language/schema/raw/master/csl-citation.json" }</w:instrText>
      </w:r>
      <w:r w:rsidR="00B06E70">
        <w:rPr>
          <w:sz w:val="24"/>
          <w:szCs w:val="24"/>
        </w:rPr>
        <w:fldChar w:fldCharType="separate"/>
      </w:r>
      <w:r w:rsidR="00405B04" w:rsidRPr="00405B04">
        <w:rPr>
          <w:noProof/>
          <w:sz w:val="24"/>
          <w:szCs w:val="24"/>
        </w:rPr>
        <w:t>(Thompson, 1994)</w:t>
      </w:r>
      <w:r w:rsidR="00B06E70">
        <w:rPr>
          <w:sz w:val="24"/>
          <w:szCs w:val="24"/>
        </w:rPr>
        <w:fldChar w:fldCharType="end"/>
      </w:r>
      <w:r w:rsidR="00405B04">
        <w:rPr>
          <w:sz w:val="24"/>
          <w:szCs w:val="24"/>
        </w:rPr>
        <w:t>.</w:t>
      </w:r>
      <w:r w:rsidRPr="00D05EBD">
        <w:rPr>
          <w:sz w:val="24"/>
          <w:szCs w:val="24"/>
        </w:rPr>
        <w:t xml:space="preserve"> For example, if people perceive a situation as dangerous they might behave in a cautious or evasive manner and probably experience body signs of alert (e.g. sweating, palpitations, etc.).</w:t>
      </w:r>
    </w:p>
    <w:p w:rsidR="00FB1389" w:rsidRPr="00D05EBD" w:rsidRDefault="00FB1389" w:rsidP="00AE640B">
      <w:pPr>
        <w:spacing w:line="480" w:lineRule="auto"/>
        <w:jc w:val="both"/>
        <w:rPr>
          <w:b/>
          <w:sz w:val="24"/>
          <w:szCs w:val="24"/>
        </w:rPr>
      </w:pPr>
      <w:r w:rsidRPr="00D05EBD">
        <w:rPr>
          <w:sz w:val="24"/>
          <w:szCs w:val="24"/>
        </w:rPr>
        <w:tab/>
      </w:r>
      <w:r w:rsidRPr="00D05EBD">
        <w:rPr>
          <w:b/>
          <w:sz w:val="24"/>
          <w:szCs w:val="24"/>
        </w:rPr>
        <w:t>1.2.1 How is emotion regulated?</w:t>
      </w:r>
      <w:r w:rsidRPr="00D05EBD">
        <w:rPr>
          <w:b/>
          <w:sz w:val="24"/>
          <w:szCs w:val="24"/>
        </w:rPr>
        <w:tab/>
      </w:r>
    </w:p>
    <w:p w:rsidR="00FB1389" w:rsidRPr="00D05EBD" w:rsidRDefault="00FB1389" w:rsidP="00AE640B">
      <w:pPr>
        <w:spacing w:line="480" w:lineRule="auto"/>
        <w:jc w:val="both"/>
        <w:rPr>
          <w:sz w:val="24"/>
          <w:szCs w:val="24"/>
        </w:rPr>
      </w:pPr>
      <w:r w:rsidRPr="00D05EBD">
        <w:rPr>
          <w:sz w:val="24"/>
          <w:szCs w:val="24"/>
        </w:rPr>
        <w:t xml:space="preserve"> </w:t>
      </w:r>
      <w:r w:rsidRPr="00D05EBD">
        <w:rPr>
          <w:sz w:val="24"/>
          <w:szCs w:val="24"/>
        </w:rPr>
        <w:tab/>
        <w:t xml:space="preserve">The regulation of emotions is done in numerous ways. People can smoke a cigarette to decrease anxiety, pet their dog after a tiring day, or put on headphones to avoid listening to an unpleasant conversation. ER therefore involves attempting to evoke some kind of increment, decrement or maintenance of the experience of emotions </w:t>
      </w:r>
      <w:r w:rsidR="00B06E70">
        <w:rPr>
          <w:sz w:val="24"/>
          <w:szCs w:val="24"/>
        </w:rPr>
        <w:fldChar w:fldCharType="begin" w:fldLock="1"/>
      </w:r>
      <w:r w:rsidR="008E4EC6">
        <w:rPr>
          <w:sz w:val="24"/>
          <w:szCs w:val="24"/>
        </w:rPr>
        <w:instrText>ADDIN CSL_CITATION { "citationItems" : [ { "id" : "ITEM-1", "itemData" : { "DOI" : "10.1037/a0032135", "ISBN" : "1931-1516", "ISSN" : "1931-1516", "PMID" : "23527510", "abstract" : "The field of emotion regulation has now come of age. However, enthusiasm for the topic continues to outstrip conceptual clarity. In this article, I review the state of the field. I do this by asking-and attempting to succinctly answer-10 fundamental questions concerning emotion regulation, ranging from what emotion regulation is, to why it matters, to how we can change it. I conclude by considering some of the challenges that confront this rapidly growing field. (PsycINFO Database Record (c) 2013 APA, all rights reserved).", "author" : [ { "dropping-particle" : "", "family" : "Gross", "given" : "James J", "non-dropping-particle" : "", "parse-names" : false, "suffix" : "" } ], "container-title" : "Emotion", "id" : "ITEM-1", "issue" : "3", "issued" : { "date-parts" : [ [ "2013" ] ] }, "page" : "359-365", "title" : "Emotion regulation: Taking stock and moving forward", "type" : "article-journal", "volume" : "13" }, "uris" : [ "http://www.mendeley.com/documents/?uuid=f08c25a6-f035-3145-8861-2375635411fa" ] } ], "mendeley" : { "formattedCitation" : "(Gross, 2013)", "manualFormatting" : "(Gross, 2013", "plainTextFormattedCitation" : "(Gross, 2013)", "previouslyFormattedCitation" : "(Gross, 2013)" }, "properties" : { "noteIndex" : 0 }, "schema" : "https://github.com/citation-style-language/schema/raw/master/csl-citation.json" }</w:instrText>
      </w:r>
      <w:r w:rsidR="00B06E70">
        <w:rPr>
          <w:sz w:val="24"/>
          <w:szCs w:val="24"/>
        </w:rPr>
        <w:fldChar w:fldCharType="separate"/>
      </w:r>
      <w:r w:rsidR="005D275E" w:rsidRPr="005D275E">
        <w:rPr>
          <w:noProof/>
          <w:sz w:val="24"/>
          <w:szCs w:val="24"/>
        </w:rPr>
        <w:t>(Gross, 2013</w:t>
      </w:r>
      <w:r w:rsidR="00B06E70">
        <w:rPr>
          <w:sz w:val="24"/>
          <w:szCs w:val="24"/>
        </w:rPr>
        <w:fldChar w:fldCharType="end"/>
      </w:r>
      <w:r w:rsidR="008E4EC6">
        <w:rPr>
          <w:sz w:val="24"/>
          <w:szCs w:val="24"/>
        </w:rPr>
        <w:t>;</w:t>
      </w:r>
      <w:r w:rsidR="00B06E70">
        <w:rPr>
          <w:sz w:val="24"/>
          <w:szCs w:val="24"/>
        </w:rPr>
        <w:fldChar w:fldCharType="begin" w:fldLock="1"/>
      </w:r>
      <w:r w:rsidR="008E4EC6">
        <w:rPr>
          <w:sz w:val="24"/>
          <w:szCs w:val="24"/>
        </w:rPr>
        <w:instrText>ADDIN CSL_CITATION { "citationItems" : [ { "id" : "ITEM-1", "itemData" : { "author" : [ { "dropping-particle" : "", "family" : "Gross", "given" : "James J.", "non-dropping-particle" : "", "parse-names" : false, "suffix" : "" }, { "dropping-particle" : "", "family" : "Thompson", "given" : "R. A.", "non-dropping-particle" : "", "parse-names" : false, "suffix" : "" } ], "container-title" : "Handbook of Emotion Regulation", "id" : "ITEM-1", "issue" : "January 2007", "issued" : { "date-parts" : [ [ "2007" ] ] }, "page" : "3-24", "title" : "Emotion regulation: Conceptual foundations", "type" : "article-journal" }, "uris" : [ "http://www.mendeley.com/documents/?uuid=3fdd5741-e821-40e5-b181-e81743540639" ] } ], "mendeley" : { "formattedCitation" : "(Gross &amp; Thompson, 2007)", "manualFormatting" : " Gross &amp; Thompson, 2007", "plainTextFormattedCitation" : "(Gross &amp; Thompson, 2007)", "previouslyFormattedCitation" : "(Gross &amp; Thompson, 2007)" }, "properties" : { "noteIndex" : 0 }, "schema" : "https://github.com/citation-style-language/schema/raw/master/csl-citation.json" }</w:instrText>
      </w:r>
      <w:r w:rsidR="00B06E70">
        <w:rPr>
          <w:sz w:val="24"/>
          <w:szCs w:val="24"/>
        </w:rPr>
        <w:fldChar w:fldCharType="separate"/>
      </w:r>
      <w:r w:rsidR="008E4EC6">
        <w:rPr>
          <w:noProof/>
          <w:sz w:val="24"/>
          <w:szCs w:val="24"/>
        </w:rPr>
        <w:t xml:space="preserve"> </w:t>
      </w:r>
      <w:r w:rsidR="008E4EC6" w:rsidRPr="008E4EC6">
        <w:rPr>
          <w:noProof/>
          <w:sz w:val="24"/>
          <w:szCs w:val="24"/>
        </w:rPr>
        <w:t>Gross &amp; Thompson, 2007</w:t>
      </w:r>
      <w:r w:rsidR="00B06E70">
        <w:rPr>
          <w:sz w:val="24"/>
          <w:szCs w:val="24"/>
        </w:rPr>
        <w:fldChar w:fldCharType="end"/>
      </w:r>
      <w:r w:rsidR="00B06E70">
        <w:rPr>
          <w:sz w:val="24"/>
          <w:szCs w:val="24"/>
        </w:rPr>
        <w:fldChar w:fldCharType="begin" w:fldLock="1"/>
      </w:r>
      <w:r w:rsidR="008E4EC6">
        <w:rPr>
          <w:sz w:val="24"/>
          <w:szCs w:val="24"/>
        </w:rPr>
        <w:instrText>ADDIN CSL_CITATION { "citationItems" : [ { "id" : "ITEM-1", "itemData" : { "ISBN" : "1593851480   9781593851484", "author" : [ { "dropping-particle" : "", "family" : "James J. Gross", "given" : "", "non-dropping-particle" : "", "parse-names" : false, "suffix" : "" }, { "dropping-particle" : "", "family" : "Ross A. Thompson", "given" : "", "non-dropping-particle" : "", "parse-names" : false, "suffix" : "" } ], "chapter-number" : "1", "container-title" : "Handbook of Emotion Regulation", "editor" : [ { "dropping-particle" : "", "family" : "James J Gross", "given" : "", "non-dropping-particle" : "", "parse-names" : false, "suffix" : "" } ], "id" : "ITEM-1", "issued" : { "date-parts" : [ [ "2007" ] ] }, "page" : "3-24", "publisher" : "Guilford Press", "publisher-place" : "New York", "title" : "Emotion regulation: Conceptual foundations", "type" : "chapter" }, "uris" : [ "http://www.mendeley.com/documents/?uuid=945f95d5-a378-33c7-b72c-f48cca848105" ] }, { "id" : "ITEM-2", "itemData" : { "DOI" : "10.1080/02699930802619031", "ISBN" : "0269-9931", "ISSN" : "0269-9931", "PMID" : "35772160", "abstract" : "The present article reviews modern research on the psychology of emotion regulation. Emotion regulation determines the offset of emotional responding and is thus distinct from emotional sensitivity, which determines the onset of emotional responding. Among the most viable categories for classifying emotion-regulation strategies are the targets and functions of emotion regulation. The emotion-generating systems that are targeted in emotion regulation include attention, knowledge, and bodily responses. The functions of emotion regulation include satisfying hedonic needs, supporting specific goal pursuits, and facilitating the global personality system. Emotion-regulation strategies are classified in terms of their targets and functions and relevant empirical work is reviewed. Throughout this review, emotion regulation emerges as one of the most far-ranging and influential processes at the interface of cognition and emotion.", "author" : [ { "dropping-particle" : "", "family" : "Koole", "given" : "Sander L", "non-dropping-particle" : "", "parse-names" : false, "suffix" : "" } ], "container-title" : "Cognition &amp; Emotion", "id" : "ITEM-2", "issue" : "1", "issued" : { "date-parts" : [ [ "2009" ] ] }, "page" : "4-41", "title" : "The psychology of emotion regulation: An integrative review", "type" : "article-journal", "volume" : "23" }, "uris" : [ "http://www.mendeley.com/documents/?uuid=2765591b-72cd-392a-96cf-2b00e6218bef" ] } ], "mendeley" : { "formattedCitation" : "(James J. Gross &amp; Ross A. Thompson, 2007; Koole, 2009)", "manualFormatting" : "; Koole, 2009)", "plainTextFormattedCitation" : "(James J. Gross &amp; Ross A. Thompson, 2007; Koole, 2009)", "previouslyFormattedCitation" : "(James J. Gross &amp; Ross A. Thompson, 2007; Koole, 2009)" }, "properties" : { "noteIndex" : 0 }, "schema" : "https://github.com/citation-style-language/schema/raw/master/csl-citation.json" }</w:instrText>
      </w:r>
      <w:r w:rsidR="00B06E70">
        <w:rPr>
          <w:sz w:val="24"/>
          <w:szCs w:val="24"/>
        </w:rPr>
        <w:fldChar w:fldCharType="separate"/>
      </w:r>
      <w:r w:rsidR="005D275E" w:rsidRPr="005D275E">
        <w:rPr>
          <w:noProof/>
          <w:sz w:val="24"/>
          <w:szCs w:val="24"/>
        </w:rPr>
        <w:t>; Koole, 2009)</w:t>
      </w:r>
      <w:r w:rsidR="00B06E70">
        <w:rPr>
          <w:sz w:val="24"/>
          <w:szCs w:val="24"/>
        </w:rPr>
        <w:fldChar w:fldCharType="end"/>
      </w:r>
      <w:r w:rsidR="005D275E">
        <w:rPr>
          <w:sz w:val="24"/>
          <w:szCs w:val="24"/>
        </w:rPr>
        <w:t>.</w:t>
      </w:r>
      <w:r w:rsidRPr="00D05EBD">
        <w:rPr>
          <w:sz w:val="24"/>
          <w:szCs w:val="24"/>
        </w:rPr>
        <w:t xml:space="preserve"> In this thesis the decrement of </w:t>
      </w:r>
      <w:r w:rsidRPr="00D05EBD">
        <w:rPr>
          <w:sz w:val="24"/>
          <w:szCs w:val="24"/>
        </w:rPr>
        <w:lastRenderedPageBreak/>
        <w:t xml:space="preserve">negative and positive emotions will be referred to as down-regulation of negative and positive emotions respectively (e.g. watching a comedy program to feel better or breathing deeply and slowly to avoid laughing out loud in an inappropriate situation). The increment of negative and positive emotions will be referred to as up-regulation of negative and positive emotions respectively (e.g. over criticising oneself for a committed mistake or buying a desired item as a reward for an accomplished goal). When ER is aimed at worsening (making feel bad) the emotions of a person it will be referred as worsening ER, while enhancing ER (making the person feel good) will be referred as improving ER. </w:t>
      </w:r>
    </w:p>
    <w:p w:rsidR="00FB1389" w:rsidRPr="00D05EBD" w:rsidRDefault="00FB1389" w:rsidP="00AE640B">
      <w:pPr>
        <w:spacing w:line="480" w:lineRule="auto"/>
        <w:jc w:val="both"/>
        <w:rPr>
          <w:sz w:val="24"/>
          <w:szCs w:val="24"/>
        </w:rPr>
      </w:pPr>
      <w:r w:rsidRPr="00D05EBD">
        <w:rPr>
          <w:sz w:val="24"/>
          <w:szCs w:val="24"/>
        </w:rPr>
        <w:tab/>
        <w:t xml:space="preserve"> When people experience an emotion as negative, it is likely they will try to down-regulate it</w:t>
      </w:r>
      <w:r w:rsidR="004357F1">
        <w:rPr>
          <w:sz w:val="24"/>
          <w:szCs w:val="24"/>
        </w:rPr>
        <w:t xml:space="preserve"> </w:t>
      </w:r>
      <w:r w:rsidR="00B06E70">
        <w:rPr>
          <w:sz w:val="24"/>
          <w:szCs w:val="24"/>
        </w:rPr>
        <w:fldChar w:fldCharType="begin" w:fldLock="1"/>
      </w:r>
      <w:r w:rsidR="000E40CD">
        <w:rPr>
          <w:sz w:val="24"/>
          <w:szCs w:val="24"/>
        </w:rPr>
        <w:instrText>ADDIN CSL_CITATION { "citationItems" : [ { "id" : "ITEM-1", "itemData" : { "ISBN" : "978-1-59147-394-7", "abstract" : "1st ed. Annotation An edited book that addresses critical theoretical and methodological issues in the rapidly advancing field of emotion regulation. It presents empirical findings linking emotion regulation to individual and relationship functioning across the life span, while providing implications for clinical intervention, public policy, and future research. Contributors?who are nationally and internationally recognized for their expertise in social, developmental, and clinical disciplines?offer diverse perspectives on the role of emotion regulation processes in dysfunction and health. In addition to advancing the latest empirical developments, this volume will also be a prime resource for graduate students and practitioners working with children, couples, and families for whom emotion regulation difficulties are targets of clinical intervention. Introduction : cross-disciplinary approaches to emotion regulation / Jeffry A. Simpson, Jan N. Hughes, and Douglas K. Snyder -- Emotion regulation in everyday life / James J. Gross, Jane M. Richards, and Oliver P. John -- Emotional intelligence and the self-regulation of affect / Daisy Grewal, Mark Brackett, and Peter Salovey -- Adult attachment theory and affective reactivity and regulation / Paula R. Pietromonaco, Lisa Feldman Barrett, and Sally I Powers -- Attachment bases of emotion regulation and posttraumatic adjustment / Mario Mikulincer, Phillip R. Shaver, and Neta Horesh -- Happy victimization : emotion dysregulation in the context of instrumental, proactive aggression / William F. Arsenio -- Parenting and children's adjustment : the role of children's emotion regulation / Carlos Valiente and Nancy Eisenberg -- Family and peer relationships : the role of emotional regulatory processes / Ross D. Parke [and others] -- Marital discord and children's emotional self-regulation / E. Mark Cummings and Peggy S. Keller -- Individual differences in emotion regulation and their relation to risk-taking during adolescence / M. Lynne Cooper [and others] -- Emotion regulation processes in disease-related pain : a couples-based perspective / Francis J. Keefe, Laura S. Porter, and Jeffrey Labban -- Promoting emotional expression and emotion regulation in couples / Rhonda N. Goldman and Leslie S. Greenberg -- Intervening with couples and families to treat emotion dysregulation and psychopathology / Alan E. Fruzzetti and Katherine M. Iverson -- Who took my hot sauce? Regulating emotion in the context of family routin\u2026", "author" : [ { "dropping-particle" : "", "family" : "Gross", "given" : "James J.", "non-dropping-particle" : "", "parse-names" : false, "suffix" : "" }, { "dropping-particle" : "", "family" : "Richards", "given" : "Jane M.", "non-dropping-particle" : "", "parse-names" : false, "suffix" : "" }, { "dropping-particle" : "", "family" : "John", "given" : "Oliver P.", "non-dropping-particle" : "", "parse-names" : false, "suffix" : "" } ], "editor" : [ { "dropping-particle" : "", "family" : "Snyder", "given" : "D K", "non-dropping-particle" : "", "parse-names" : false, "suffix" : "" }, { "dropping-particle" : "", "family" : "Simpson", "given" : "J A", "non-dropping-particle" : "", "parse-names" : false, "suffix" : "" }, { "dropping-particle" : "", "family" : "Hughes", "given" : "J N", "non-dropping-particle" : "", "parse-names" : false, "suffix" : "" } ], "id" : "ITEM-1", "issued" : { "date-parts" : [ [ "2006" ] ] }, "page" : "13-35", "publisher" : "American Psychological Association", "publisher-place" : "Washington DC", "title" : "Emotion Regulation in Couples and Families: Pathways to Dysfunction and Health", "type" : "chapter" }, "uris" : [ "http://www.mendeley.com/documents/?uuid=4165c28c-a780-3b2d-8081-4d449157e336" ] } ], "mendeley" : { "formattedCitation" : "(Gross, Richards, &amp; John, 2006)", "plainTextFormattedCitation" : "(Gross, Richards, &amp; John, 2006)", "previouslyFormattedCitation" : "(Gross, Richards, &amp; John, 2006)" }, "properties" : { "noteIndex" : 0 }, "schema" : "https://github.com/citation-style-language/schema/raw/master/csl-citation.json" }</w:instrText>
      </w:r>
      <w:r w:rsidR="00B06E70">
        <w:rPr>
          <w:sz w:val="24"/>
          <w:szCs w:val="24"/>
        </w:rPr>
        <w:fldChar w:fldCharType="separate"/>
      </w:r>
      <w:r w:rsidR="00C707EB" w:rsidRPr="00C707EB">
        <w:rPr>
          <w:noProof/>
          <w:sz w:val="24"/>
          <w:szCs w:val="24"/>
        </w:rPr>
        <w:t>(Gross, Richards, &amp; John, 2006)</w:t>
      </w:r>
      <w:r w:rsidR="00B06E70">
        <w:rPr>
          <w:sz w:val="24"/>
          <w:szCs w:val="24"/>
        </w:rPr>
        <w:fldChar w:fldCharType="end"/>
      </w:r>
      <w:r w:rsidR="00C707EB">
        <w:rPr>
          <w:sz w:val="24"/>
          <w:szCs w:val="24"/>
        </w:rPr>
        <w:t>,</w:t>
      </w:r>
      <w:r w:rsidRPr="00D05EBD">
        <w:rPr>
          <w:sz w:val="24"/>
          <w:szCs w:val="24"/>
        </w:rPr>
        <w:t xml:space="preserve"> but sometimes people maintain negative states, especially during psychopathological processes such as depression. For example, </w:t>
      </w:r>
      <w:r w:rsidR="00B06E70">
        <w:rPr>
          <w:sz w:val="24"/>
          <w:szCs w:val="24"/>
        </w:rPr>
        <w:fldChar w:fldCharType="begin" w:fldLock="1"/>
      </w:r>
      <w:r w:rsidR="00084AAA">
        <w:rPr>
          <w:sz w:val="24"/>
          <w:szCs w:val="24"/>
        </w:rPr>
        <w:instrText>ADDIN CSL_CITATION { "citationItems" : [ { "id" : "ITEM-1", "itemData" : { "DOI" : "10.1037/0021-843X.109.3.504", "ISBN" : "0021-843X", "ISSN" : "0021-843X", "PMID" : "11016119", "abstract" : "Several studies have shown that people who engage in ruminative responses to depressive symptoms have higher levels of depressive symptoms over time, after accounting for baseline levels of depressive symptoms. The analyses reported here showed that rumination also predicted depressive disorders, including new onsets of depressive episodes. Rumination predicted chronicity of depressive disorders before accounting for the effects of baseline depressive symptoms but not after accounting for the effects of baseline depressive symptoms. Rumination also predicted anxiety symptoms and may be particularly characteristic of people with mixed anxiety/depressive symptoms.", "author" : [ { "dropping-particle" : "", "family" : "Nolen-Hoeksema", "given" : "Susan", "non-dropping-particle" : "", "parse-names" : false, "suffix" : "" } ], "container-title" : "Journal of abnormal psychology", "id" : "ITEM-1", "issue" : "3", "issued" : { "date-parts" : [ [ "2000" ] ] }, "page" : "504-11", "title" : "The role of rumination in depressive disorders and mixed anxiety/depressive symptoms.", "type" : "article-journal", "volume" : "109" }, "uris" : [ "http://www.mendeley.com/documents/?uuid=b2339158-5cdc-3970-9782-ce64f09bfe7d" ] } ], "mendeley" : { "formattedCitation" : "(Nolen-Hoeksema, 2000)", "plainTextFormattedCitation" : "(Nolen-Hoeksema, 2000)", "previouslyFormattedCitation" : "(Nolen-Hoeksema, 2000)" }, "properties" : { "noteIndex" : 0 }, "schema" : "https://github.com/citation-style-language/schema/raw/master/csl-citation.json" }</w:instrText>
      </w:r>
      <w:r w:rsidR="00B06E70">
        <w:rPr>
          <w:sz w:val="24"/>
          <w:szCs w:val="24"/>
        </w:rPr>
        <w:fldChar w:fldCharType="separate"/>
      </w:r>
      <w:r w:rsidR="00084AAA" w:rsidRPr="00084AAA">
        <w:rPr>
          <w:noProof/>
          <w:sz w:val="24"/>
          <w:szCs w:val="24"/>
        </w:rPr>
        <w:t>(Nolen-Hoeksema, 2000)</w:t>
      </w:r>
      <w:r w:rsidR="00B06E70">
        <w:rPr>
          <w:sz w:val="24"/>
          <w:szCs w:val="24"/>
        </w:rPr>
        <w:fldChar w:fldCharType="end"/>
      </w:r>
      <w:r w:rsidRPr="00D05EBD">
        <w:rPr>
          <w:sz w:val="24"/>
          <w:szCs w:val="24"/>
        </w:rPr>
        <w:t xml:space="preserve"> reported rumination (which refers to</w:t>
      </w:r>
      <w:r w:rsidR="00A41BE2">
        <w:rPr>
          <w:sz w:val="24"/>
          <w:szCs w:val="24"/>
        </w:rPr>
        <w:t xml:space="preserve"> the</w:t>
      </w:r>
      <w:r w:rsidRPr="00D05EBD">
        <w:rPr>
          <w:sz w:val="24"/>
          <w:szCs w:val="24"/>
        </w:rPr>
        <w:t xml:space="preserve"> persistent thinking and attention to the symptoms of one's distress) to be a predictor of depressive disorders. Increments in emotional responses have also been explored. For example,</w:t>
      </w:r>
      <w:r w:rsidR="00084AAA">
        <w:rPr>
          <w:sz w:val="24"/>
          <w:szCs w:val="24"/>
        </w:rPr>
        <w:t xml:space="preserve"> </w:t>
      </w:r>
      <w:r w:rsidR="00B06E70">
        <w:rPr>
          <w:sz w:val="24"/>
          <w:szCs w:val="24"/>
        </w:rPr>
        <w:fldChar w:fldCharType="begin" w:fldLock="1"/>
      </w:r>
      <w:r w:rsidR="00084AAA">
        <w:rPr>
          <w:sz w:val="24"/>
          <w:szCs w:val="24"/>
        </w:rPr>
        <w:instrText>ADDIN CSL_CITATION { "citationItems" : [ { "id" : "ITEM-1", "itemData" : { "DOI" : "10.1016/j.jesp.2005.02.005", "ISBN" : "0022-1031", "ISSN" : "00221031", "PMID" : "23175", "abstract" : "Suppressing or inhibiting responses has a host of negative effects, including a temporary reduction in self-regulatory strength (ego depletion). Less attention has been given to response exaggeration, which should also deplete regulatory strength and therefore disrupt subsequent self-control. We tested the depletion hypothesis by having participants perform tests of cognitive fluency after exaggerating responses (or not) to a disgusting film clip. Response exaggeration produced increased emotional expression but did not increase subjective emotional experience. Moreover, exaggerating disgust reactions impaired subsequent performance on tests of cognitive fluency. The cognitive aftereffects of exaggeration were not attributable to emotional experience or to changes in sympathetic or parasympathetic arousal (as indicated by skin conductance and heart rate variability high frequency power, respectively). Poorer cognitive fluency after response exaggeration indicates a detrimental effect of purposeful self-regulation. \u00a9 2005 Elsevier Inc. All rights reserved.", "author" : [ { "dropping-particle" : "", "family" : "Schmeichel", "given" : "Brandon J.", "non-dropping-particle" : "", "parse-names" : false, "suffix" : "" }, { "dropping-particle" : "", "family" : "Demaree", "given" : "Heath A.", "non-dropping-particle" : "", "parse-names" : false, "suffix" : "" }, { "dropping-particle" : "", "family" : "Robinson", "given" : "Jennifer L.", "non-dropping-particle" : "", "parse-names" : false, "suffix" : "" }, { "dropping-particle" : "", "family" : "Pu", "given" : "Jie", "non-dropping-particle" : "", "parse-names" : false, "suffix" : "" } ], "container-title" : "Journal of Experimental Social Psychology", "id" : "ITEM-1", "issue" : "1", "issued" : { "date-parts" : [ [ "2006" ] ] }, "page" : "95-102", "title" : "Ego depletion by response exaggeration", "type" : "article-journal", "volume" : "42" }, "uris" : [ "http://www.mendeley.com/documents/?uuid=c872d6e7-610d-3462-8ccc-8e66eae420d4" ] } ], "mendeley" : { "formattedCitation" : "(Schmeichel, Demaree, Robinson, &amp; Pu, 2006)", "manualFormatting" : "Schmeichel, Demaree, Robinson, and Pu (2006)", "plainTextFormattedCitation" : "(Schmeichel, Demaree, Robinson, &amp; Pu, 2006)", "previouslyFormattedCitation" : "(Schmeichel, Demaree, Robinson, &amp; Pu, 2006)" }, "properties" : { "noteIndex" : 0 }, "schema" : "https://github.com/citation-style-language/schema/raw/master/csl-citation.json" }</w:instrText>
      </w:r>
      <w:r w:rsidR="00B06E70">
        <w:rPr>
          <w:sz w:val="24"/>
          <w:szCs w:val="24"/>
        </w:rPr>
        <w:fldChar w:fldCharType="separate"/>
      </w:r>
      <w:r w:rsidR="00084AAA" w:rsidRPr="00084AAA">
        <w:rPr>
          <w:noProof/>
          <w:sz w:val="24"/>
          <w:szCs w:val="24"/>
        </w:rPr>
        <w:t>Schm</w:t>
      </w:r>
      <w:r w:rsidR="00084AAA">
        <w:rPr>
          <w:noProof/>
          <w:sz w:val="24"/>
          <w:szCs w:val="24"/>
        </w:rPr>
        <w:t>eichel, Demaree, Robinson, and Pu</w:t>
      </w:r>
      <w:r w:rsidR="00084AAA" w:rsidRPr="00084AAA">
        <w:rPr>
          <w:noProof/>
          <w:sz w:val="24"/>
          <w:szCs w:val="24"/>
        </w:rPr>
        <w:t xml:space="preserve"> </w:t>
      </w:r>
      <w:r w:rsidR="00084AAA">
        <w:rPr>
          <w:noProof/>
          <w:sz w:val="24"/>
          <w:szCs w:val="24"/>
        </w:rPr>
        <w:t>(</w:t>
      </w:r>
      <w:r w:rsidR="00084AAA" w:rsidRPr="00084AAA">
        <w:rPr>
          <w:noProof/>
          <w:sz w:val="24"/>
          <w:szCs w:val="24"/>
        </w:rPr>
        <w:t>2006)</w:t>
      </w:r>
      <w:r w:rsidR="00B06E70">
        <w:rPr>
          <w:sz w:val="24"/>
          <w:szCs w:val="24"/>
        </w:rPr>
        <w:fldChar w:fldCharType="end"/>
      </w:r>
      <w:r w:rsidRPr="00D05EBD">
        <w:rPr>
          <w:sz w:val="24"/>
          <w:szCs w:val="24"/>
        </w:rPr>
        <w:t xml:space="preserve"> manipulated the disgust reactions of people watching a disgust-inducing film clip. They asked participants to exaggerate their disgust and noticed that such exaggeration caused participants to reduce their cognitive fluency (as measured by their verbal fluency).</w:t>
      </w:r>
    </w:p>
    <w:p w:rsidR="00FB1389" w:rsidRPr="00D05EBD" w:rsidRDefault="00FB1389" w:rsidP="00AE640B">
      <w:pPr>
        <w:spacing w:line="480" w:lineRule="auto"/>
        <w:jc w:val="both"/>
        <w:rPr>
          <w:sz w:val="24"/>
          <w:szCs w:val="24"/>
        </w:rPr>
      </w:pPr>
      <w:r w:rsidRPr="00D05EBD">
        <w:rPr>
          <w:sz w:val="24"/>
          <w:szCs w:val="24"/>
        </w:rPr>
        <w:tab/>
        <w:t xml:space="preserve">Increments, maintenance and decrements of the emotion experience can be achieved using a wide number of strategies. Some example strategies that are aimed at up-regulating and/or down-regulating positive emotions include </w:t>
      </w:r>
      <w:proofErr w:type="spellStart"/>
      <w:r w:rsidRPr="00D05EBD">
        <w:rPr>
          <w:i/>
          <w:sz w:val="24"/>
          <w:szCs w:val="24"/>
        </w:rPr>
        <w:t>savoring</w:t>
      </w:r>
      <w:proofErr w:type="spellEnd"/>
      <w:r w:rsidRPr="00D05EBD">
        <w:rPr>
          <w:sz w:val="24"/>
          <w:szCs w:val="24"/>
        </w:rPr>
        <w:t xml:space="preserve"> which refers to focusing on positive aspects of the past, future or present to maintain and/or up-</w:t>
      </w:r>
      <w:r w:rsidRPr="00D05EBD">
        <w:rPr>
          <w:sz w:val="24"/>
          <w:szCs w:val="24"/>
        </w:rPr>
        <w:lastRenderedPageBreak/>
        <w:t xml:space="preserve">regulate positive emotions; </w:t>
      </w:r>
      <w:r w:rsidRPr="00D05EBD">
        <w:rPr>
          <w:i/>
          <w:sz w:val="24"/>
          <w:szCs w:val="24"/>
        </w:rPr>
        <w:t>capitalising</w:t>
      </w:r>
      <w:r w:rsidRPr="00D05EBD">
        <w:rPr>
          <w:sz w:val="24"/>
          <w:szCs w:val="24"/>
        </w:rPr>
        <w:t xml:space="preserve"> which refers to strategies used to up-regulate positive emotion such a celebrating and sharing; or </w:t>
      </w:r>
      <w:r w:rsidRPr="00D05EBD">
        <w:rPr>
          <w:i/>
          <w:sz w:val="24"/>
          <w:szCs w:val="24"/>
        </w:rPr>
        <w:t>dampening,</w:t>
      </w:r>
      <w:r w:rsidRPr="00D05EBD">
        <w:rPr>
          <w:sz w:val="24"/>
          <w:szCs w:val="24"/>
        </w:rPr>
        <w:t xml:space="preserve"> which refers to focusing on negative thoughts to down-regulate positive affect </w:t>
      </w:r>
      <w:r w:rsidR="00B06E70" w:rsidRPr="00084AAA">
        <w:rPr>
          <w:sz w:val="24"/>
          <w:szCs w:val="24"/>
        </w:rPr>
        <w:fldChar w:fldCharType="begin" w:fldLock="1"/>
      </w:r>
      <w:r w:rsidR="00084AAA">
        <w:rPr>
          <w:sz w:val="24"/>
          <w:szCs w:val="24"/>
        </w:rPr>
        <w:instrText>ADDIN CSL_CITATION { "citationItems" : [ { "id" : "ITEM-1", "itemData" : { "DOI" : "10.1016/j.cpr.2013.01.003", "ISBN" : "0272-7358", "ISSN" : "02727358", "PMID" : "23399829", "abstract" : "Conceptualizations of emotion regulation have led to the identification of cognitive and behavioral regulatory abnormalities that contribute to the development and maintenance of emotional disorders. However, existing research on emotion regulation in anxiety and mood disorders has primarily focused on the regulation of negative emotions rather than positive emotions. Recent findings indicate that disturbances in positive emotion regulation occur across emotional disorders, and may be a generative target for treatment research. The aims of this paper are to: 1. Present a transdiagnostic model of positive emotion disturbances in emotional disorders; 2. Review evidence for disturbances in positive emotion regulation in emotional disorders across categories of emotion regulation; and 3. Propose treatment strategies that may address these disturbances. ?? 2013 Elsevier Ltd.", "author" : [ { "dropping-particle" : "", "family" : "Carl", "given" : "Jenna R.", "non-dropping-particle" : "", "parse-names" : false, "suffix" : "" }, { "dropping-particle" : "", "family" : "Soskin", "given" : "David P.", "non-dropping-particle" : "", "parse-names" : false, "suffix" : "" }, { "dropping-particle" : "", "family" : "Kerns", "given" : "Caroline", "non-dropping-particle" : "", "parse-names" : false, "suffix" : "" }, { "dropping-particle" : "", "family" : "Barlow", "given" : "David H.", "non-dropping-particle" : "", "parse-names" : false, "suffix" : "" } ], "container-title" : "Clinical Psychology Review", "id" : "ITEM-1", "issue" : "3", "issued" : { "date-parts" : [ [ "2013" ] ] }, "page" : "343-360", "title" : "Positive emotion regulation in emotional disorders: A theoretical review", "type" : "article", "volume" : "33" }, "uris" : [ "http://www.mendeley.com/documents/?uuid=b6891568-b1cf-30c5-9f73-b14a36966603" ] } ], "mendeley" : { "formattedCitation" : "(Carl, Soskin, Kerns, &amp; Barlow, 2013)", "plainTextFormattedCitation" : "(Carl, Soskin, Kerns, &amp; Barlow, 2013)", "previouslyFormattedCitation" : "(Carl, Soskin, Kerns, &amp; Barlow, 2013)" }, "properties" : { "noteIndex" : 0 }, "schema" : "https://github.com/citation-style-language/schema/raw/master/csl-citation.json" }</w:instrText>
      </w:r>
      <w:r w:rsidR="00B06E70" w:rsidRPr="00084AAA">
        <w:rPr>
          <w:sz w:val="24"/>
          <w:szCs w:val="24"/>
        </w:rPr>
        <w:fldChar w:fldCharType="separate"/>
      </w:r>
      <w:r w:rsidR="00084AAA" w:rsidRPr="00084AAA">
        <w:rPr>
          <w:noProof/>
          <w:sz w:val="24"/>
          <w:szCs w:val="24"/>
        </w:rPr>
        <w:t>(Carl, Soskin, Kerns, &amp; Barlow, 2013)</w:t>
      </w:r>
      <w:r w:rsidR="00B06E70" w:rsidRPr="00084AAA">
        <w:rPr>
          <w:sz w:val="24"/>
          <w:szCs w:val="24"/>
        </w:rPr>
        <w:fldChar w:fldCharType="end"/>
      </w:r>
      <w:r w:rsidRPr="00D05EBD">
        <w:rPr>
          <w:sz w:val="24"/>
          <w:szCs w:val="24"/>
        </w:rPr>
        <w:t xml:space="preserve">. On the other hand, </w:t>
      </w:r>
      <w:r w:rsidRPr="00D05EBD">
        <w:rPr>
          <w:i/>
          <w:sz w:val="24"/>
          <w:szCs w:val="24"/>
        </w:rPr>
        <w:t>rumination</w:t>
      </w:r>
      <w:r w:rsidRPr="00D05EBD">
        <w:rPr>
          <w:sz w:val="24"/>
          <w:szCs w:val="24"/>
        </w:rPr>
        <w:t xml:space="preserve"> is an example of an ER strategy aimed at up-regulating or maintaining negative emotions </w:t>
      </w:r>
      <w:r w:rsidR="00B06E70">
        <w:rPr>
          <w:sz w:val="24"/>
          <w:szCs w:val="24"/>
        </w:rPr>
        <w:fldChar w:fldCharType="begin" w:fldLock="1"/>
      </w:r>
      <w:r w:rsidR="00084AAA">
        <w:rPr>
          <w:sz w:val="24"/>
          <w:szCs w:val="24"/>
        </w:rPr>
        <w:instrText>ADDIN CSL_CITATION { "citationItems" : [ { "id" : "ITEM-1", "itemData" : { "DOI" : "10.1111/j.1745-6924.2008.00088.x", "ISBN" : "1745-6916", "ISSN" : "17456916", "PMID" : "10811399258397486748", "abstract" : "The response styles theory (Nolen-Hoeksema, 1991) was proposed to explain the insidious relationship between rumination and depression.We review the aspects of the response styles theory that have been well-sup- ported, including evidence that rumination exacerbates depression, enhances negative thinking, impairs problem solving, interferes with instrumental behavior, and erodes social support. Next, we address contradictory and new findings. Specifically, rumination appears to more consis- tently predict the onset of depression rather than the du- ration, but rumination interacts with negative cognitive styles to predict the duration of depressive symptoms. Contrary to original predictions, the use of positive dis- tractions has not consistently been correlated with lower levels of depressive symptoms in correlational studies, al- though dozens of experimental studies show positive dis- tractions relieve depressed mood. Further, evidence now suggests that rumination is associated with psychopa- thologies in addition to depression, including anxiety, binge eating, binge drinking, and self-harm.We discuss the relationships between rumination and worry and between rumination and other coping or emotion-regulation strategies. Finally, we highlight recent research on the distinction between rumination and more adaptive forms of self-reflection, on basic cognitive deficits or biases in rumination, on its neural and genetic correlates, and on possible interventions to combat rumination.", "author" : [ { "dropping-particle" : "", "family" : "Nolen-Hoeksema", "given" : "Susan", "non-dropping-particle" : "", "parse-names" : false, "suffix" : "" }, { "dropping-particle" : "", "family" : "Wisco", "given" : "Blair E.", "non-dropping-particle" : "", "parse-names" : false, "suffix" : "" }, { "dropping-particle" : "", "family" : "Lyubomirsky", "given" : "Sonja", "non-dropping-particle" : "", "parse-names" : false, "suffix" : "" } ], "container-title" : "Perspectives on Psychological Science", "id" : "ITEM-1", "issue" : "5", "issued" : { "date-parts" : [ [ "2008" ] ] }, "page" : "400-424", "title" : "Rethinking Rumination", "type" : "article-journal", "volume" : "3" }, "uris" : [ "http://www.mendeley.com/documents/?uuid=873c9c8b-e8c2-4a87-b096-e6581cbdd86b" ] } ], "mendeley" : { "formattedCitation" : "(Nolen-Hoeksema, Wisco, &amp; Lyubomirsky, 2008)", "plainTextFormattedCitation" : "(Nolen-Hoeksema, Wisco, &amp; Lyubomirsky, 2008)", "previouslyFormattedCitation" : "(Nolen-Hoeksema, Wisco, &amp; Lyubomirsky, 2008)" }, "properties" : { "noteIndex" : 0 }, "schema" : "https://github.com/citation-style-language/schema/raw/master/csl-citation.json" }</w:instrText>
      </w:r>
      <w:r w:rsidR="00B06E70">
        <w:rPr>
          <w:sz w:val="24"/>
          <w:szCs w:val="24"/>
        </w:rPr>
        <w:fldChar w:fldCharType="separate"/>
      </w:r>
      <w:r w:rsidR="00084AAA" w:rsidRPr="00084AAA">
        <w:rPr>
          <w:noProof/>
          <w:sz w:val="24"/>
          <w:szCs w:val="24"/>
        </w:rPr>
        <w:t>(Nolen-Hoeksema, Wisco, &amp; Lyubomirsky, 2008)</w:t>
      </w:r>
      <w:r w:rsidR="00B06E70">
        <w:rPr>
          <w:sz w:val="24"/>
          <w:szCs w:val="24"/>
        </w:rPr>
        <w:fldChar w:fldCharType="end"/>
      </w:r>
      <w:r w:rsidRPr="00D05EBD">
        <w:rPr>
          <w:sz w:val="24"/>
          <w:szCs w:val="24"/>
        </w:rPr>
        <w:t xml:space="preserve">. Most ER strategies however do not exclusively serve the increment or decrement of positive or negative emotions. For example, </w:t>
      </w:r>
      <w:r w:rsidRPr="00D05EBD">
        <w:rPr>
          <w:i/>
          <w:sz w:val="24"/>
          <w:szCs w:val="24"/>
        </w:rPr>
        <w:t>reappraisal</w:t>
      </w:r>
      <w:r w:rsidRPr="00D05EBD">
        <w:rPr>
          <w:sz w:val="24"/>
          <w:szCs w:val="24"/>
        </w:rPr>
        <w:t xml:space="preserve"> or changing the way one thinks about a potentially emotional-eliciting event (e.g. thinking of talking in public as a rehearsal instead of the real event in order to decrease anxiety) can be used either to improve one's affect or to worsen </w:t>
      </w:r>
      <w:r w:rsidRPr="00084AAA">
        <w:rPr>
          <w:sz w:val="24"/>
          <w:szCs w:val="24"/>
        </w:rPr>
        <w:t xml:space="preserve">one's affect </w:t>
      </w:r>
      <w:r w:rsidR="00B06E70" w:rsidRPr="00084AAA">
        <w:rPr>
          <w:sz w:val="24"/>
          <w:szCs w:val="24"/>
        </w:rPr>
        <w:fldChar w:fldCharType="begin" w:fldLock="1"/>
      </w:r>
      <w:r w:rsidR="00291E63">
        <w:rPr>
          <w:sz w:val="24"/>
          <w:szCs w:val="24"/>
        </w:rPr>
        <w:instrText>ADDIN CSL_CITATION { "citationItems" : [ { "id" : "ITEM-1", "itemData" : { "DOI" : "10.1037/a0035249", "ISBN" : "1528-3542", "ISSN" : "1931-1516", "PMID" : "24364852", "abstract" : "Bipolar disorder involves difficulties with emotion regulation, yet the precise nature of these emotion regulatory difficulties is unclear. The current study examined whether individuals with remitted bipolar I disorder (n = 23) and healthy controls (n = 23) differ in their ability to use one effective and common form of emotion regulation, cognitive reappraisal. Positive, negative, and neutral films were used to elicit emotion, and participants were cued to watch the film carefully (i.e., uninstructed condition) or reappraise while measures of affect, behavior, and psychophysiology were obtained. Results showed that reappraisal was associated with reductions in emotion reactivity across subjective (i.e., positive and negative affect), behavioral (i.e., positive facial displays), and physiological (i.e., skin conductance) response domains across all participants. Results suggest that reappraisal may be an effective regulation strategy for both negative and positive emotion across both healthy adults and individuals with bipolar disorder. Discussion focuses on clinical and treatment implications for bipolar disorder. (PsycINFO Database Record (c) 2014 APA, all rights reserved).", "author" : [ { "dropping-particle" : "", "family" : "Gruber", "given" : "June", "non-dropping-particle" : "", "parse-names" : false, "suffix" : "" }, { "dropping-particle" : "", "family" : "Hay", "given" : "Aleena C", "non-dropping-particle" : "", "parse-names" : false, "suffix" : "" }, { "dropping-particle" : "", "family" : "Gross", "given" : "James J", "non-dropping-particle" : "", "parse-names" : false, "suffix" : "" } ], "container-title" : "Emotion", "id" : "ITEM-1", "issue" : "2", "issued" : { "date-parts" : [ [ "2014" ] ] }, "page" : "388-96", "title" : "Rethinking emotion: Cognitive reappraisal is an effective positive and negative emotion regulation strategy in bipolar disorder.", "type" : "article-journal", "volume" : "14" }, "uris" : [ "http://www.mendeley.com/documents/?uuid=10a938f4-7d40-4221-a86d-1c4ad76c8c81" ] } ], "mendeley" : { "formattedCitation" : "(Gruber, Hay, &amp; Gross, 2014)", "plainTextFormattedCitation" : "(Gruber, Hay, &amp; Gross, 2014)", "previouslyFormattedCitation" : "(Gruber, Hay, &amp; Gross, 2014)" }, "properties" : { "noteIndex" : 0 }, "schema" : "https://github.com/citation-style-language/schema/raw/master/csl-citation.json" }</w:instrText>
      </w:r>
      <w:r w:rsidR="00B06E70" w:rsidRPr="00084AAA">
        <w:rPr>
          <w:sz w:val="24"/>
          <w:szCs w:val="24"/>
        </w:rPr>
        <w:fldChar w:fldCharType="separate"/>
      </w:r>
      <w:r w:rsidR="00084AAA" w:rsidRPr="00084AAA">
        <w:rPr>
          <w:noProof/>
          <w:sz w:val="24"/>
          <w:szCs w:val="24"/>
        </w:rPr>
        <w:t>(Gruber, Hay, &amp; Gross, 2014)</w:t>
      </w:r>
      <w:r w:rsidR="00B06E70" w:rsidRPr="00084AAA">
        <w:rPr>
          <w:sz w:val="24"/>
          <w:szCs w:val="24"/>
        </w:rPr>
        <w:fldChar w:fldCharType="end"/>
      </w:r>
      <w:r w:rsidRPr="00084AAA">
        <w:rPr>
          <w:sz w:val="24"/>
          <w:szCs w:val="24"/>
        </w:rPr>
        <w:t>.</w:t>
      </w:r>
      <w:r w:rsidRPr="00D05EBD">
        <w:rPr>
          <w:sz w:val="24"/>
          <w:szCs w:val="24"/>
        </w:rPr>
        <w:t xml:space="preserve"> More detail of different ER strategies and the way they have been classified is provided next.</w:t>
      </w:r>
    </w:p>
    <w:p w:rsidR="00FB1389" w:rsidRPr="00D05EBD" w:rsidRDefault="00294FB3" w:rsidP="00AE640B">
      <w:pPr>
        <w:spacing w:line="480" w:lineRule="auto"/>
        <w:ind w:firstLine="720"/>
        <w:jc w:val="both"/>
        <w:rPr>
          <w:b/>
          <w:sz w:val="24"/>
          <w:szCs w:val="24"/>
        </w:rPr>
      </w:pPr>
      <w:r>
        <w:rPr>
          <w:b/>
          <w:sz w:val="24"/>
          <w:szCs w:val="24"/>
        </w:rPr>
        <w:t>1.2.2</w:t>
      </w:r>
      <w:r w:rsidR="00FB1389" w:rsidRPr="00D05EBD">
        <w:rPr>
          <w:b/>
          <w:sz w:val="24"/>
          <w:szCs w:val="24"/>
        </w:rPr>
        <w:t xml:space="preserve"> Classification of emotion regulation strategies</w:t>
      </w:r>
    </w:p>
    <w:p w:rsidR="00FB1389" w:rsidRPr="00F259B7" w:rsidRDefault="00FB1389" w:rsidP="00AE640B">
      <w:pPr>
        <w:spacing w:line="480" w:lineRule="auto"/>
        <w:ind w:firstLine="720"/>
        <w:jc w:val="both"/>
        <w:rPr>
          <w:rFonts w:cs="Times New Roman"/>
          <w:bCs/>
          <w:iCs/>
          <w:sz w:val="24"/>
          <w:szCs w:val="24"/>
        </w:rPr>
      </w:pPr>
      <w:r w:rsidRPr="00D05EBD">
        <w:rPr>
          <w:rFonts w:cs="Times New Roman"/>
          <w:bCs/>
          <w:iCs/>
          <w:sz w:val="24"/>
          <w:szCs w:val="24"/>
        </w:rPr>
        <w:t xml:space="preserve">Many strategies to regulate one’s emotions have been identified. People can use reappraisal which is a form of cognitive change that involves construing a potentially emotion-eliciting situation in a way that decreases its emotional impact </w:t>
      </w:r>
      <w:r w:rsidRPr="00291E63">
        <w:rPr>
          <w:rFonts w:cs="Times New Roman"/>
          <w:bCs/>
          <w:iCs/>
          <w:sz w:val="24"/>
          <w:szCs w:val="24"/>
        </w:rPr>
        <w:t>(e.g.,</w:t>
      </w:r>
      <w:r w:rsidR="00B06E70" w:rsidRPr="00291E63">
        <w:rPr>
          <w:rFonts w:cs="Times New Roman"/>
          <w:bCs/>
          <w:iCs/>
          <w:sz w:val="24"/>
          <w:szCs w:val="24"/>
        </w:rPr>
        <w:fldChar w:fldCharType="begin" w:fldLock="1"/>
      </w:r>
      <w:r w:rsidR="0089549E">
        <w:rPr>
          <w:rFonts w:cs="Times New Roman"/>
          <w:bCs/>
          <w:iCs/>
          <w:sz w:val="24"/>
          <w:szCs w:val="24"/>
        </w:rPr>
        <w:instrText>ADDIN CSL_CITATION { "citationItems" : [ { "id" : "ITEM-1", "itemData" : { "author" : [ { "dropping-particle" : "", "family" : "Goldin", "given" : "Philippe R.", "non-dropping-particle" : "", "parse-names" : false, "suffix" : "" }, { "dropping-particle" : "", "family" : "McRae", "given" : "Kateri", "non-dropping-particle" : "", "parse-names" : false, "suffix" : "" }, { "dropping-particle" : "", "family" : "Ramel", "given" : "Wiveka", "non-dropping-particle" : "", "parse-names" : false, "suffix" : "" }, { "dropping-particle" : "", "family" : "Gross", "given" : "James J.", "non-dropping-particle" : "", "parse-names" : false, "suffix" : "" } ], "container-title" : "Biol Psychology", "id" : "ITEM-1", "issue" : "6", "issued" : { "date-parts" : [ [ "2008" ] ] }, "page" : "577-586", "title" : "The Neural Bases of Emotion Regulation: Reappraisal and Suppression of Negative Emotion", "type" : "article-journal", "volume" : "63" }, "uris" : [ "http://www.mendeley.com/documents/?uuid=2487edb3-fc8e-4674-8398-10a90b3c0287" ] }, { "id" : "ITEM-2", "itemData" : { "DOI" : "10.1037/1089-2680.2.3.271", "ISBN" : "1939-1552(Electronic);1089-2680(Print)", "ISSN" : "10892680", "PMID" : "21827323", "abstract" : "The emerging field of emotion regulation studies how individuals influence which emotions they have, when they have them, and how they experience and express them. This review takes an evolutionary perspective and characterizes emotion in terms of response tendencies. Emotion regulation is denned and distinguished from coping, mood regulation, defense, and affect regulation. In the increasingly specialized discipline of psychology, the field of emotion regulation cuts across traditional boundaries and provides common ground. According to a process model of emotion regulation, emotion may be regulated at five points in the emotion generative process: (a) selection of the situation, (b) modification of the situation, (c) deployment of attention, (d) change of cognitions, and (e) modulation of responses. The field of emotion regulation promises new insights into age-old questions about how people manage their emotions.", "author" : [ { "dropping-particle" : "", "family" : "Gross", "given" : "James J", "non-dropping-particle" : "", "parse-names" : false, "suffix" : "" } ], "container-title" : "Review of General Psychology", "id" : "ITEM-2", "issue" : "5", "issued" : { "date-parts" : [ [ "1998" ] ] }, "page" : "271-299", "title" : "The Emerging Field of Emotion Regulation : An Integrative Review Ih Ih", "type" : "article-journal", "volume" : "2" }, "uris" : [ "http://www.mendeley.com/documents/?uuid=9c5b6258-1f15-3b8b-a30f-fa6ff64a7de8" ] }, { "id" : "ITEM-3", "itemData" : { "DOI" : "10.1037/0022-3514.85.2.348", "ISBN" : "0022-3514\\r1939-1315", "ISSN" : "0022-3514", "PMID" : "12916575", "abstract" : "Five studies tested two general hypotheses: Individuals differ in their use of emotion regulation strategies such as reappraisal and suppression, and these individual differences have implications for affect, well-being, and social relationships. Study 1 presents new measures of the habitual use of reappraisal and suppression. Study 2 examines convergent and discriminant validity. Study 3 shows that reappraisers experience and express greater positive emotion and lesser negative emotion, whereas suppressors experience and express lesser positive emotion, yet experience greater negative emotion. Study 4 indicates that using reappraisal is associated with better interpersonal functioning, whereas using suppression is associated with worse interpersonal functioning. Study 5 shows that using reappraisal is related positively to well-being, whereas using suppression is related negatively.", "author" : [ { "dropping-particle" : "", "family" : "Gross", "given" : "James J", "non-dropping-particle" : "", "parse-names" : false, "suffix" : "" }, { "dropping-particle" : "", "family" : "John", "given" : "Oliver P", "non-dropping-particle" : "", "parse-names" : false, "suffix" : "" } ], "container-title" : "Journal of personality and social psychology", "id" : "ITEM-3", "issue" : "2", "issued" : { "date-parts" : [ [ "2003" ] ] }, "page" : "348-362", "title" : "Individual differences in two emotion regulation processes: implications for affect, relationships, and well-being.", "type" : "article-journal", "volume" : "85" }, "uris" : [ "http://www.mendeley.com/documents/?uuid=7e997c56-1c76-416c-9e20-cb6be3789ff7" ] }, { "id" : "ITEM-4", "itemData" : { "DOI" : "10.1162/089892902760807212", "ISBN" : "0898-929X (Print) 0898-929X (Linking)", "ISSN" : "0898-929X", "PMID" : "12495527", "abstract" : "The ability to cognitively regulate emotional responses to aversive events is important for mental and physical health. Little is known, however, about neural bases of the cognitive control of emotion. The present study employed functional magnetic resonance imaging to examine the neural systems used to reappraise highly negative scenes in unemotional terms. Reappraisal of highly negative scenes reduced subjective experience of negative affect. Neural correlates of reappraisal were increased activation of the lateral and medial prefrontal regions and decreased activation of the amygdala and medial orbito-frontal cortex. These findings support the hypothesis that prefrontal cortex is involved in constructing reappraisal strategies that can modulate activity in multiple emotion-processing systems.", "author" : [ { "dropping-particle" : "", "family" : "Ochsner", "given" : "Kevin N", "non-dropping-particle" : "", "parse-names" : false, "suffix" : "" }, { "dropping-particle" : "", "family" : "Bunge", "given" : "Silvia A", "non-dropping-particle" : "", "parse-names" : false, "suffix" : "" }, { "dropping-particle" : "", "family" : "Gross", "given" : "James J", "non-dropping-particle" : "", "parse-names" : false, "suffix" : "" }, { "dropping-particle" : "", "family" : "Gabrieli", "given" : "John D E", "non-dropping-particle" : "", "parse-names" : false, "suffix" : "" } ], "container-title" : "Journal of cognitive neuroscience", "id" : "ITEM-4", "issue" : "8", "issued" : { "date-parts" : [ [ "2002" ] ] }, "page" : "1215-1229", "title" : "Rethinking feelings: an FMRI study of the cognitive regulation of emotion.", "type" : "article-journal", "volume" : "14" }, "uris" : [ "http://www.mendeley.com/documents/?uuid=3b9f751b-3278-30df-8e4a-9cb3a1436b94" ] }, { "id" : "ITEM-5", "itemData" : { "DOI" : "10.1177/02654075030205002", "ISBN" : "0265-4075", "ISSN" : "02654075", "PMID" : "186835300002", "abstract" : "People frequently regulate the emotions that arise during tense social interactions. Common regulation strategies include cognitive reappraisal, which involves interpreting a situation in positive terms, and expressive suppression, which involves inhibiting overt signs of inner emotional states. According to our analysis, during tense social interactions reappraisal should (i) increase memory for what was said, whereas suppression should (ii) decrease memory for what was said, and (iii) increase memory for emotions. To test these predictions, we experimentally manipulated reappraisal and suppression in dating couples as they discussed a relationship conflict. As predicted, memory for conversation utterances was increased by reappraisal and decreased by suppression, and memory for emotional reactions was increased by suppression. Self-monitoring mediated the effect of suppression on memory for emotional reactions, but not for conversation utterances. These findings suggest that, if it is important to preserve the fidelity of cognitive functioning during emotionally trying social interactions, some forms of emotion regulation may have more to recommend them than others.", "author" : [ { "dropping-particle" : "", "family" : "Richards", "given" : "Jane M.", "non-dropping-particle" : "", "parse-names" : false, "suffix" : "" }, { "dropping-particle" : "", "family" : "Butler", "given" : "Emily A.", "non-dropping-particle" : "", "parse-names" : false, "suffix" : "" }, { "dropping-particle" : "", "family" : "Gross", "given" : "James J.", "non-dropping-particle" : "", "parse-names" : false, "suffix" : "" } ], "container-title" : "Journal of Social and Personal Relationships", "id" : "ITEM-5", "issue" : "5", "issued" : { "date-parts" : [ [ "2003" ] ] }, "page" : "599-620", "title" : "Emotion Regulation in Romantic Relationships: The Cognitive Consequences of Concealing Feelings", "type" : "article-journal", "volume" : "20" }, "uris" : [ "http://www.mendeley.com/documents/?uuid=206810a4-914f-30d0-8f89-835b0f0ce62d" ] }, { "id" : "ITEM-6", "itemData" : { "DOI" : "10.1037/0022-3514.79.3.410", "ISBN" : "0022-3514 (Print)", "ISSN" : "0022-3514", "PMID" : "10981843", "abstract" : "An emerging literature has begun to document the affective consequences of emotion regulation. Little is known, however, about whether emotion regulation also has cognitive consequences. A process model of emotion suggests that expressive suppression should reduce memory for emotional events but that reappraisal should not. Three studies tested this hypothesis. Study 1 experimentally manipulated expressive suppression during film viewing, showing that suppression led to poorer memory for the details of the film. Study 2 manipulated expressive suppression and reappraisal during slide viewing. Only suppression led to poorer slide memory. Study 3 examined individual differences in typical expressive suppression and reappraisal and found that suppression was associated with poorer self-reported and objective memory but that reappraisal was not. Together, these studies suggest that the cognitive costs of keeping one's cool may vary according to how this is done.", "author" : [ { "dropping-particle" : "", "family" : "Richards", "given" : "J M", "non-dropping-particle" : "", "parse-names" : false, "suffix" : "" }, { "dropping-particle" : "", "family" : "Gross", "given" : "James J.", "non-dropping-particle" : "", "parse-names" : false, "suffix" : "" } ], "container-title" : "Journal of personality and social psychology", "id" : "ITEM-6", "issue" : "3", "issued" : { "date-parts" : [ [ "2000" ] ] }, "page" : "410-424", "title" : "Emotion regulation and memory: the cognitive costs of keeping one's cool.", "type" : "article-journal", "volume" : "79" }, "uris" : [ "http://www.mendeley.com/documents/?uuid=1615d715-9954-41c1-88cc-673868cca688" ] } ], "mendeley" : { "formattedCitation" : "(Goldin, McRae, Ramel, &amp; Gross, 2008; Gross, 1998; Gross &amp; John, 2003b; Ochsner, Bunge, Gross, &amp; Gabrieli, 2002; J M Richards &amp; Gross, 2000; Jane M. Richards, Butler, &amp; Gross, 2003)", "manualFormatting" : " Goldin, McRae, Ramel, &amp; Gross, 2008; Gross, 1998; Gross &amp; John, 2003b; Ochsner, Bunge, Gross, &amp; Gabrieli, 2002; J M Richards &amp; Gross, 2000; Jane M. Richards, Butler, &amp; Gross, 2003)", "plainTextFormattedCitation" : "(Goldin, McRae, Ramel, &amp; Gross, 2008; Gross, 1998; Gross &amp; John, 2003b; Ochsner, Bunge, Gross, &amp; Gabrieli, 2002; J M Richards &amp; Gross, 2000; Jane M. Richards, Butler, &amp; Gross, 2003)", "previouslyFormattedCitation" : "(Goldin, McRae, Ramel, &amp; Gross, 2008; Gross, 1998; Gross &amp; John, 2003b; Ochsner, Bunge, Gross, &amp; Gabrieli, 2002; J M Richards &amp; Gross, 2000; Jane M. Richards, Butler, &amp; Gross, 2003)" }, "properties" : { "noteIndex" : 0 }, "schema" : "https://github.com/citation-style-language/schema/raw/master/csl-citation.json" }</w:instrText>
      </w:r>
      <w:r w:rsidR="00B06E70" w:rsidRPr="00291E63">
        <w:rPr>
          <w:rFonts w:cs="Times New Roman"/>
          <w:bCs/>
          <w:iCs/>
          <w:sz w:val="24"/>
          <w:szCs w:val="24"/>
        </w:rPr>
        <w:fldChar w:fldCharType="separate"/>
      </w:r>
      <w:r w:rsidR="00291E63" w:rsidRPr="00291E63">
        <w:rPr>
          <w:rFonts w:cs="Times New Roman"/>
          <w:bCs/>
          <w:iCs/>
          <w:noProof/>
          <w:sz w:val="24"/>
          <w:szCs w:val="24"/>
        </w:rPr>
        <w:t xml:space="preserve"> Goldin, McRae, Ramel, &amp; Gross, 2008; Gross, 1998; Gross &amp; John, 2003b; Ochsner, Bunge, Gross, &amp; Gabrieli, 2002;</w:t>
      </w:r>
      <w:r w:rsidR="00A41BE2">
        <w:rPr>
          <w:rFonts w:cs="Times New Roman"/>
          <w:bCs/>
          <w:iCs/>
          <w:noProof/>
          <w:sz w:val="24"/>
          <w:szCs w:val="24"/>
        </w:rPr>
        <w:t xml:space="preserve"> </w:t>
      </w:r>
      <w:r w:rsidR="00A41BE2" w:rsidRPr="00291E63">
        <w:rPr>
          <w:rFonts w:cs="Times New Roman"/>
          <w:bCs/>
          <w:iCs/>
          <w:noProof/>
          <w:sz w:val="24"/>
          <w:szCs w:val="24"/>
        </w:rPr>
        <w:t>Richards, Butler, &amp; Gross, 2003</w:t>
      </w:r>
      <w:r w:rsidR="00A41BE2">
        <w:rPr>
          <w:rFonts w:cs="Times New Roman"/>
          <w:bCs/>
          <w:iCs/>
          <w:noProof/>
          <w:sz w:val="24"/>
          <w:szCs w:val="24"/>
        </w:rPr>
        <w:t>;</w:t>
      </w:r>
      <w:r w:rsidR="00291E63" w:rsidRPr="00291E63">
        <w:rPr>
          <w:rFonts w:cs="Times New Roman"/>
          <w:bCs/>
          <w:iCs/>
          <w:noProof/>
          <w:sz w:val="24"/>
          <w:szCs w:val="24"/>
        </w:rPr>
        <w:t xml:space="preserve"> </w:t>
      </w:r>
      <w:r w:rsidR="00A41BE2">
        <w:rPr>
          <w:rFonts w:cs="Times New Roman"/>
          <w:bCs/>
          <w:iCs/>
          <w:noProof/>
          <w:sz w:val="24"/>
          <w:szCs w:val="24"/>
        </w:rPr>
        <w:t>Richards &amp; Gross, 2000</w:t>
      </w:r>
      <w:r w:rsidR="00291E63" w:rsidRPr="00291E63">
        <w:rPr>
          <w:rFonts w:cs="Times New Roman"/>
          <w:bCs/>
          <w:iCs/>
          <w:noProof/>
          <w:sz w:val="24"/>
          <w:szCs w:val="24"/>
        </w:rPr>
        <w:t>)</w:t>
      </w:r>
      <w:r w:rsidR="00B06E70" w:rsidRPr="00291E63">
        <w:rPr>
          <w:rFonts w:cs="Times New Roman"/>
          <w:bCs/>
          <w:iCs/>
          <w:sz w:val="24"/>
          <w:szCs w:val="24"/>
        </w:rPr>
        <w:fldChar w:fldCharType="end"/>
      </w:r>
      <w:r w:rsidRPr="00291E63">
        <w:rPr>
          <w:rFonts w:cs="Times New Roman"/>
          <w:bCs/>
          <w:iCs/>
          <w:sz w:val="24"/>
          <w:szCs w:val="24"/>
        </w:rPr>
        <w:t>,</w:t>
      </w:r>
      <w:r w:rsidRPr="00D05EBD">
        <w:rPr>
          <w:rFonts w:cs="Times New Roman"/>
          <w:bCs/>
          <w:iCs/>
          <w:sz w:val="24"/>
          <w:szCs w:val="24"/>
        </w:rPr>
        <w:t xml:space="preserve"> self-distraction </w:t>
      </w:r>
      <w:r w:rsidRPr="00291E63">
        <w:rPr>
          <w:rFonts w:cs="Times New Roman"/>
          <w:bCs/>
          <w:iCs/>
          <w:sz w:val="24"/>
          <w:szCs w:val="24"/>
        </w:rPr>
        <w:t xml:space="preserve">(e.g. </w:t>
      </w:r>
      <w:r w:rsidR="00B06E70" w:rsidRPr="00291E63">
        <w:rPr>
          <w:rFonts w:cs="Times New Roman"/>
          <w:bCs/>
          <w:iCs/>
          <w:sz w:val="24"/>
          <w:szCs w:val="24"/>
        </w:rPr>
        <w:fldChar w:fldCharType="begin" w:fldLock="1"/>
      </w:r>
      <w:r w:rsidR="00973AEB">
        <w:rPr>
          <w:rFonts w:cs="Times New Roman"/>
          <w:bCs/>
          <w:iCs/>
          <w:sz w:val="24"/>
          <w:szCs w:val="24"/>
        </w:rPr>
        <w:instrText>ADDIN CSL_CITATION { "citationItems" : [ { "id" : "ITEM-1", "itemData" : { "DOI" : "10.1162/jocn.2006.18.8.1266.Neural", "ISBN" : "0898-929X (Print)\\n0898-929X (Linking)", "ISSN" : "0898-929X", "PMID" : "16859413", "abstract" : "Cognitive strategies used in volitional emotion regulation include self-distraction and reappraisal (reinterpretation). There is debate as to what the psychological and neurobiological mechanisms underlying these strategies are. For example, it is unclear whether self-distraction and reappraisal, although distinct at a phenomenological level, are also mediated by distinct neural processes. This is partly because imaging studies on reappraisal and self-distraction have been performed in different emotional contexts and are difficult to compare. We have therefore investigated the neural correlates of self-distraction, as indexed by a thought suppression task, in an anticipatory anxiety paradigm previously employed by us to study reappraisal. Brain activity was measured by functional magnetic resonance imaging. We show that self-distraction recruits the left lateral prefrontal cortex. Based on a review of the existing data, we develop a process model of cognitive emotion regulation. The model posits that both self-distraction and reappraisal attenuate emotional reactions through replacement of emotional by neutral mental contents but achieve replacement in different ways. This is associated with a dependence of self-distraction on a left prefrontal production function, whereas reappraisal depends on a right prefrontal higher order monitoring process.", "author" : [ { "dropping-particle" : "", "family" : "Kalisch", "given" : "Raffael", "non-dropping-particle" : "", "parse-names" : false, "suffix" : "" }, { "dropping-particle" : "", "family" : "Wiech", "given" : "Katja", "non-dropping-particle" : "", "parse-names" : false, "suffix" : "" }, { "dropping-particle" : "", "family" : "Herrmann", "given" : "Katrin", "non-dropping-particle" : "", "parse-names" : false, "suffix" : "" }, { "dropping-particle" : "", "family" : "Dolan", "given" : "Raymond J", "non-dropping-particle" : "", "parse-names" : false, "suffix" : "" } ], "container-title" : "Journal of Cognitive Neuroscience", "id" : "ITEM-1", "issue" : "8", "issued" : { "date-parts" : [ [ "2006" ] ] }, "page" : "1266-1276", "title" : "Neural Correlates of Self-distraction from Anxiety and a Process Model of Cognitive Emotion Regulation", "type" : "article-journal", "volume" : "18" }, "uris" : [ "http://www.mendeley.com/documents/?uuid=83c80684-fb5b-46a5-a75d-041005d82fa4" ] }, { "id" : "ITEM-2", "itemData" : { "DOI" : "10.1080/026999399379285", "ISBN" : "0269-9931", "ISSN" : "0269-9931", "PMID" : "18677", "author" : [ { "dropping-particle" : "", "family" : "Parkinson", "given" : "Brian", "non-dropping-particle" : "", "parse-names" : false, "suffix" : "" }, { "dropping-particle" : "", "family" : "Totterdell", "given" : "Peter", "non-dropping-particle" : "", "parse-names" : false, "suffix" : "" } ], "container-title" : "Cognition &amp; Emotion", "id" : "ITEM-2", "issued" : { "date-parts" : [ [ "1999" ] ] }, "title" : "Classifying Affect-regulation Strategies", "type" : "article-journal" }, "uris" : [ "http://www.mendeley.com/documents/?uuid=b7c8b5d9-2c01-364c-86cd-ab7641033e0e" ] }, { "id" : "ITEM-3", "itemData" : { "DOI" : "10.1037/0022-3514.74.3.790", "ISBN" : "0022-3514 (Print)\\r0022-3514 (Linking)", "ISSN" : "0022-3514", "PMID" : "9523420", "abstract" : "Previous research has found that self-focused rumination maintains or increases depressed mood, whereas distraction decreases depressed mood (S. Nolen-Hoeksema &amp; J. Morrow, 1993; S. Nolen-Hoeksema, J. Morrow, &amp; B. L. Fredrickson, 1993). The present series of experiments examined these mood regulation strategies in the context of an angry mood. In Experiments 1 and 3, rumination increased anger, whereas distraction decreased or had no effect on anger. In Experiments 2 and 4, women were more likely to choose to ruminate when in a neutral mood but to distract themselves following induction of an angry mood. Men were equally likely to choose rumination or distraction, regardless of mood condition. The results are interpreted and discussed within the framework of an associative-network model of anger.", "author" : [ { "dropping-particle" : "", "family" : "Rusting", "given" : "C L", "non-dropping-particle" : "", "parse-names" : false, "suffix" : "" }, { "dropping-particle" : "", "family" : "Nolen-Hoeksema", "given" : "S", "non-dropping-particle" : "", "parse-names" : false, "suffix" : "" } ], "container-title" : "Journal of personality and social psychology", "id" : "ITEM-3", "issue" : "3", "issued" : { "date-parts" : [ [ "1998" ] ] }, "page" : "790-803", "title" : "Regulating responses to anger: effects of rumination and distraction on angry mood", "type" : "article-journal", "volume" : "74" }, "uris" : [ "http://www.mendeley.com/documents/?uuid=65bda1d7-cef3-4c3e-8925-03319efe2b05" ] }, { "id" : "ITEM-4", "itemData" : { "DOI" : "10.1016/j.ijpsycho.2008.06.006", "ISBN" : "0167-8760", "ISSN" : "01678760", "PMID" : "18625273", "abstract" : "Previous studies of emotion regulation suggested that reappraisal (construing an emotional event in non-emotional terms) has no cognitive or physiological consequences, but in all these studies, reappraisal was instructed ahead of an emotional situation. The authors' recent work, using behavioral indices, showed that inhibitory self-control resources are challenged when reappraisal starts late during an emotional situation relative to late instruction of distraction (diverting attention through producing neutral thoughts). The present study provides converging physiological evidence in showing that instructing to use reappraisal but not distraction late in a sadness inducing film involved increased skin conductance and decreased finger temperature. Both of these results are indicative of increased sympathetic activation that has been previously found to accompany inhibitory self-control effort. ?? 2008 Elsevier B.V. All rights reserved.", "author" : [ { "dropping-particle" : "", "family" : "Sheppes", "given" : "Gal", "non-dropping-particle" : "", "parse-names" : false, "suffix" : "" }, { "dropping-particle" : "", "family" : "Catran", "given" : "Erez", "non-dropping-particle" : "", "parse-names" : false, "suffix" : "" }, { "dropping-particle" : "", "family" : "Meiran", "given" : "Nachshon", "non-dropping-particle" : "", "parse-names" : false, "suffix" : "" } ], "container-title" : "International Journal of Psychophysiology", "id" : "ITEM-4", "issue" : "2", "issued" : { "date-parts" : [ [ "2009" ] ] }, "page" : "91-96", "publisher" : "Elsevier B.V.", "title" : "Reappraisal (but not distraction) is going to make you sweat: Physiological evidence for self-control effort", "type" : "article-journal", "volume" : "71" }, "uris" : [ "http://www.mendeley.com/documents/?uuid=f6d8ea95-24b1-4d10-840b-e30daceb8b01" ] } ], "mendeley" : { "formattedCitation" : "(Kalisch, Wiech, Herrmann, &amp; Dolan, 2006; Brian Parkinson &amp; Totterdell, 1999b; Rusting &amp; Nolen-Hoeksema, 1998; Sheppes, Catran, &amp; Meiran, 2009)", "manualFormatting" : "Kalisch, Wiech, Herrmann, &amp; Dolan, 2006; Parkinson &amp; Totterdell, 1999b; Rusting &amp; Nolen-Hoeksema, 1998; Sheppes, Catran, &amp; Meiran, 2009)", "plainTextFormattedCitation" : "(Kalisch, Wiech, Herrmann, &amp; Dolan, 2006; Brian Parkinson &amp; Totterdell, 1999b; Rusting &amp; Nolen-Hoeksema, 1998; Sheppes, Catran, &amp; Meiran, 2009)", "previouslyFormattedCitation" : "(Kalisch, Wiech, Herrmann, &amp; Dolan, 2006; Brian Parkinson &amp; Totterdell, 1999b; Rusting &amp; Nolen-Hoeksema, 1998; Sheppes, Catran, &amp; Meiran, 2009)" }, "properties" : { "noteIndex" : 0 }, "schema" : "https://github.com/citation-style-language/schema/raw/master/csl-citation.json" }</w:instrText>
      </w:r>
      <w:r w:rsidR="00B06E70" w:rsidRPr="00291E63">
        <w:rPr>
          <w:rFonts w:cs="Times New Roman"/>
          <w:bCs/>
          <w:iCs/>
          <w:sz w:val="24"/>
          <w:szCs w:val="24"/>
        </w:rPr>
        <w:fldChar w:fldCharType="separate"/>
      </w:r>
      <w:r w:rsidR="00291E63" w:rsidRPr="00291E63">
        <w:rPr>
          <w:rFonts w:cs="Times New Roman"/>
          <w:bCs/>
          <w:iCs/>
          <w:noProof/>
          <w:sz w:val="24"/>
          <w:szCs w:val="24"/>
        </w:rPr>
        <w:t>Kalisch, Wiech, Herrmann, &amp; Dolan, 2006; Parkinson &amp; Totterdell, 1999b; Rusting &amp; Nolen-Hoeksema, 1998; Sheppes, Catran, &amp; Meiran, 2009)</w:t>
      </w:r>
      <w:r w:rsidR="00B06E70" w:rsidRPr="00291E63">
        <w:rPr>
          <w:rFonts w:cs="Times New Roman"/>
          <w:bCs/>
          <w:iCs/>
          <w:sz w:val="24"/>
          <w:szCs w:val="24"/>
        </w:rPr>
        <w:fldChar w:fldCharType="end"/>
      </w:r>
      <w:r w:rsidRPr="00291E63">
        <w:rPr>
          <w:rFonts w:cs="Times New Roman"/>
          <w:bCs/>
          <w:iCs/>
          <w:sz w:val="24"/>
          <w:szCs w:val="24"/>
        </w:rPr>
        <w:t>,</w:t>
      </w:r>
      <w:r w:rsidRPr="00D05EBD">
        <w:rPr>
          <w:rFonts w:cs="Times New Roman"/>
          <w:bCs/>
          <w:iCs/>
          <w:sz w:val="24"/>
          <w:szCs w:val="24"/>
        </w:rPr>
        <w:t xml:space="preserve"> attentional deployment to shift attention away or towards the emotional response </w:t>
      </w:r>
      <w:r w:rsidRPr="005B779E">
        <w:rPr>
          <w:rFonts w:cs="Times New Roman"/>
          <w:bCs/>
          <w:iCs/>
          <w:sz w:val="24"/>
          <w:szCs w:val="24"/>
        </w:rPr>
        <w:t xml:space="preserve">(e.g. </w:t>
      </w:r>
      <w:r w:rsidR="00B06E70" w:rsidRPr="005B779E">
        <w:rPr>
          <w:rFonts w:cs="Times New Roman"/>
          <w:bCs/>
          <w:iCs/>
          <w:sz w:val="24"/>
          <w:szCs w:val="24"/>
        </w:rPr>
        <w:fldChar w:fldCharType="begin" w:fldLock="1"/>
      </w:r>
      <w:r w:rsidR="005B779E" w:rsidRPr="005B779E">
        <w:rPr>
          <w:rFonts w:cs="Times New Roman"/>
          <w:bCs/>
          <w:iCs/>
          <w:sz w:val="24"/>
          <w:szCs w:val="24"/>
        </w:rPr>
        <w:instrText>ADDIN CSL_CITATION { "citationItems" : [ { "id" : "ITEM-1", "itemData" : { "DOI" : "10.1016/j.neuroimage.2012.12.030", "ISBN" : "1095-9572 (Electronic)\\r1053-8119 (Linking)", "ISSN" : "10538119", "PMID" : "23270876", "abstract" : "Attentional deployment is an emotion regulation strategy that involves shifting attentional focus towards or away from particular aspects of emotional stimuli. Previous studies have highlighted the prevalence of attentional deployment and demonstrated that it can have a significant impact on brain activity and behavior. However, little is known about the neural correlates of this strategy. The goal of the present studies was to examine the effect of attentional deployment on neural activity by directing attention to more or less arousing portions of unpleasant images. In Studies 1 and 2, participants passively viewed counterbalanced blocks of unpleasant images without a focus, unpleasant images with an arousing focus, unpleasant images with a non-arousing focus, neutral images without a focus, and neutral images with a non-arousing focus for 4000. ms each. In Study 2, eye-tracking data were collected on all participants during image acquisition. In both studies, affect ratings following each block indicated that participants felt significantly less negative affect after viewing unpleasant images with a non-arousing focus compared to unpleasant images with an arousing focus. In both studies, the unpleasant non-arousing focus condition compared to the unpleasant arousing focus condition was associated with increased activity in frontal and parietal regions implicated in inhibitory control and visual attention. In Study 2, the unpleasant non-arousing focus condition compared to the unpleasant arousing focus condition was associated with reduced activity in the amygdala and visual cortex. Collectively these data suggest that attending to a non-arousing portion of an unpleasant image successfully reduces subjective negative affect and recruits fronto-parietal networks implicated in inhibitory control. Moreover, w</w:instrText>
      </w:r>
      <w:r w:rsidR="005B779E" w:rsidRPr="00022609">
        <w:rPr>
          <w:rFonts w:cs="Times New Roman"/>
          <w:bCs/>
          <w:iCs/>
          <w:sz w:val="24"/>
          <w:szCs w:val="24"/>
          <w:lang w:val="de-DE"/>
        </w:rPr>
        <w:instrText>hen ensuring task compliance by monitoring eye movements, attentional deployment modulates amygdala activity. ?? 2012 Elsevier Inc.", "author" : [ { "dropping-particle" : "", "family" : "Ferri", "given" : "Jamie", "non-dropping-particle" : "", "parse-names" : false, "suffix" : "" }, { "dropping-particle" : "", "family" : "Schmidt", "given" : "Joseph", "non-dropping-particle" : "", "parse-names" : false, "suffix" : "" }, { "dropping-particle" : "", "family" : "Hajcak", "given" : "Greg", "non-dropping-particle" : "", "parse-names" : false, "suffix" : "" }, { "dropping-particle" : "", "family" : "Canli", "given" : "Turhan", "non-dropping-particle" : "", "parse-names" : false, "suffix" : "" } ], "container-title" : "NeuroImage", "id" : "ITEM-1", "issued" : { "date-parts" : [ [ "2013" ] ] }, "page" : "268-277", "publisher" : "Elsevier Inc.", "title" : "Neural correlates of attentional deployment within unpleasant pictures", "type" : "article-journal", "volume" : "70" }, "uris" : [ "http://www.mendeley.com/documents/?uuid=81ba03d1-b871-4e30-bbd7-38a93c403437" ] } ], "mendeley" : { "formattedCitation" : "(Ferri, Schmidt, Hajcak, &amp; Canli, 2013)", "manualFormatting" : "Ferri, Schmidt, Hajcak, &amp; Canli, 2013", "plainTextFormattedCitation" : "(Ferri, Schmidt, Hajcak, &amp; Canli, 2013)", "previouslyFormattedCitation" : "(Ferri, Schmidt, Hajcak, &amp; Canli, 2013)" }, "properties" : { "noteIndex" : 0 }, "schema" : "https://github.com/citation-style-language/schema/raw/master/csl-citation.json" }</w:instrText>
      </w:r>
      <w:r w:rsidR="00B06E70" w:rsidRPr="005B779E">
        <w:rPr>
          <w:rFonts w:cs="Times New Roman"/>
          <w:bCs/>
          <w:iCs/>
          <w:sz w:val="24"/>
          <w:szCs w:val="24"/>
        </w:rPr>
        <w:fldChar w:fldCharType="separate"/>
      </w:r>
      <w:r w:rsidR="005B779E" w:rsidRPr="00022609">
        <w:rPr>
          <w:rFonts w:cs="Times New Roman"/>
          <w:bCs/>
          <w:iCs/>
          <w:noProof/>
          <w:sz w:val="24"/>
          <w:szCs w:val="24"/>
          <w:lang w:val="de-DE"/>
        </w:rPr>
        <w:t>Ferri, Schmidt, Hajcak, &amp; Canli, 2013</w:t>
      </w:r>
      <w:r w:rsidR="00B06E70" w:rsidRPr="005B779E">
        <w:rPr>
          <w:rFonts w:cs="Times New Roman"/>
          <w:bCs/>
          <w:iCs/>
          <w:sz w:val="24"/>
          <w:szCs w:val="24"/>
        </w:rPr>
        <w:fldChar w:fldCharType="end"/>
      </w:r>
      <w:r w:rsidR="00B06E70">
        <w:rPr>
          <w:rFonts w:cs="Times New Roman"/>
          <w:bCs/>
          <w:iCs/>
          <w:sz w:val="24"/>
          <w:szCs w:val="24"/>
        </w:rPr>
        <w:fldChar w:fldCharType="begin" w:fldLock="1"/>
      </w:r>
      <w:r w:rsidR="005B4F3A">
        <w:rPr>
          <w:rFonts w:cs="Times New Roman"/>
          <w:bCs/>
          <w:iCs/>
          <w:sz w:val="24"/>
          <w:szCs w:val="24"/>
          <w:lang w:val="de-DE"/>
        </w:rPr>
        <w:instrText>ADDIN CSL_CITATION { "citationItems" : [ { "id" : "ITEM-1", "itemData" : { "DOI" : "10.1016/j.jrp.2008.09.006", "ISBN" : "0092-6566", "ISSN" : "00926566", "abstract" : "This study investigated whether goal-directed attentional deployment to emotional faces serves as an effective mechanism for emotion regulation and whether individual differences in this ability predicts more effective emotion regulation. Undergraduate participants (N = 109) performed the dot-probe task under stress and were given either a goal to focus their attention on happy faces and avoid angry faces or no attentional goal. Participants given this goal reported nearly three times less frustration in reaction to a stressful anagram task compared to those not given this goal. In addition, those with a greater ability to focus on happy faces and avoid angry faces persisted significantly longer on a stressful anagram task. Trait anxiety did not moderate these effects. These findings have important implications for theories of emotion regulation and anxiety-related attentional biases. Training goal-directed attentional deployment holds considerable promise for future research on developing effective emotion regulation techniques. ?? 2008 Elsevier Inc. All rights reserved.", "author" : [ { "dropping-particle" : "", "family" : "Johnson", "given" : "Dan R.", "non-dropping-particle" : "", "parse-names" : false, "suffix" : "" } ], "container-title" : "Journal of Research in Personality", "id" : "ITEM-1", "issue" : "1", "issued" : { "date-parts" : [ [ "2009" ] ] }, "page" : "8-13", "publisher" : "Elsevier Inc.", "title" : "Goal-directed attentional deployment to emotional faces and individual differences in emotional regulation", "type" : "article-journal", "volume" : "43" }, "uris" : [ "http://www.mendeley.com/documents/?uuid=29a13ec7-3a53-4030-9248-e116b5737524" ] } ], "mendeley" : { "formattedCitation" : "(Johnson, 2009)", "manualFormatting" : "; Johnson, 2009", "plainTextFormattedCitation" : "(Johnson, 2009)", "previouslyFormattedCitation" : "(Johnson, 2009)" }, "properties" : { "noteIndex" : 0 }, "schema" : "https://github.com/citation-style-language/schema/raw/master/csl-citation.json" }</w:instrText>
      </w:r>
      <w:r w:rsidR="00B06E70">
        <w:rPr>
          <w:rFonts w:cs="Times New Roman"/>
          <w:bCs/>
          <w:iCs/>
          <w:sz w:val="24"/>
          <w:szCs w:val="24"/>
        </w:rPr>
        <w:fldChar w:fldCharType="separate"/>
      </w:r>
      <w:r w:rsidR="005B4F3A">
        <w:rPr>
          <w:rFonts w:cs="Times New Roman"/>
          <w:bCs/>
          <w:iCs/>
          <w:noProof/>
          <w:sz w:val="24"/>
          <w:szCs w:val="24"/>
          <w:lang w:val="de-DE"/>
        </w:rPr>
        <w:t xml:space="preserve">; </w:t>
      </w:r>
      <w:r w:rsidR="005B4F3A" w:rsidRPr="005B4F3A">
        <w:rPr>
          <w:rFonts w:cs="Times New Roman"/>
          <w:bCs/>
          <w:iCs/>
          <w:noProof/>
          <w:sz w:val="24"/>
          <w:szCs w:val="24"/>
          <w:lang w:val="de-DE"/>
        </w:rPr>
        <w:t>Johnson, 2009</w:t>
      </w:r>
      <w:r w:rsidR="00B06E70">
        <w:rPr>
          <w:rFonts w:cs="Times New Roman"/>
          <w:bCs/>
          <w:iCs/>
          <w:sz w:val="24"/>
          <w:szCs w:val="24"/>
        </w:rPr>
        <w:fldChar w:fldCharType="end"/>
      </w:r>
      <w:r w:rsidR="005B4F3A" w:rsidRPr="005B4F3A">
        <w:rPr>
          <w:rFonts w:cs="Times New Roman"/>
          <w:bCs/>
          <w:iCs/>
          <w:sz w:val="24"/>
          <w:szCs w:val="24"/>
          <w:lang w:val="de-DE"/>
        </w:rPr>
        <w:t xml:space="preserve">; </w:t>
      </w:r>
      <w:r w:rsidR="00B06E70">
        <w:rPr>
          <w:rFonts w:cs="Times New Roman"/>
          <w:bCs/>
          <w:iCs/>
          <w:sz w:val="24"/>
          <w:szCs w:val="24"/>
        </w:rPr>
        <w:fldChar w:fldCharType="begin" w:fldLock="1"/>
      </w:r>
      <w:r w:rsidR="005B4F3A">
        <w:rPr>
          <w:rFonts w:cs="Times New Roman"/>
          <w:bCs/>
          <w:iCs/>
          <w:sz w:val="24"/>
          <w:szCs w:val="24"/>
          <w:lang w:val="de-DE"/>
        </w:rPr>
        <w:instrText>ADDIN CSL_CITATION { "citationItems" : [ { "id" : "ITEM-1", "itemData" : { "DOI" : "10.1037/a0017434", "ISBN" : "1528-3542\\r1931-1516", "ISSN" : "1931-1516", "PMID" : "20141309", "abstract" : "Cognitive reappraisal (CR) is an emotion-regulatory (ER) process that is theorized to operate via changes in appraisals. CR is distinct from attentional deployment (AD), an ER process that is theorized to operate via changes in attention. However, a recent neuroimaging study has suggested that the ER effects of CR might largely be explained by AD. In this study, I manipulated CR while holding visual AD constant across CR conditions. In a randomized within-subjects design, 54 participants used CR to increase and decrease emotion in response to unpleasant pictures. This was compared with simply viewing the pictures. On all trials, gaze was directed to a circumscribed area of the pictures. Even with gaze held constant across conditions, increase reappraisals led to higher ratings of emotional intensity, greater corrugator activity, and greater autonomic arousal. In addition, decrease reappraisals led to lower ratings of emotional intensity and lower corrugator activity, the latter of which held only when gaze was directed to arousing information. Overall, the results suggest that changes in appraisal are the likely mechanism for the ER effects of CR.", "author" : [ { "dropping-particle" : "", "family" : "Urry", "given" : "Heather L", "non-dropping-particle" : "", "parse-names" : false, "suffix" : "" } ], "container-title" : "Emotion", "id" : "ITEM-1", "issue" : "1", "issued" : { "date-parts" : [ [ "2010" ] ] }, "page" : "125-35", "title" : "Seeing, thinking, and feeling: emotion-regulating effects of gaze-directed cognitive reappraisal.", "type" : "article-journal", "volume" : "10" }, "uris" : [ "http://www.mendeley.com/documents/?uuid=9d52f47c-6d35-32cd-af74-e8cd7a00c77e" ] } ], "mendeley" : { "formattedCitation" : "(Urry, 2010)", "manualFormatting" : "Urry, 2010)", "plainTextFormattedCitation" : "(Urry, 2010)", "previouslyFormattedCitation" : "(Urry, 2010)" }, "properties" : { "noteIndex" : 0 }, "schema" : "https://github.com/citation-style-language/schema/raw/master/csl-citation.json" }</w:instrText>
      </w:r>
      <w:r w:rsidR="00B06E70">
        <w:rPr>
          <w:rFonts w:cs="Times New Roman"/>
          <w:bCs/>
          <w:iCs/>
          <w:sz w:val="24"/>
          <w:szCs w:val="24"/>
        </w:rPr>
        <w:fldChar w:fldCharType="separate"/>
      </w:r>
      <w:r w:rsidR="00BD711E" w:rsidRPr="00F259B7">
        <w:rPr>
          <w:rFonts w:cs="Times New Roman"/>
          <w:bCs/>
          <w:iCs/>
          <w:noProof/>
          <w:sz w:val="24"/>
          <w:szCs w:val="24"/>
          <w:lang w:val="de-DE"/>
        </w:rPr>
        <w:t>Urry, 2010)</w:t>
      </w:r>
      <w:r w:rsidR="00B06E70">
        <w:rPr>
          <w:rFonts w:cs="Times New Roman"/>
          <w:bCs/>
          <w:iCs/>
          <w:sz w:val="24"/>
          <w:szCs w:val="24"/>
        </w:rPr>
        <w:fldChar w:fldCharType="end"/>
      </w:r>
      <w:r w:rsidRPr="00F259B7">
        <w:rPr>
          <w:rFonts w:cs="Times New Roman"/>
          <w:bCs/>
          <w:iCs/>
          <w:sz w:val="24"/>
          <w:szCs w:val="24"/>
          <w:lang w:val="de-DE"/>
        </w:rPr>
        <w:t xml:space="preserve">, and suppression </w:t>
      </w:r>
      <w:r w:rsidRPr="00DF5538">
        <w:rPr>
          <w:rFonts w:cs="Times New Roman"/>
          <w:bCs/>
          <w:iCs/>
          <w:sz w:val="24"/>
          <w:szCs w:val="24"/>
          <w:lang w:val="de-DE"/>
        </w:rPr>
        <w:t>(e.g.</w:t>
      </w:r>
      <w:r w:rsidR="004F2755" w:rsidRPr="00F758A0">
        <w:rPr>
          <w:rFonts w:cs="Times New Roman"/>
          <w:bCs/>
          <w:iCs/>
          <w:sz w:val="24"/>
          <w:szCs w:val="24"/>
          <w:lang w:val="de-DE"/>
        </w:rPr>
        <w:t xml:space="preserve"> </w:t>
      </w:r>
      <w:r w:rsidR="00B06E70" w:rsidRPr="00DF5538">
        <w:rPr>
          <w:rFonts w:cs="Times New Roman"/>
          <w:bCs/>
          <w:iCs/>
          <w:sz w:val="24"/>
          <w:szCs w:val="24"/>
        </w:rPr>
        <w:fldChar w:fldCharType="begin" w:fldLock="1"/>
      </w:r>
      <w:r w:rsidR="005561A2" w:rsidRPr="00F758A0">
        <w:rPr>
          <w:rFonts w:cs="Times New Roman"/>
          <w:bCs/>
          <w:iCs/>
          <w:sz w:val="24"/>
          <w:szCs w:val="24"/>
          <w:lang w:val="de-DE"/>
        </w:rPr>
        <w:instrText>ADDIN CSL_CITATION { "citationItems" : [ { "id" : "ITEM-1", "itemData" : { "DOI" : "10.1037/1528-3542.3.1.48", "ISBN" : "1528-3542\\r1931-1516", "ISSN" : "1528-3542", "PMID" : "12899316", "abstract" : "At times, people keep their emotions from showing during social interactions. The authors' analysis suggests that such expressive suppression should disrupt communication and increase stress levels. To test this hypothesis, the authors conducted 2 studies in which unacquainted pairs of women discussed an upsetting topic. In Study 1, one member of each pair was randomly assigned to (a) suppress her emotional behavior, (b) respond naturally, or (c) cognitively reappraise in a way that reduced emotional responding. Suppression alone disrupted communication and magnified blood pressure responses in the suppressors' partners. In Study 2, suppression had a negative impact on the regulators' emotional experience and increased blood pressure in both regulators and their partners. Suppression also reduced rapport and inhibited relationship formation.", "author" : [ { "dropping-particle" : "", "family" : "Butler", "given" : "Emily A", "non-dropping-particle" : "", "parse-names" : false, "suffix" : "" }, { "dropping-particle" : "", "family" : "Egloff", "given" : "Boris", "non-dropping-particle" : "", "parse-names" : false, "suffix" : "" }, { "dropping-particle" : "", "family" : "Wilhelm", "given" : "Frank H", "non-dropping-particle" : "", "parse-names"</w:instrText>
      </w:r>
      <w:r w:rsidR="005561A2">
        <w:rPr>
          <w:rFonts w:cs="Times New Roman"/>
          <w:bCs/>
          <w:iCs/>
          <w:sz w:val="24"/>
          <w:szCs w:val="24"/>
        </w:rPr>
        <w:instrText xml:space="preserve"> : false, "suffix" : "" }, { "dropping-particle" : "", "family" : "Smith", "given" : "Nancy C", "non-dropping-particle" : "", "parse-names" : false, "suffix" : "" }, { "dropping-particle" : "", "family" : "Erickson", "given" : "Elizabeth A", "non-dropping-particle" : "", "parse-names" : false, "suffix" : "" }, { "dropping-particle" : "", "family" : "Gross", "given" : "James J", "non-dropping-particle" : "", "parse-names" : false, "suffix" : "" } ], "container-title" : "Emotion", "id" : "ITEM-1", "issue" : "1", "issued" : { "date-parts" : [ [ "2003" ] ] }, "page" : "48-67", "title" : "The social consequences of expressive suppression.", "type" : "article-journal", "volume" : "3" }, "uris" : [ "http://www.mendeley.com/documents/?uuid=25e85e06-040e-399a-a3fb-9012bf63589f" ] }, { "id" : "ITEM-2", "itemData" : { "DOI" : "10.1037/0022-3514.64.6.970", "ISBN" : "0022-3514 (Print)\\n0022-3514 (Linking)", "ISSN" : "0022-3514", "PMID" : "8326473", "abstract" : "This study examined the effects of emotional suppression, a form of emotion regulation defined as the conscious inhibition of emotional expressive behavior while emotionally aroused. Ss (43 men and 42 women) watched a short disgust-eliciting film while their behavioral, physiological, and subjective responses were recorded. Ss were told to watch the film (no suppression condition) or to watch the film while behaving \"in such a way that a person watching you would not know you were feeling anything\" (suppression condition). Suppression reduced expressive behavior and produced a mixed physiological state characterized by decreased somatic activity and decreased heart rate, along with increased blinking and indications of increased sympathetic nervous system activity (in other cardiovascular measures and in electrodermal responding). Suppression had no impact on the subjective experience of emotion. There were no sex differences in the effects of suppression.", "author" : [ { "dropping-particle" : "", "family" : "Gross", "given" : "James J.", "non-dropping-particle" : "", "parse-names" : false, "suffix" : "" }, { "dropping-particle" : "", "family" : "Levenson", "given" : "robert w.", "non-dropping-particle" : "", "parse-names" : false, "suffix" : "" } ], "container-title" : "Journal of personality and social psychology", "id" : "ITEM-2", "issue" : "6", "issued" : { "date-parts" : [ [ "1993" ] ] }, "page" : "970-986", "title" : "Emotional suppression: physiology, self-report, and expressive behavior.", "type" : "article-journal", "volume" : "64" }, "uris" : [ "http://www.mendeley.com/documents/?uuid=2d7a7e2d-922c-4e8c-b286-26d8d4471b6b" ] }, { "id" : "ITEM-3", "itemData" : { "DOI" : "10.1016/j.brat.2009.02.010", "ISBN" : "0005-7967", "ISSN" : "00057967", "PMID" : "19281966", "abstract" : "It has been suggested that reappraisal strategies are more effective than suppression strategies for regulating emotions. Recently, proponents of the acceptance-based behavior therapy movement have further emphasized the importance of acceptance-based emotion regulation techniques. In order to directly compare these different emotion regulation strategies, 202 volunteers were asked to give an impromptu speech in front of a video camera. Participants were randomly assigned to one of three groups. The Reappraisal group was instructed to regulate their anxious arousal by reappraising the situation; the Suppression group was asked to suppress their anxious behaviors; and the Acceptance group was instructed to accept their anxiety. As expected, the Suppression group showed a greater increase in heart rate from baseline than the Reappraisal and Acceptance groups. Moreover, the Suppression group reported more anxiety than the Reappraisal group. However, the Acceptance and Suppression groups did not differ in their subjective anxiety response. These results suggest that both reappraising and accepting anxiety is more effective for moderating the physiological arousal than suppressing anxiety. However, reappraising is more effective for moderating the subjective feeling of anxiety than attempts to suppress or accept it. ?? 2009 Elsevier Ltd. All rights reserved.", "author" : [ { "dropping-particle" : "", "family" : "Hofmann", "given" : "Stefan G.", "non-dropping-particle" : "", "parse-names" : false, "suffix" : "" }, { "dropping-particle" : "", "family" : "Heering", "given" : "Sanna", "non-dropping-particle" : "", "parse-names" : false, "suffix" : "" }, { "dropping-particle" : "", "family" : "Sawyer", "given" : "Alice T.", "non-dropping-particle" : "", "parse-names" : false, "suffix" : "" }, { "dropping-particle" : "", "family" : "Asnaani", "given" : "Anu", "non-dropping-particle" : "", "parse-names" : false, "suffix" : "" } ], "container-title" : "Behaviour Research and Therapy", "id" : "ITEM-3", "issue" : "5", "issued" : { "date-parts" : [ [ "2009" ] ] }, "page" : "389-394", "publisher" : "Elsevier Ltd", "title" : "How to handle anxiety: The effects of reappraisal, acceptance, and suppression strategies on anxious arousal", "type" : "article-journal", "volume" : "47" }, "uris" : [ "http://www.mendeley.com/documents/?uuid=a88aba4b-7f19-473c-91bb-9483caa8567d" ] }, { "id" : "ITEM-4", "itemData" : { "DOI" : "10.1037/a0012756", "abstract" : "According to Bargh's Auto-Motive model (Bargh, 1990, 1997a, 1997b; Bargh &amp; Chartrand, 1999), automatic motivational processes are those that are consistently and frequently engaged when environ-mental cues and contexts similar to that of the past arise. For example, achievement and affiliation have been primed and have been shown to affect behaviour and perceptions in ways similar to conscious activation (e.g., Lakin &amp; Chartrand, 2003). Emerging evidence now suggest that motivational processes related to self-determination theory (Deci &amp; Ryan, 2000), such as intrinsic and extrinsic motivation can be nonconsciously primed and then influence perceptions and behaviours (e. These nonconscious effects are shown to parallel the conscious effects of motivational processes. These findings challenge researchers interested in SDT and other humanistic theories to think about whether all behaviours and forms of regulation can be nonconsciously determined. In the present paper, the authors argue that automatic nonconscious processes are not always maladaptive and that autonomous (self-determined) as well as controlled forms of motivation can be automatically and nonconsciously activated. However, the authors also argue that conscious processes are essential to our daily experiences and necessary to modulate the manifestation and expression of nonconscious processes that are negative or detrimental to growth or well-being. The dual-process approach is currently ubiquitous in psychol-ogy. A recent literature search for articles on this approach re-turned over 2,400 hits. A central tenet of this model is that behaviour is determined by a mix of controlled (conscious) and automatic (nonconscious) processes (", "author" : [ { "dropping-particle" : "", "family" : "Levesque", "given" : "Chantal", "non-dropping-particle" : "", "parse-names" : false, "suffix" : "" }, { "dropping-particle" : "", "family" : "Copeland", "given" : "Kelly J", "non-dropping-particle" : "", "parse-names" : false, "suffix" : "" }, { "dropping-particle" : "", "family" : "Sutcliffe", "given" : "Rachel A", "non-dropping-particle" : "", "parse-names" : false, "suffix" : "" } ], "container-title" : "Bargh", "id" : "ITEM-4", "issued" : { "date-parts" : [ [ "2006" ] ] }, "publisher" : "Gollwitzer &amp; Moskowitz Higgins Higgins &amp; Bargh", "title" : "Conscious and Nonconscious Processes: Implications for Self- Determination Theory", "type" : "article-journal" }, "uris" : [ "http://www.mendeley.com/documents/?uuid=b5a2b3a7-655d-3811-990a-124ebb91478c" ] }, { "id" : "ITEM-5", "itemData" : { "DOI" : "10.1177/02654075030205002", "ISBN" : "0265-4075", "ISSN" : "02654075", "PMID" : "186835300002", "abstract" : "People frequently regulate the emotions that arise during tense social interactions. Common regulation strategies include cognitive reappraisal, which involves interpreting a situation in positive terms, and expressive suppression, which involves inhibiting overt signs of inner emotional states. According to our analysis, during tense social interactions reappraisal should (i) increase memory for what was said, whereas suppression should (ii) decrease memory for what was said, and (iii) increase memory for emotions. To test these predictions, we experimentally manipulated reappraisal and suppression in dating couples as they discussed a relationship conflict. As predicted, memory for conversation utterances was increased by reappraisal and decreased by suppression, and memory for emotional reactions was increased by suppression. Self-monitoring mediated the effect of suppression on memory for emotional reactions, but not for conversation utterances. These findings suggest that, if it is important to preserve the fidelity of cognitive functioning during emotionally trying social interactions, some forms of emotion regulation may have more to recommend them than others.", "author" : [ { "dropping-particle" : "", "family" : "Richards", "given" : "Jane M.", "non-dropping-particle" : "", "parse-names" : false, "suffix" : "" }, { "dropping-particle" : "", "family" : "Butler", "given" : "Emily A.", "non-dropping-particle" : "", "parse-names" : false, "suffix" : "" }, { "dropping-particle" : "", "family" : "Gross", "given" : "James J.", "non-dropping-particle" : "", "parse-names" : false, "suffix" : "" } ], "container-title" : "Journal of Social and Personal Relationships", "id" : "ITEM-5", "issue" : "5", "issued" : { "date-parts" : [ [ "2003" ] ] }, "page" : "599-620", "title" : "Emotion Regulation in Romantic Relationships: The Cognitive Consequences of Concealing Feelings", "type" : "article-journal", "volume" : "20" }, "uris" : [ "http://www.mendeley.com/documents/?uuid=206810a4-914f-30d0-8f89-835b0f0ce62d" ] } ], "mendeley" : { "formattedCitation" : "(Butler et al., 2003; Gross &amp; Levenson, 1993; S. G. Hofmann, Heering, Sawyer, &amp; Asnaani, 2009; Levesque, Copeland, &amp; Sutcliffe, 2006; Jane M. Richards et al., 2003)", "plainTextFormattedCitation" : "(Butler et al., 2003; Gross &amp; Levenson, 1993; S. G. Hofmann, Heering, Sawyer, &amp; Asnaani, 2009; Levesque, Copeland, &amp; Sutcliffe, 2006; Jane M. Richards et al., 2003)", "previouslyFormattedCitation" : "(Butler et al., 2003; Gross &amp; Levenson, 1993; S. G. Hofmann, Heering, Sawyer, &amp; Asnaani, 2009; Levesque, Copeland, &amp; Sutcliffe, 2006; Jane M. Richards et al., 2003)" }, "properties" : { "noteIndex" : 0 }, "schema" : "https://github.com/citation-style-language/schema/raw/master/csl-citation.json" }</w:instrText>
      </w:r>
      <w:r w:rsidR="00B06E70" w:rsidRPr="00DF5538">
        <w:rPr>
          <w:rFonts w:cs="Times New Roman"/>
          <w:bCs/>
          <w:iCs/>
          <w:sz w:val="24"/>
          <w:szCs w:val="24"/>
        </w:rPr>
        <w:fldChar w:fldCharType="separate"/>
      </w:r>
      <w:r w:rsidR="00D75450" w:rsidRPr="00D75450">
        <w:rPr>
          <w:rFonts w:cs="Times New Roman"/>
          <w:bCs/>
          <w:iCs/>
          <w:noProof/>
          <w:sz w:val="24"/>
          <w:szCs w:val="24"/>
        </w:rPr>
        <w:t>Butler et al., 2003; Gross &amp; Levenson, 1993; Hofmann, Heering, Sawyer, &amp; Asnaani, 2009; Levesque, Copeland, &amp; Sutcliffe, 2006; Richards et al., 2003)</w:t>
      </w:r>
      <w:r w:rsidR="00B06E70" w:rsidRPr="00DF5538">
        <w:rPr>
          <w:rFonts w:cs="Times New Roman"/>
          <w:bCs/>
          <w:iCs/>
          <w:sz w:val="24"/>
          <w:szCs w:val="24"/>
        </w:rPr>
        <w:fldChar w:fldCharType="end"/>
      </w:r>
      <w:r w:rsidRPr="00DF5538">
        <w:rPr>
          <w:rFonts w:cs="Times New Roman"/>
          <w:bCs/>
          <w:iCs/>
          <w:sz w:val="24"/>
          <w:szCs w:val="24"/>
        </w:rPr>
        <w:t>, to</w:t>
      </w:r>
      <w:r w:rsidRPr="00F259B7">
        <w:rPr>
          <w:rFonts w:cs="Times New Roman"/>
          <w:bCs/>
          <w:iCs/>
          <w:sz w:val="24"/>
          <w:szCs w:val="24"/>
        </w:rPr>
        <w:t xml:space="preserve"> name some.</w:t>
      </w:r>
    </w:p>
    <w:p w:rsidR="00FB1389" w:rsidRPr="00D05EBD" w:rsidRDefault="00FB1389" w:rsidP="00AE640B">
      <w:pPr>
        <w:spacing w:line="480" w:lineRule="auto"/>
        <w:ind w:firstLine="720"/>
        <w:jc w:val="both"/>
        <w:rPr>
          <w:sz w:val="24"/>
          <w:szCs w:val="24"/>
        </w:rPr>
      </w:pPr>
      <w:r w:rsidRPr="00D05EBD">
        <w:rPr>
          <w:sz w:val="24"/>
          <w:szCs w:val="24"/>
        </w:rPr>
        <w:lastRenderedPageBreak/>
        <w:t xml:space="preserve">Literature on ER has classified ER strategies according to different criteria, for example, </w:t>
      </w:r>
      <w:r w:rsidR="00B06E70">
        <w:rPr>
          <w:sz w:val="24"/>
          <w:szCs w:val="24"/>
        </w:rPr>
        <w:fldChar w:fldCharType="begin" w:fldLock="1"/>
      </w:r>
      <w:r w:rsidR="00E160AB">
        <w:rPr>
          <w:sz w:val="24"/>
          <w:szCs w:val="24"/>
        </w:rPr>
        <w:instrText>ADDIN CSL_CITATION { "citationItems" : [ { "id" : "ITEM-1", "itemData" : { "DOI" : "10.1080/02699930802619031", "ISBN" : "0269-9931", "ISSN" : "0269-9931", "PMID" : "35772160", "abstract" : "The present article reviews modern research on the psychology of emotion regulation. Emotion regulation determines the offset of emotional responding and is thus distinct from emotional sensitivity, which determines the onset of emotional responding. Among the most viable categories for classifying emotion-regulation strategies are the targets and functions of emotion regulation. The emotion-generating systems that are targeted in emotion regulation include attention, knowledge, and bodily responses. The functions of emotion regulation include satisfying hedonic needs, supporting specific goal pursuits, and facilitating the global personality system. Emotion-regulation strategies are classified in terms of their targets and functions and relevant empirical work is reviewed. Throughout this review, emotion regulation emerges as one of the most far-ranging and influential processes at the interface of cognition and emotion.", "author" : [ { "dropping-particle" : "", "family" : "Koole", "given" : "Sander L", "non-dropping-particle" : "", "parse-names" : false, "suffix" : "" } ], "container-title" : "Cognition &amp; Emotion", "id" : "ITEM-1", "issue" : "1", "issued" : { "date-parts" : [ [ "2009" ] ] }, "page" : "4-41", "title" : "The psychology of emotion regulation: An integrative review", "type" : "article-journal", "volume" : "23" }, "uris" : [ "http://www.mendeley.com/documents/?uuid=2765591b-72cd-392a-96cf-2b00e6218bef" ] } ], "mendeley" : { "formattedCitation" : "(Koole, 2009)", "manualFormatting" : "Koole (2009)", "plainTextFormattedCitation" : "(Koole, 2009)", "previouslyFormattedCitation" : "(Koole, 2009)" }, "properties" : { "noteIndex" : 0 }, "schema" : "https://github.com/citation-style-language/schema/raw/master/csl-citation.json" }</w:instrText>
      </w:r>
      <w:r w:rsidR="00B06E70">
        <w:rPr>
          <w:sz w:val="24"/>
          <w:szCs w:val="24"/>
        </w:rPr>
        <w:fldChar w:fldCharType="separate"/>
      </w:r>
      <w:r w:rsidR="00E160AB">
        <w:rPr>
          <w:noProof/>
          <w:sz w:val="24"/>
          <w:szCs w:val="24"/>
        </w:rPr>
        <w:t>Koole</w:t>
      </w:r>
      <w:r w:rsidR="00F259B7" w:rsidRPr="00F259B7">
        <w:rPr>
          <w:noProof/>
          <w:sz w:val="24"/>
          <w:szCs w:val="24"/>
        </w:rPr>
        <w:t xml:space="preserve"> </w:t>
      </w:r>
      <w:r w:rsidR="00E160AB">
        <w:rPr>
          <w:noProof/>
          <w:sz w:val="24"/>
          <w:szCs w:val="24"/>
        </w:rPr>
        <w:t>(</w:t>
      </w:r>
      <w:r w:rsidR="00F259B7" w:rsidRPr="00F259B7">
        <w:rPr>
          <w:noProof/>
          <w:sz w:val="24"/>
          <w:szCs w:val="24"/>
        </w:rPr>
        <w:t>2009)</w:t>
      </w:r>
      <w:r w:rsidR="00B06E70">
        <w:rPr>
          <w:sz w:val="24"/>
          <w:szCs w:val="24"/>
        </w:rPr>
        <w:fldChar w:fldCharType="end"/>
      </w:r>
      <w:r w:rsidRPr="00D05EBD">
        <w:rPr>
          <w:sz w:val="24"/>
          <w:szCs w:val="24"/>
        </w:rPr>
        <w:t xml:space="preserve"> uses a classification according to the psychological function of ER. He talks about three functions: the need-directed function (aimed at decreasing the negative and increasing the positive level of the emotion), the goal-directed function (aimed at pursuing a desirable emotional state) and the person-directed function (which focuses on the needs, goals, motives and other self-aspects of the person). Within each of these functions an individual can engage in ER behaviours at an attentional level (turning attention away or towards the emotional stimulus), at a knowledge level (where the person thinks in an evaluative manner of an emotional situation) or body level (which refers to the changes that can be made in the bodily manifestations of emotion) </w:t>
      </w:r>
      <w:r w:rsidR="00B06E70">
        <w:rPr>
          <w:sz w:val="24"/>
          <w:szCs w:val="24"/>
        </w:rPr>
        <w:fldChar w:fldCharType="begin" w:fldLock="1"/>
      </w:r>
      <w:r w:rsidR="00F259B7">
        <w:rPr>
          <w:sz w:val="24"/>
          <w:szCs w:val="24"/>
        </w:rPr>
        <w:instrText>ADDIN CSL_CITATION { "citationItems" : [ { "id" : "ITEM-1", "itemData" : { "DOI" : "10.1080/02699930802619031", "ISBN" : "0269-9931", "ISSN" : "0269-9931", "PMID" : "35772160", "abstract" : "The present article reviews modern research on the psychology of emotion regulation. Emotion regulation determines the offset of emotional responding and is thus distinct from emotional sensitivity, which determines the onset of emotional responding. Among the most viable categories for classifying emotion-regulation strategies are the targets and functions of emotion regulation. The emotion-generating systems that are targeted in emotion regulation include attention, knowledge, and bodily responses. The functions of emotion regulation include satisfying hedonic needs, supporting specific goal pursuits, and facilitating the global personality system. Emotion-regulation strategies are classified in terms of their targets and functions and relevant empirical work is reviewed. Throughout this review, emotion regulation emerges as one of the most far-ranging and influential processes at the interface of cognition and emotion.", "author" : [ { "dropping-particle" : "", "family" : "Koole", "given" : "Sander L", "non-dropping-particle" : "", "parse-names" : false, "suffix" : "" } ], "container-title" : "Cognition &amp; Emotion", "id" : "ITEM-1", "issue" : "1", "issued" : { "date-parts" : [ [ "2009" ] ] }, "page" : "4-41", "title" : "The psychology of emotion regulation: An integrative review", "type" : "article-journal", "volume" : "23" }, "uris" : [ "http://www.mendeley.com/documents/?uuid=2765591b-72cd-392a-96cf-2b00e6218bef" ] } ], "mendeley" : { "formattedCitation" : "(Koole, 2009)", "plainTextFormattedCitation" : "(Koole, 2009)", "previouslyFormattedCitation" : "(Koole, 2009)" }, "properties" : { "noteIndex" : 0 }, "schema" : "https://github.com/citation-style-language/schema/raw/master/csl-citation.json" }</w:instrText>
      </w:r>
      <w:r w:rsidR="00B06E70">
        <w:rPr>
          <w:sz w:val="24"/>
          <w:szCs w:val="24"/>
        </w:rPr>
        <w:fldChar w:fldCharType="separate"/>
      </w:r>
      <w:r w:rsidR="00F259B7" w:rsidRPr="00F259B7">
        <w:rPr>
          <w:noProof/>
          <w:sz w:val="24"/>
          <w:szCs w:val="24"/>
        </w:rPr>
        <w:t>(Koole, 2009)</w:t>
      </w:r>
      <w:r w:rsidR="00B06E70">
        <w:rPr>
          <w:sz w:val="24"/>
          <w:szCs w:val="24"/>
        </w:rPr>
        <w:fldChar w:fldCharType="end"/>
      </w:r>
      <w:r w:rsidR="00F259B7">
        <w:rPr>
          <w:sz w:val="24"/>
          <w:szCs w:val="24"/>
        </w:rPr>
        <w:t>.</w:t>
      </w:r>
      <w:r w:rsidRPr="00D05EBD">
        <w:rPr>
          <w:sz w:val="24"/>
          <w:szCs w:val="24"/>
        </w:rPr>
        <w:t xml:space="preserve"> For example, in the need-directed function, an attentional level ER strategy would be attentional avoidance (directing one’s attention away from the emotional situation); in the knowledge level, relevant strategies would include cognitive dissonance reduction (reduction in the feeling of discomfort caused by conflictive attitudes, beliefs or behaviours) or motivated reasoning (the influence motives have on perceptions, attitudes and attributions); and in the body level, stress-induced eating would be relevant. </w:t>
      </w:r>
    </w:p>
    <w:p w:rsidR="00FB1389" w:rsidRPr="00D05EBD" w:rsidRDefault="00FB1389" w:rsidP="00AE640B">
      <w:pPr>
        <w:spacing w:line="480" w:lineRule="auto"/>
        <w:ind w:firstLine="720"/>
        <w:jc w:val="both"/>
        <w:rPr>
          <w:sz w:val="24"/>
          <w:szCs w:val="24"/>
        </w:rPr>
      </w:pPr>
      <w:r w:rsidRPr="00D05EBD">
        <w:rPr>
          <w:sz w:val="24"/>
          <w:szCs w:val="24"/>
        </w:rPr>
        <w:t xml:space="preserve">Another widely-used classification of ER strategies bases its classification on the stage at which the emotion is regulated in its development. </w:t>
      </w:r>
      <w:r w:rsidR="00B06E70">
        <w:rPr>
          <w:sz w:val="24"/>
          <w:szCs w:val="24"/>
        </w:rPr>
        <w:fldChar w:fldCharType="begin" w:fldLock="1"/>
      </w:r>
      <w:r w:rsidR="00F259B7">
        <w:rPr>
          <w:sz w:val="24"/>
          <w:szCs w:val="24"/>
        </w:rPr>
        <w:instrText>ADDIN CSL_CITATION { "citationItems" : [ { "id" : "ITEM-1", "itemData" : { "DOI" : "10.1017/S0048577201393198", "ISBN" : "9781606233542", "ISSN" : "0048-5772", "PMID" : "12212647", "abstract" : "One of life's great challenges is successfully regulating emotions. Do some emotion regulation strategies have more to recommend them than others? According to J. J. Gross's (1998) process model of emotion regulation, strategies that act early in the emotion-generative process should have a different profile of consequences than strategies that act later on. This review focuses on 2 commonly used strategies for down-regulating emotion. The 1st, reappraisal, comes early in the emotion-generative process. It consists of changing the way a situation is construed so as to decrease its emotional impact. The 2nd, suppression, comes later in the emotion-generative process. It consists of inhibiting the outward signs of inner feelings. Experimental and individual-difference studies find reappraisal is often more effective than suppression. Reappraisal decreases emotion experience and behavioral expression, and has no impact on memory. By contrast, suppression decreases behavioral expression, but fails to decrease emotion experience, and actually impairs memory. Suppression also increases physiological responding for suppressors and their social partners. This review concludes with a consideration of five important directions for future research on emotion regulation processes.", "author" : [ { "dropping-particle" : "", "family" : "Gross", "given" : "James J", "non-dropping-particle" : "", "parse-names" : false, "suffix" : "" } ], "container-title" : "Psychophysiology", "id" : "ITEM-1", "issue" : "3", "issued" : { "date-parts" : [ [ "2002" ] ] }, "page" : "281-291", "title" : "Emotion regulation: Affective, cognitive, and social consequences", "type" : "article-journal", "volume" : "39" }, "uris" : [ "http://www.mendeley.com/documents/?uuid=135ea1fb-7653-3295-9814-a26313ccd534" ] } ], "mendeley" : { "formattedCitation" : "(Gross, 2002)", "manualFormatting" : "Gross's, process model of emotion regulation (2002", "plainTextFormattedCitation" : "(Gross, 2002)", "previouslyFormattedCitation" : "(Gross, 2002)" }, "properties" : { "noteIndex" : 0 }, "schema" : "https://github.com/citation-style-language/schema/raw/master/csl-citation.json" }</w:instrText>
      </w:r>
      <w:r w:rsidR="00B06E70">
        <w:rPr>
          <w:sz w:val="24"/>
          <w:szCs w:val="24"/>
        </w:rPr>
        <w:fldChar w:fldCharType="separate"/>
      </w:r>
      <w:r w:rsidR="00F259B7" w:rsidRPr="00F259B7">
        <w:rPr>
          <w:noProof/>
          <w:sz w:val="24"/>
          <w:szCs w:val="24"/>
        </w:rPr>
        <w:t>Gross</w:t>
      </w:r>
      <w:r w:rsidR="00F259B7">
        <w:rPr>
          <w:noProof/>
          <w:sz w:val="24"/>
          <w:szCs w:val="24"/>
        </w:rPr>
        <w:t>'s</w:t>
      </w:r>
      <w:r w:rsidR="00F259B7" w:rsidRPr="00F259B7">
        <w:rPr>
          <w:noProof/>
          <w:sz w:val="24"/>
          <w:szCs w:val="24"/>
        </w:rPr>
        <w:t xml:space="preserve">, </w:t>
      </w:r>
      <w:r w:rsidR="00F259B7">
        <w:rPr>
          <w:noProof/>
          <w:sz w:val="24"/>
          <w:szCs w:val="24"/>
        </w:rPr>
        <w:t>process model of emotion regulation (</w:t>
      </w:r>
      <w:r w:rsidR="00F259B7" w:rsidRPr="00F259B7">
        <w:rPr>
          <w:noProof/>
          <w:sz w:val="24"/>
          <w:szCs w:val="24"/>
        </w:rPr>
        <w:t>2002</w:t>
      </w:r>
      <w:r w:rsidR="00B06E70">
        <w:rPr>
          <w:sz w:val="24"/>
          <w:szCs w:val="24"/>
        </w:rPr>
        <w:fldChar w:fldCharType="end"/>
      </w:r>
      <w:r w:rsidR="00F259B7">
        <w:rPr>
          <w:sz w:val="24"/>
          <w:szCs w:val="24"/>
        </w:rPr>
        <w:t xml:space="preserve">) </w:t>
      </w:r>
      <w:r w:rsidRPr="00D05EBD">
        <w:rPr>
          <w:sz w:val="24"/>
          <w:szCs w:val="24"/>
        </w:rPr>
        <w:t xml:space="preserve">broadly classifies ER regulation into antecedent focused ER, which includes the 1) selection of the situation, 2) the modification of the situation, 3) attentional deployment and, 4) cognitive change; or response focused emotion regulation which includes 5) the modulation of the emotional response. Antecedent </w:t>
      </w:r>
      <w:r w:rsidRPr="00D05EBD">
        <w:rPr>
          <w:sz w:val="24"/>
          <w:szCs w:val="24"/>
        </w:rPr>
        <w:lastRenderedPageBreak/>
        <w:t xml:space="preserve">focused ER strategies occur before the emotion has been completely activated. One antecedent focused ER strategy would be reappraisal, which is used before something provokes an emotional reaction in the person. For example, people who are afraid of dentists might think in advance that they are going for a simple procedure, in order to prevent feelings of fear from happening. In contrast, response focused ER strategies occur when the emotion has already been activated. Using the same going to the dentist situation, people might try to hide their feelings of fear to avoid the dentist noticing they are terrified. This model is particularly useful as it allows researchers to investigate which strategies are more effective (for a review see </w:t>
      </w:r>
      <w:r w:rsidR="00B06E70">
        <w:rPr>
          <w:sz w:val="24"/>
          <w:szCs w:val="24"/>
        </w:rPr>
        <w:fldChar w:fldCharType="begin" w:fldLock="1"/>
      </w:r>
      <w:r w:rsidR="00E160AB">
        <w:rPr>
          <w:sz w:val="24"/>
          <w:szCs w:val="24"/>
        </w:rPr>
        <w:instrText>ADDIN CSL_CITATION { "citationItems" : [ { "id" : "ITEM-1", "itemData" : { "DOI" : "10.1037/a0027600", "ISBN" : "00332909", "ISSN" : "1939-1455", "PMID" : "22582737", "abstract" : "The present meta-analysis investigated the effectiveness of strategies derived from the process model of emotion regulation in modifying emotional outcomes as indexed by experiential, behavioral, and physiological measures. A systematic search of the literature identified 306 experimental comparisons of different emotion regulation (ER) strategies. ER instructions were coded according to a new taxonomy, and meta-analysis was used to evaluate the effectiveness of each strategy across studies. The findings revealed differences in effectiveness between ER processes: Attentional deployment had no effect on emotional outcomes (d(+) = 0.00), response modulation had a small effect (d(+) = 0.16), and cognitive change had a small-to-medium effect (d(+) = 0.36). There were also important within-process differences. We identified 7 types of attentional deployment, 4 types of cognitive change, and 4 types of response modulation, and these distinctions had a substantial influence on effectiveness. Whereas distraction was an effective way to regulate emotions (d(+) = 0.27), concentration was not (d(+) = -0.26). Similarly, suppressing the expression of emotion proved effective (d(+) = 0.32), but suppressing the experience of emotion or suppressing thoughts of the emotion-eliciting event did not (d(+) = -0.04 and -0.12, respectively). Finally, reappraising the emotional response proved less effective (d(+) = 0.23) than reappraising the emotional stimulus (d(+) = 0.36) or using perspective taking (d(+) = 0.45). The review also identified several moderators of strategy effectiveness including factors related to the (a) to-be-regulated emotion, (b) frequency of use and intended purpose of the ER strategy, (c) study design, and (d) study characteristics.", "author" : [ { "dropping-particle" : "", "family" : "Webb", "given" : "Thomas L", "non-dropping-particle" : "", "parse-names" : false, "suffix" : "" }, { "dropping-particle" : "", "family" : "Miles", "given" : "Eleanor", "non-dropping-particle" : "", "parse-names" : false, "suffix" : "" }, { "dropping-particle" : "", "family" : "Sheeran", "given" : "Paschal", "non-dropping-particle" : "", "parse-names" : false, "suffix" : "" } ], "container-title" : "Psychological bulletin", "id" : "ITEM-1", "issue" : "4", "issued" : { "date-parts" : [ [ "2012" ] ] }, "page" : "775-808", "title" : "Dealing with feeling: a meta-analysis of the effectiveness of strategies derived from the process model of emotion regulation.", "type" : "article-journal", "volume" : "138" }, "uris" : [ "http://www.mendeley.com/documents/?uuid=39a064f7-4a94-3f80-a6e0-dab8e99f35ef" ] } ], "mendeley" : { "formattedCitation" : "(Webb, Miles, &amp; Sheeran, 2012)", "manualFormatting" : "Webb, Miles, &amp; Sheeran, 2012)", "plainTextFormattedCitation" : "(Webb, Miles, &amp; Sheeran, 2012)", "previouslyFormattedCitation" : "(Webb, Miles, &amp; Sheeran, 2012)" }, "properties" : { "noteIndex" : 0 }, "schema" : "https://github.com/citation-style-language/schema/raw/master/csl-citation.json" }</w:instrText>
      </w:r>
      <w:r w:rsidR="00B06E70">
        <w:rPr>
          <w:sz w:val="24"/>
          <w:szCs w:val="24"/>
        </w:rPr>
        <w:fldChar w:fldCharType="separate"/>
      </w:r>
      <w:r w:rsidR="00F259B7" w:rsidRPr="00F259B7">
        <w:rPr>
          <w:noProof/>
          <w:sz w:val="24"/>
          <w:szCs w:val="24"/>
        </w:rPr>
        <w:t>Webb, Miles, &amp; Sheeran, 2012)</w:t>
      </w:r>
      <w:r w:rsidR="00B06E70">
        <w:rPr>
          <w:sz w:val="24"/>
          <w:szCs w:val="24"/>
        </w:rPr>
        <w:fldChar w:fldCharType="end"/>
      </w:r>
      <w:r w:rsidRPr="00D05EBD">
        <w:rPr>
          <w:sz w:val="24"/>
          <w:szCs w:val="24"/>
        </w:rPr>
        <w:t xml:space="preserve">, with a tendency of antecedent-focused strategies as being more effective than response-focused strategies </w:t>
      </w:r>
      <w:r w:rsidR="00B06E70">
        <w:rPr>
          <w:sz w:val="24"/>
          <w:szCs w:val="24"/>
        </w:rPr>
        <w:fldChar w:fldCharType="begin" w:fldLock="1"/>
      </w:r>
      <w:r w:rsidR="0089549E">
        <w:rPr>
          <w:sz w:val="24"/>
          <w:szCs w:val="24"/>
        </w:rPr>
        <w:instrText>ADDIN CSL_CITATION { "citationItems" : [ { "id" : "ITEM-1", "itemData" : { "DOI" : "10.1037/1089-2680.2.3.271", "ISBN" : "1939-1552(Electronic);1089-2680(Print)", "ISSN" : "10892680", "PMID" : "21827323", "abstract" : "The emerging field of emotion regulation studies how individuals influence which emotions they have, when they have them, and how they experience and express them. This review takes an evolutionary perspective and characterizes emotion in terms of response tendencies. Emotion regulation is denned and distinguished from coping, mood regulation, defense, and affect regulation. In the increasingly specialized discipline of psychology, the field of emotion regulation cuts across traditional boundaries and provides common ground. According to a process model of emotion regulation, emotion may be regulated at five points in the emotion generative process: (a) selection of the situation, (b) modification of the situation, (c) deployment of attention, (d) change of cognitions, and (e) modulation of responses. The field of emotion regulation promises new insights into age-old questions about how people manage their emotions.", "author" : [ { "dropping-particle" : "", "family" : "Gross", "given" : "James J", "non-dropping-particle" : "", "parse-names" : false, "suffix" : "" } ], "container-title" : "Review of General Psychology", "id" : "ITEM-1", "issue" : "5", "issued" : { "date-parts" : [ [ "1998" ] ] }, "page" : "271-299", "title" : "The Emerging Field of Emotion Regulation : An Integrative Review Ih Ih", "type" : "article-journal", "volume" : "2" }, "uris" : [ "http://www.mendeley.com/documents/?uuid=9c5b6258-1f15-3b8b-a30f-fa6ff64a7de8" ] }, { "id" : "ITEM-2", "itemData" : { "DOI" : "10.1037/0022-3514.85.2.348", "ISBN" : "0022-3514\\r1939-1315", "ISSN" : "0022-3514", "PMID" : "12916575", "abstract" : "Five studies tested two general hypotheses: Individuals differ in their use of emotion regulation strategies such as reappraisal and suppression, and these individual differences have implications for affect, well-being, and social relationships. Study 1 presents new measures of the habitual use of reappraisal and suppression. Study 2 examines convergent and discriminant validity. Study 3 shows that reappraisers experience and express greater positive emotion and lesser negative emotion, whereas suppressors experience and express lesser positive emotion, yet experience greater negative emotion. Study 4 indicates that using reappraisal is associated with better interpersonal functioning, whereas using suppression is associated with worse interpersonal functioning. Study 5 shows that using reappraisal is related positively to well-being, whereas using suppression is related negatively.", "author" : [ { "dropping-particle" : "", "family" : "Gross", "given" : "James J", "non-dropping-particle" : "", "parse-names" : false, "suffix" : "" }, { "dropping-particle" : "", "family" : "John", "given" : "Oliver P", "non-dropping-particle" : "", "parse-names" : false, "suffix" : "" } ], "container-title" : "Journal of personality and social psychology", "id" : "ITEM-2", "issue" : "2", "issued" : { "date-parts" : [ [ "2003" ] ] }, "page" : "348-362", "title" : "Individual differences in two emotion regulation processes: implications for affect, relationships, and well-being.", "type" : "article-journal", "volume" : "85" }, "uris" : [ "http://www.mendeley.com/documents/?uuid=7e997c56-1c76-416c-9e20-cb6be3789ff7" ] } ], "mendeley" : { "formattedCitation" : "(Gross, 1998; Gross &amp; John, 2003b)", "plainTextFormattedCitation" : "(Gross, 1998; Gross &amp; John, 2003b)", "previouslyFormattedCitation" : "(Gross, 1998; Gross &amp; John, 2003b)" }, "properties" : { "noteIndex" : 0 }, "schema" : "https://github.com/citation-style-language/schema/raw/master/csl-citation.json" }</w:instrText>
      </w:r>
      <w:r w:rsidR="00B06E70">
        <w:rPr>
          <w:sz w:val="24"/>
          <w:szCs w:val="24"/>
        </w:rPr>
        <w:fldChar w:fldCharType="separate"/>
      </w:r>
      <w:r w:rsidR="0089549E" w:rsidRPr="0089549E">
        <w:rPr>
          <w:noProof/>
          <w:sz w:val="24"/>
          <w:szCs w:val="24"/>
        </w:rPr>
        <w:t>(Gross, 1998; Gross &amp; John, 2003b)</w:t>
      </w:r>
      <w:r w:rsidR="00B06E70">
        <w:rPr>
          <w:sz w:val="24"/>
          <w:szCs w:val="24"/>
        </w:rPr>
        <w:fldChar w:fldCharType="end"/>
      </w:r>
      <w:r w:rsidRPr="00D05EBD">
        <w:rPr>
          <w:sz w:val="24"/>
          <w:szCs w:val="24"/>
        </w:rPr>
        <w:t xml:space="preserve">, particularly, cognitive change strategies (e.g. reappraisal) </w:t>
      </w:r>
      <w:r w:rsidR="00B06E70">
        <w:rPr>
          <w:sz w:val="24"/>
          <w:szCs w:val="24"/>
        </w:rPr>
        <w:fldChar w:fldCharType="begin" w:fldLock="1"/>
      </w:r>
      <w:r w:rsidR="003C0500">
        <w:rPr>
          <w:sz w:val="24"/>
          <w:szCs w:val="24"/>
        </w:rPr>
        <w:instrText>ADDIN CSL_CITATION { "citationItems" : [ { "id" : "ITEM-1", "itemData" : { "DOI" : "10.1037/a0027600", "ISBN" : "00332909", "ISSN" : "1939-1455", "PMID" : "22582737", "abstract" : "The present meta-analysis investigated the effectiveness of strategies derived from the process model of emotion regulation in modifying emotional outcomes as indexed by experiential, behavioral, and physiological measures. A systematic search of the literature identified 306 experimental comparisons of different emotion regulation (ER) strategies. ER instructions were coded according to a new taxonomy, and meta-analysis was used to evaluate the effectiveness of each strategy across studies. The findings revealed differences in effectiveness between ER processes: Attentional deployment had no effect on emotional outcomes (d(+) = 0.00), response modulation had a small effect (d(+) = 0.16), and cognitive change had a small-to-medium effect (d(+) = 0.36). There were also important within-process differences. We identified 7 types of attentional deployment, 4 types of cognitive change, and 4 types of response modulation, and these distinctions had a substantial influence on effectiveness. Whereas distraction was an effective way to regulate emotions (d(+) = 0.27), concentration was not (d(+) = -0.26). Similarly, suppressing the expression of emotion proved effective (d(+) = 0.32), but suppressing the experience of emotion or suppressing thoughts of the emotion-eliciting event did not (d(+) = -0.04 and -0.12, respectively). Finally, reappraising the emotional response proved less effective (d(+) = 0.23) than reappraising the emotional stimulus (d(+) = 0.36) or using perspective taking (d(+) = 0.45). The review also identified several moderators of strategy effectiveness including factors related to the (a) to-be-regulated emotion, (b) frequency of use and intended purpose of the ER strategy, (c) study design, and (d) study characteristics.", "author" : [ { "dropping-particle" : "", "family" : "Webb", "given" : "Thomas L", "non-dropping-particle" : "", "parse-names" : false, "suffix" : "" }, { "dropping-particle" : "", "family" : "Miles", "given" : "Eleanor", "non-dropping-particle" : "", "parse-names" : false, "suffix" : "" }, { "dropping-particle" : "", "family" : "Sheeran", "given" : "Paschal", "non-dropping-particle" : "", "parse-names" : false, "suffix" : "" } ], "container-title" : "Psychological bulletin", "id" : "ITEM-1", "issue" : "4", "issued" : { "date-parts" : [ [ "2012" ] ] }, "page" : "775-808", "title" : "Dealing with feeling: a meta-analysis of the effectiveness of strategies derived from the process model of emotion regulation.", "type" : "article-journal", "volume" : "138" }, "uris" : [ "http://www.mendeley.com/documents/?uuid=39a064f7-4a94-3f80-a6e0-dab8e99f35ef" ] } ], "mendeley" : { "formattedCitation" : "(Webb et al., 2012)", "plainTextFormattedCitation" : "(Webb et al., 2012)", "previouslyFormattedCitation" : "(Webb et al., 2012)" }, "properties" : { "noteIndex" : 0 }, "schema" : "https://github.com/citation-style-language/schema/raw/master/csl-citation.json" }</w:instrText>
      </w:r>
      <w:r w:rsidR="00B06E70">
        <w:rPr>
          <w:sz w:val="24"/>
          <w:szCs w:val="24"/>
        </w:rPr>
        <w:fldChar w:fldCharType="separate"/>
      </w:r>
      <w:r w:rsidR="00E160AB" w:rsidRPr="00E160AB">
        <w:rPr>
          <w:noProof/>
          <w:sz w:val="24"/>
          <w:szCs w:val="24"/>
        </w:rPr>
        <w:t>(Webb et al., 2012)</w:t>
      </w:r>
      <w:r w:rsidR="00B06E70">
        <w:rPr>
          <w:sz w:val="24"/>
          <w:szCs w:val="24"/>
        </w:rPr>
        <w:fldChar w:fldCharType="end"/>
      </w:r>
      <w:r w:rsidRPr="00D05EBD">
        <w:rPr>
          <w:sz w:val="24"/>
          <w:szCs w:val="24"/>
        </w:rPr>
        <w:t>.</w:t>
      </w:r>
    </w:p>
    <w:p w:rsidR="00FB1389" w:rsidRPr="00D05EBD" w:rsidRDefault="00FB1389" w:rsidP="00AE640B">
      <w:pPr>
        <w:spacing w:line="480" w:lineRule="auto"/>
        <w:ind w:firstLine="709"/>
        <w:jc w:val="both"/>
        <w:rPr>
          <w:sz w:val="24"/>
          <w:szCs w:val="24"/>
        </w:rPr>
      </w:pPr>
      <w:r w:rsidRPr="00D05EBD">
        <w:rPr>
          <w:sz w:val="24"/>
          <w:szCs w:val="24"/>
        </w:rPr>
        <w:t xml:space="preserve">Another broad way of classifying ER is into strategies designed to improve versus those designed to worsen emotions. </w:t>
      </w:r>
      <w:r w:rsidR="00B06E70">
        <w:rPr>
          <w:sz w:val="24"/>
          <w:szCs w:val="24"/>
        </w:rPr>
        <w:fldChar w:fldCharType="begin" w:fldLock="1"/>
      </w:r>
      <w:r w:rsidR="000E40CD">
        <w:rPr>
          <w:sz w:val="24"/>
          <w:szCs w:val="24"/>
        </w:rPr>
        <w:instrText>ADDIN CSL_CITATION { "citationItems" : [ { "id" : "ITEM-1", "itemData" : { "DOI" : "10.1037/a0015962", "ISBN" : "1528-3542 1931-1516", "ISSN" : "1931-1516", "PMID" : "19653772", "abstract" : "Controlled interpersonal affect regulation refers to the deliberate regulation of someone else's affect. Building on existing research concerning this everyday process, the authors describe the development of a theoretical classification scheme that distinguishes between the types of strategy used to achieve interpersonal affect regulation. To test the theoretical classification, the authors generated a corpus of 378 distinct strategies using self-report questionnaires and diaries completed by student and working samples. Twenty participants then performed a card-sort of the strategies. Hierarchical cluster analysis was used to determine how well the theoretical classification represented spontaneous understandings of controlled interpersonal affect regulation. The final classification primarily distinguished between strategies used to improve versus those used to worsen others' affect, and between strategies that engaged the target in a situation or affective state versus relationship-oriented strategies. The classification provides a meaningful basis for organizing existing research and making future conceptual and empirical distinctions.", "author" : [ { "dropping-particle" : "", "family" : "Niven", "given" : "Karen", "non-dropping-particle" : "", "parse-names" : false, "suffix" : "" }, { "dropping-particle" : "", "family" : "Totterdell", "given" : "Peter", "non-dropping-particle" : "", "parse-names" : false, "suffix" : "" }, { "dropping-particle" : "", "family" : "Holman", "given" : "David", "non-dropping-particle" : "", "parse-names" : false, "suffix" : "" } ], "container-title" : "Emotion", "id" : "ITEM-1", "issue" : "4", "issued" : { "date-parts" : [ [ "2009" ] ] }, "page" : "498-509", "title" : "A classification of controlled interpersonal affect regulation strategies.", "type" : "article-journal", "volume" : "9" }, "uris" : [ "http://www.mendeley.com/documents/?uuid=1a5e317c-06e5-4f36-a72c-45d8ca0f6e2d" ] } ], "mendeley" : { "formattedCitation" : "(Niven et al., 2009)", "plainTextFormattedCitation" : "(Niven et al., 2009)", "previouslyFormattedCitation" : "(Niven et al., 2009)" }, "properties" : { "noteIndex" : 0 }, "schema" : "https://github.com/citation-style-language/schema/raw/master/csl-citation.json" }</w:instrText>
      </w:r>
      <w:r w:rsidR="00B06E70">
        <w:rPr>
          <w:sz w:val="24"/>
          <w:szCs w:val="24"/>
        </w:rPr>
        <w:fldChar w:fldCharType="separate"/>
      </w:r>
      <w:r w:rsidR="000E40CD" w:rsidRPr="000E40CD">
        <w:rPr>
          <w:noProof/>
          <w:sz w:val="24"/>
          <w:szCs w:val="24"/>
        </w:rPr>
        <w:t>(Niven et al., 2009)</w:t>
      </w:r>
      <w:r w:rsidR="00B06E70">
        <w:rPr>
          <w:sz w:val="24"/>
          <w:szCs w:val="24"/>
        </w:rPr>
        <w:fldChar w:fldCharType="end"/>
      </w:r>
      <w:r w:rsidRPr="00D05EBD">
        <w:rPr>
          <w:sz w:val="24"/>
          <w:szCs w:val="24"/>
        </w:rPr>
        <w:t xml:space="preserve"> proposed and validated a classification of IER strategies (strategies people use to modify the emotions of someone else) in which, at the broadest level of abstraction, classified strategies into improving and worsening IER depending on whether the motive behind the use of the IER strategy was to improve or to worsen the other person's feelings (e.g. making time for someone</w:t>
      </w:r>
      <w:r w:rsidR="00E4189A">
        <w:rPr>
          <w:sz w:val="24"/>
          <w:szCs w:val="24"/>
        </w:rPr>
        <w:t xml:space="preserve"> or being unfriendly toward </w:t>
      </w:r>
      <w:r w:rsidRPr="00D05EBD">
        <w:rPr>
          <w:sz w:val="24"/>
          <w:szCs w:val="24"/>
        </w:rPr>
        <w:t xml:space="preserve">someone, respectively). This classification will be discussed in more detail in the section on IER.  </w:t>
      </w:r>
    </w:p>
    <w:p w:rsidR="00FB1389" w:rsidRPr="00D05EBD" w:rsidRDefault="00FB1389" w:rsidP="00AE640B">
      <w:pPr>
        <w:spacing w:line="480" w:lineRule="auto"/>
        <w:jc w:val="both"/>
        <w:rPr>
          <w:b/>
          <w:sz w:val="24"/>
          <w:szCs w:val="24"/>
        </w:rPr>
      </w:pPr>
      <w:r w:rsidRPr="00D05EBD">
        <w:rPr>
          <w:b/>
          <w:sz w:val="24"/>
          <w:szCs w:val="24"/>
        </w:rPr>
        <w:t>1.3 Automatic emotion regulation (or implicit emotion regulation)</w:t>
      </w:r>
    </w:p>
    <w:p w:rsidR="00FB1389" w:rsidRPr="00D05EBD" w:rsidRDefault="00FB1389" w:rsidP="004901CA">
      <w:pPr>
        <w:spacing w:line="480" w:lineRule="auto"/>
        <w:ind w:firstLine="709"/>
        <w:jc w:val="both"/>
        <w:rPr>
          <w:sz w:val="24"/>
          <w:szCs w:val="24"/>
        </w:rPr>
      </w:pPr>
      <w:r w:rsidRPr="00D05EBD">
        <w:rPr>
          <w:sz w:val="24"/>
          <w:szCs w:val="24"/>
        </w:rPr>
        <w:t xml:space="preserve">One broad classification that can include pretty much every kind of ER is to place ER strategies on a continuum that goes from automatic to controlled processes </w:t>
      </w:r>
      <w:r w:rsidR="00B06E70">
        <w:rPr>
          <w:sz w:val="24"/>
          <w:szCs w:val="24"/>
        </w:rPr>
        <w:fldChar w:fldCharType="begin" w:fldLock="1"/>
      </w:r>
      <w:r w:rsidR="000E40CD">
        <w:rPr>
          <w:sz w:val="24"/>
          <w:szCs w:val="24"/>
        </w:rPr>
        <w:instrText>ADDIN CSL_CITATION { "citationItems" : [ { "id" : "ITEM-1", "itemData" : { "DOI" : "10.1080/02699931.2010.544160", "ISBN" : "1464-0600 (Electronic)\\n0269-9931 (Linking)", "ISSN" : "1464-0600", "PMID" : "21432682", "abstract" : "It is widely acknowledged that emotions can be regulated in an astonishing variety of ways. Most research to date has focused on explicit (effortful) forms of emotion regulation. However, there is growing research interest in implicit (automatic) forms of emotion regulation. To organise emerging findings, we present a dual-process framework that integrates explicit and implicit forms of emotion regulation, and argue that both forms of regulation are necessary for well-being. In the first section of this review, we provide a broad overview of the construct of emotion regulation, with an emphasis on explicit and implicit processes. In the second section, we focus on explicit emotion regulation, considering both neural mechanisms that are associated with these processes and their experiential and physiological consequences. In the third section, we turn to several forms of implicit emotion regulation, and integrate the burgeoning literature in this area. We conclude by outlining open questions and areas for future research.", "author" : [ { "dropping-particle" : "", "family" : "Gyurak", "given" : "Anett", "non-dropping-particle" : "", "parse-names" : false, "suffix" : "" }, { "dropping-particle" : "", "family" : "Gross", "given" : "James J", "non-dropping-particle" : "", "parse-names" : false, "suffix" : "" }, { "dropping-particle" : "", "family" : "Etkin", "given" : "Amit", "non-dropping-particle" : "", "parse-names" : false, "suffix" : "" } ], "container-title" : "Cognition &amp; emotion", "id" : "ITEM-1", "issue" : "3", "issued" : { "date-parts" : [ [ "2011" ] ] }, "page" : "400-12", "title" : "Explicit and implicit emotion regulation: a dual-process framework.", "type" : "article-journal", "volume" : "25" }, "uris" : [ "http://www.mendeley.com/documents/?uuid=1fc40f14-04c0-321f-b2d6-0eff7b668d8c" ] } ], "mendeley" : { "formattedCitation" : "(Gyurak, Gross, &amp; Etkin, 2011)", "plainTextFormattedCitation" : "(Gyurak, Gross, &amp; Etkin, 2011)", "previouslyFormattedCitation" : "(Gyurak, Gross, &amp; Etkin, 2011)" }, "properties" : { "noteIndex" : 0 }, "schema" : "https://github.com/citation-style-language/schema/raw/master/csl-citation.json" }</w:instrText>
      </w:r>
      <w:r w:rsidR="00B06E70">
        <w:rPr>
          <w:sz w:val="24"/>
          <w:szCs w:val="24"/>
        </w:rPr>
        <w:fldChar w:fldCharType="separate"/>
      </w:r>
      <w:r w:rsidR="000E40CD" w:rsidRPr="000E40CD">
        <w:rPr>
          <w:noProof/>
          <w:sz w:val="24"/>
          <w:szCs w:val="24"/>
        </w:rPr>
        <w:t xml:space="preserve">(Gyurak, </w:t>
      </w:r>
      <w:r w:rsidR="000E40CD" w:rsidRPr="000E40CD">
        <w:rPr>
          <w:noProof/>
          <w:sz w:val="24"/>
          <w:szCs w:val="24"/>
        </w:rPr>
        <w:lastRenderedPageBreak/>
        <w:t>Gross, &amp; Etkin, 2011)</w:t>
      </w:r>
      <w:r w:rsidR="00B06E70">
        <w:rPr>
          <w:sz w:val="24"/>
          <w:szCs w:val="24"/>
        </w:rPr>
        <w:fldChar w:fldCharType="end"/>
      </w:r>
      <w:r w:rsidRPr="00D05EBD">
        <w:rPr>
          <w:sz w:val="24"/>
          <w:szCs w:val="24"/>
        </w:rPr>
        <w:t xml:space="preserve">. In </w:t>
      </w:r>
      <w:r w:rsidR="00B06E70">
        <w:rPr>
          <w:sz w:val="24"/>
          <w:szCs w:val="24"/>
        </w:rPr>
        <w:fldChar w:fldCharType="begin" w:fldLock="1"/>
      </w:r>
      <w:r w:rsidR="00242A0C">
        <w:rPr>
          <w:sz w:val="24"/>
          <w:szCs w:val="24"/>
        </w:rPr>
        <w:instrText>ADDIN CSL_CITATION { "citationItems" : [ { "id" : "ITEM-1", "itemData" : { "author" : [ { "dropping-particle" : "", "family" : "Bargh", "given" : "John A.", "non-dropping-particle" : "", "parse-names" : false, "suffix" : "" } ], "chapter-number" : "1", "container-title" : "Handbook of Social Cognition:", "editor" : [ { "dropping-particle" : "", "family" : "Wyer, Robert S.", "given" : "Jr", "non-dropping-particle" : "", "parse-names" : false, "suffix" : "" }, { "dropping-particle" : "", "family" : "Srull", "given" : "Thomas K", "non-dropping-particle" : "", "parse-names" : false, "suffix" : "" } ], "id" : "ITEM-1", "issued" : { "date-parts" : [ [ "1994" ] ] }, "page" : "1-40", "publisher" : "Lawrence Erlbaum Associates", "publisher-place" : "Hillsdale,NJ, US", "title" : "The four horsemen of automaticity: Awareness, intention, efficiency, and control in social cognition", "type" : "chapter" }, "uris" : [ "http://www.mendeley.com/documents/?uuid=35fd2c30-517b-3ec6-9ecc-41a72bd35578" ] } ], "mendeley" : { "formattedCitation" : "(J. A. Bargh, 1994)", "manualFormatting" : "Bargh's (1994", "plainTextFormattedCitation" : "(J. A. Bargh, 1994)", "previouslyFormattedCitation" : "(J. A. Bargh, 1994)" }, "properties" : { "noteIndex" : 0 }, "schema" : "https://github.com/citation-style-language/schema/raw/master/csl-citation.json" }</w:instrText>
      </w:r>
      <w:r w:rsidR="00B06E70">
        <w:rPr>
          <w:sz w:val="24"/>
          <w:szCs w:val="24"/>
        </w:rPr>
        <w:fldChar w:fldCharType="separate"/>
      </w:r>
      <w:r w:rsidR="000E40CD">
        <w:rPr>
          <w:noProof/>
          <w:sz w:val="24"/>
          <w:szCs w:val="24"/>
        </w:rPr>
        <w:t>Bargh's</w:t>
      </w:r>
      <w:r w:rsidR="000E40CD" w:rsidRPr="000E40CD">
        <w:rPr>
          <w:noProof/>
          <w:sz w:val="24"/>
          <w:szCs w:val="24"/>
        </w:rPr>
        <w:t xml:space="preserve"> </w:t>
      </w:r>
      <w:r w:rsidR="000E40CD">
        <w:rPr>
          <w:noProof/>
          <w:sz w:val="24"/>
          <w:szCs w:val="24"/>
        </w:rPr>
        <w:t>(</w:t>
      </w:r>
      <w:r w:rsidR="000E40CD" w:rsidRPr="000E40CD">
        <w:rPr>
          <w:noProof/>
          <w:sz w:val="24"/>
          <w:szCs w:val="24"/>
        </w:rPr>
        <w:t>1994</w:t>
      </w:r>
      <w:r w:rsidR="00B06E70">
        <w:rPr>
          <w:sz w:val="24"/>
          <w:szCs w:val="24"/>
        </w:rPr>
        <w:fldChar w:fldCharType="end"/>
      </w:r>
      <w:r w:rsidR="000E40CD">
        <w:rPr>
          <w:sz w:val="24"/>
          <w:szCs w:val="24"/>
        </w:rPr>
        <w:t xml:space="preserve">) </w:t>
      </w:r>
      <w:r w:rsidRPr="00D05EBD">
        <w:rPr>
          <w:sz w:val="24"/>
          <w:szCs w:val="24"/>
        </w:rPr>
        <w:t xml:space="preserve">work </w:t>
      </w:r>
      <w:r w:rsidRPr="00D05EBD">
        <w:rPr>
          <w:i/>
          <w:sz w:val="24"/>
          <w:szCs w:val="24"/>
        </w:rPr>
        <w:t>The four horsemen of automaticity,</w:t>
      </w:r>
      <w:r w:rsidRPr="00D05EBD">
        <w:rPr>
          <w:sz w:val="24"/>
          <w:szCs w:val="24"/>
        </w:rPr>
        <w:t xml:space="preserve"> he describes automatic processes as processes that occur without the person’s awareness, control, intention, and which require little or no effort to be carried out. Bargh proposes that a person can be unaware of the process itself, of the way it is interpreted, and/or of the influence it has on the person’s thought, perception, and/or behaviour. The control feature refers to the person’s incapacity to stop the mental process, either its onset, development and/or completion </w:t>
      </w:r>
      <w:r w:rsidR="00B06E70">
        <w:rPr>
          <w:sz w:val="24"/>
          <w:szCs w:val="24"/>
        </w:rPr>
        <w:fldChar w:fldCharType="begin" w:fldLock="1"/>
      </w:r>
      <w:r w:rsidR="00242A0C">
        <w:rPr>
          <w:sz w:val="24"/>
          <w:szCs w:val="24"/>
        </w:rPr>
        <w:instrText>ADDIN CSL_CITATION { "citationItems" : [ { "id" : "ITEM-1", "itemData" : { "author" : [ { "dropping-particle" : "", "family" : "Bargh", "given" : "John A.", "non-dropping-particle" : "", "parse-names" : false, "suffix" : "" } ], "chapter-number" : "1", "container-title" : "Handbook of Social Cognition:", "editor" : [ { "dropping-particle" : "", "family" : "Wyer, Robert S.", "given" : "Jr", "non-dropping-particle" : "", "parse-names" : false, "suffix" : "" }, { "dropping-particle" : "", "family" : "Srull", "given" : "Thomas K", "non-dropping-particle" : "", "parse-names" : false, "suffix" : "" } ], "id" : "ITEM-1", "issued" : { "date-parts" : [ [ "1994" ] ] }, "page" : "1-40", "publisher" : "Lawrence Erlbaum Associates", "publisher-place" : "Hillsdale,NJ, US", "title" : "The four horsemen of automaticity: Awareness, intention, efficiency, and control in social cognition", "type" : "chapter" }, "uris" : [ "http://www.mendeley.com/documents/?uuid=35fd2c30-517b-3ec6-9ecc-41a72bd35578" ] } ], "mendeley" : { "formattedCitation" : "(J. A. Bargh, 1994)", "plainTextFormattedCitation" : "(J. A. Bargh, 1994)", "previouslyFormattedCitation" : "(J. A. Bargh, 1994)" }, "properties" : { "noteIndex" : 0 }, "schema" : "https://github.com/citation-style-language/schema/raw/master/csl-citation.json" }</w:instrText>
      </w:r>
      <w:r w:rsidR="00B06E70">
        <w:rPr>
          <w:sz w:val="24"/>
          <w:szCs w:val="24"/>
        </w:rPr>
        <w:fldChar w:fldCharType="separate"/>
      </w:r>
      <w:r w:rsidR="00E82714" w:rsidRPr="00E82714">
        <w:rPr>
          <w:noProof/>
          <w:sz w:val="24"/>
          <w:szCs w:val="24"/>
        </w:rPr>
        <w:t>(Bargh, 1994)</w:t>
      </w:r>
      <w:r w:rsidR="00B06E70">
        <w:rPr>
          <w:sz w:val="24"/>
          <w:szCs w:val="24"/>
        </w:rPr>
        <w:fldChar w:fldCharType="end"/>
      </w:r>
      <w:r w:rsidRPr="00D05EBD">
        <w:rPr>
          <w:sz w:val="24"/>
          <w:szCs w:val="24"/>
        </w:rPr>
        <w:t xml:space="preserve">. An automatic process occurs without the person’s intention, nevertheless, intentions can be triggered outside of conscious awareness </w:t>
      </w:r>
      <w:r w:rsidR="00B06E70">
        <w:rPr>
          <w:sz w:val="24"/>
          <w:szCs w:val="24"/>
        </w:rPr>
        <w:fldChar w:fldCharType="begin" w:fldLock="1"/>
      </w:r>
      <w:r w:rsidR="00987809">
        <w:rPr>
          <w:sz w:val="24"/>
          <w:szCs w:val="24"/>
        </w:rPr>
        <w:instrText>ADDIN CSL_CITATION { "citationItems" : [ { "id" : "ITEM-1", "itemData" : { "DOI" : "10.1016/j.biotechadv.2011.08.021.Secreted", "ISBN" : "2122633255", "ISSN" : "15378276", "PMID" : "11761304", "abstract" : "It is proposed that goals can be activated outside of awareness and then operate nonconsciously to guide self-regulation effectively (J. A. Bargh, 1990). Five experiments are reported in which the goal either to perform well or to cooperate was activated, without the awareness of participants, through a priming manipulation. In Experiment 1 priming of the goal to perform well caused participants to perform comparatively better on an intellectual task. In Experiment 2 priming of the goal to cooperate caused participants to replenish a commonly held resource more readily. Experiment 3 used a dissociation paradigm to rule out perceptual-construal alternative explanations. Experiments 4 and 5 demonstrated that action guided by nonconsciously activated goals manifests two classic content-free features of the pursuit of consciously held goals. Nonconsciously activated goals effectively guide action, enabling adaptation to ongoing situational demands", "author" : [ { "dropping-particle" : "", "family" : "Bargh", "given" : "John A", "non-dropping-particle" : "", "parse-names" : false, "suffix" : "" }, { "dropping-particle" : "", "family" : "Gollwitzer", "given" : "Peter M", "non-dropping-particle" : "", "parse-names" : false, "suffix" : "" }, { "dropping-particle" : "", "family" : "Lee-chai", "given" : "Annette", "non-dropping-particle" : "", "parse-names" : false, "suffix" : "" }, { "dropping-particle" : "", "family" : "Barndollar", "given" : "Kimberly", "non-dropping-particle" : "", "parse-names" : false, "suffix" : "" }, { "dropping-particle" : "", "family" : "Trotschel", "given" : "Roman", "non-dropping-particle" : "", "parse-names" : false, "suffix" : "" } ], "container-title" : "Journal of Personality and Social Psychology", "id" : "ITEM-1", "issue" : "6", "issued" : { "date-parts" : [ [ "2001" ] ] }, "page" : "1014-1027", "title" : "The Automated Will: Nonconscious Activation and Pursuit of Behavioral Goals", "type" : "article-journal", "volume" : "81" }, "uris" : [ "http://www.mendeley.com/documents/?uuid=02b8ed9b-aa65-3b87-9899-469a0de25210" ] } ], "mendeley" : { "formattedCitation" : "(J. A. Bargh, Gollwitzer, Lee-chai, Barndollar, &amp; Trotschel, 2001)", "plainTextFormattedCitation" : "(J. A. Bargh, Gollwitzer, Lee-chai, Barndollar, &amp; Trotschel, 2001)", "previouslyFormattedCitation" : "(J. A. Bargh, Gollwitzer, Lee-chai, Barndollar, &amp; Trotschel, 2001)" }, "properties" : { "noteIndex" : 0 }, "schema" : "https://github.com/citation-style-language/schema/raw/master/csl-citation.json" }</w:instrText>
      </w:r>
      <w:r w:rsidR="00B06E70">
        <w:rPr>
          <w:sz w:val="24"/>
          <w:szCs w:val="24"/>
        </w:rPr>
        <w:fldChar w:fldCharType="separate"/>
      </w:r>
      <w:r w:rsidR="00987809" w:rsidRPr="00987809">
        <w:rPr>
          <w:noProof/>
          <w:sz w:val="24"/>
          <w:szCs w:val="24"/>
        </w:rPr>
        <w:t>(Bargh, Gollwitzer, Lee-chai, Barndollar, &amp; Trotschel, 2001)</w:t>
      </w:r>
      <w:r w:rsidR="00B06E70">
        <w:rPr>
          <w:sz w:val="24"/>
          <w:szCs w:val="24"/>
        </w:rPr>
        <w:fldChar w:fldCharType="end"/>
      </w:r>
      <w:r w:rsidRPr="00D05EBD">
        <w:rPr>
          <w:sz w:val="24"/>
          <w:szCs w:val="24"/>
        </w:rPr>
        <w:t xml:space="preserve">. The final feature of an automatic process for Bargh refers to its efficiency, meaning that the automatic process does not depend upon limited attentional resources. </w:t>
      </w:r>
      <w:r w:rsidRPr="00D05EBD">
        <w:rPr>
          <w:rFonts w:cs="Times New Roman"/>
          <w:bCs/>
          <w:iCs/>
          <w:sz w:val="24"/>
          <w:szCs w:val="24"/>
        </w:rPr>
        <w:t xml:space="preserve">By contrast, in explicit or controlled emotion regulation (CER), people are aware of the environmental cues that initiate an emotional response, the emotions they are experiencing, and the effect of the regulation on these emotions and on their behaviour </w:t>
      </w:r>
      <w:r w:rsidR="00B06E70">
        <w:rPr>
          <w:rFonts w:cs="Times New Roman"/>
          <w:bCs/>
          <w:iCs/>
          <w:sz w:val="24"/>
          <w:szCs w:val="24"/>
        </w:rPr>
        <w:fldChar w:fldCharType="begin" w:fldLock="1"/>
      </w:r>
      <w:r w:rsidR="000E40CD">
        <w:rPr>
          <w:rFonts w:cs="Times New Roman"/>
          <w:bCs/>
          <w:iCs/>
          <w:sz w:val="24"/>
          <w:szCs w:val="24"/>
        </w:rPr>
        <w:instrText>ADDIN CSL_CITATION { "citationItems" : [ { "id" : "ITEM-1", "itemData" : { "DOI" : "10.1080/02699931.2010.544160", "ISBN" : "1464-0600 (Electronic)\\n0269-9931 (Linking)", "ISSN" : "1464-0600", "PMID" : "21432682", "abstract" : "It is widely acknowledged that emotions can be regulated in an astonishing variety of ways. Most research to date has focused on explicit (effortful) forms of emotion regulation. However, there is growing research interest in implicit (automatic) forms of emotion regulation. To organise emerging findings, we present a dual-process framework that integrates explicit and implicit forms of emotion regulation, and argue that both forms of regulation are necessary for well-being. In the first section of this review, we provide a broad overview of the construct of emotion regulation, with an emphasis on explicit and implicit processes. In the second section, we focus on explicit emotion regulation, considering both neural mechanisms that are associated with these processes and their experiential and physiological consequences. In the third section, we turn to several forms of implicit emotion regulation, and integrate the burgeoning literature in this area. We conclude by outlining open questions and areas for future research.", "author" : [ { "dropping-particle" : "", "family" : "Gyurak", "given" : "Anett", "non-dropping-particle" : "", "parse-names" : false, "suffix" : "" }, { "dropping-particle" : "", "family" : "Gross", "given" : "James J", "non-dropping-particle" : "", "parse-names" : false, "suffix" : "" }, { "dropping-particle" : "", "family" : "Etkin", "given" : "Amit", "non-dropping-particle" : "", "parse-names" : false, "suffix" : "" } ], "container-title" : "Cognition &amp; emotion", "id" : "ITEM-1", "issue" : "3", "issued" : { "date-parts" : [ [ "2011" ] ] }, "page" : "400-12", "title" : "Explicit and implicit emotion regulation: a dual-process framework.", "type" : "article-journal", "volume" : "25" }, "uris" : [ "http://www.mendeley.com/documents/?uuid=1fc40f14-04c0-321f-b2d6-0eff7b668d8c" ] } ], "mendeley" : { "formattedCitation" : "(Gyurak et al., 2011)", "plainTextFormattedCitation" : "(Gyurak et al., 2011)", "previouslyFormattedCitation" : "(Gyurak et al., 2011)" }, "properties" : { "noteIndex" : 0 }, "schema" : "https://github.com/citation-style-language/schema/raw/master/csl-citation.json" }</w:instrText>
      </w:r>
      <w:r w:rsidR="00B06E70">
        <w:rPr>
          <w:rFonts w:cs="Times New Roman"/>
          <w:bCs/>
          <w:iCs/>
          <w:sz w:val="24"/>
          <w:szCs w:val="24"/>
        </w:rPr>
        <w:fldChar w:fldCharType="separate"/>
      </w:r>
      <w:r w:rsidR="000E40CD" w:rsidRPr="000E40CD">
        <w:rPr>
          <w:rFonts w:cs="Times New Roman"/>
          <w:bCs/>
          <w:iCs/>
          <w:noProof/>
          <w:sz w:val="24"/>
          <w:szCs w:val="24"/>
        </w:rPr>
        <w:t>(Gyurak et al., 2011)</w:t>
      </w:r>
      <w:r w:rsidR="00B06E70">
        <w:rPr>
          <w:rFonts w:cs="Times New Roman"/>
          <w:bCs/>
          <w:iCs/>
          <w:sz w:val="24"/>
          <w:szCs w:val="24"/>
        </w:rPr>
        <w:fldChar w:fldCharType="end"/>
      </w:r>
      <w:r w:rsidRPr="00D05EBD">
        <w:rPr>
          <w:rFonts w:cs="Times New Roman"/>
          <w:bCs/>
          <w:iCs/>
          <w:sz w:val="24"/>
          <w:szCs w:val="24"/>
        </w:rPr>
        <w:t xml:space="preserve">. Although these four features define an automatic process, there is no consensus among researchers as to whether all these features need to be present or not. Even </w:t>
      </w:r>
      <w:r w:rsidR="00B06E70">
        <w:rPr>
          <w:rFonts w:cs="Times New Roman"/>
          <w:bCs/>
          <w:iCs/>
          <w:sz w:val="24"/>
          <w:szCs w:val="24"/>
        </w:rPr>
        <w:fldChar w:fldCharType="begin" w:fldLock="1"/>
      </w:r>
      <w:r w:rsidR="00E82714">
        <w:rPr>
          <w:rFonts w:cs="Times New Roman"/>
          <w:bCs/>
          <w:iCs/>
          <w:sz w:val="24"/>
          <w:szCs w:val="24"/>
        </w:rPr>
        <w:instrText>ADDIN CSL_CITATION { "citationItems" : [ { "id" : "ITEM-1", "itemData" : { "author" : [ { "dropping-particle" : "", "family" : "Bargh", "given" : "John A", "non-dropping-particle" : "", "parse-names" : false, "suffix" : "" }, { "dropping-particle" : "", "family" : "Williams", "given" : "Lawrence E", "non-dropping-particle" : "", "parse-names" : false, "suffix" : "" } ], "container-title" : "Handbook of Emotion Regulation", "editor" : [ { "dropping-particle" : "", "family" : "James J. Gross", "given" : "", "non-dropping-particle" : "", "parse-names" : false, "suffix" : "" } ], "id" : "ITEM-1", "issued" : { "date-parts" : [ [ "2007" ] ] }, "page" : "429-445", "publisher" : "Guilford Press", "publisher-place" : "New York, NY", "title" : "Handbook of Emotion Regulation", "type" : "chapter" }, "uris" : [ "http://www.mendeley.com/documents/?uuid=1b8e8abc-4fa8-4bb2-b793-caee09f3330c" ] } ], "mendeley" : { "formattedCitation" : "(J. A. Bargh &amp; Williams, 2007)", "manualFormatting" : "Bargh and Williams (2007)", "plainTextFormattedCitation" : "(J. A. Bargh &amp; Williams, 2007)", "previouslyFormattedCitation" : "(J. A. Bargh &amp; Williams, 2007)" }, "properties" : { "noteIndex" : 0 }, "schema" : "https://github.com/citation-style-language/schema/raw/master/csl-citation.json" }</w:instrText>
      </w:r>
      <w:r w:rsidR="00B06E70">
        <w:rPr>
          <w:rFonts w:cs="Times New Roman"/>
          <w:bCs/>
          <w:iCs/>
          <w:sz w:val="24"/>
          <w:szCs w:val="24"/>
        </w:rPr>
        <w:fldChar w:fldCharType="separate"/>
      </w:r>
      <w:r w:rsidR="000E40CD">
        <w:rPr>
          <w:rFonts w:cs="Times New Roman"/>
          <w:bCs/>
          <w:iCs/>
          <w:noProof/>
          <w:sz w:val="24"/>
          <w:szCs w:val="24"/>
        </w:rPr>
        <w:t>Bargh and Williams</w:t>
      </w:r>
      <w:r w:rsidR="000E40CD" w:rsidRPr="000E40CD">
        <w:rPr>
          <w:rFonts w:cs="Times New Roman"/>
          <w:bCs/>
          <w:iCs/>
          <w:noProof/>
          <w:sz w:val="24"/>
          <w:szCs w:val="24"/>
        </w:rPr>
        <w:t xml:space="preserve"> </w:t>
      </w:r>
      <w:r w:rsidR="000E40CD">
        <w:rPr>
          <w:rFonts w:cs="Times New Roman"/>
          <w:bCs/>
          <w:iCs/>
          <w:noProof/>
          <w:sz w:val="24"/>
          <w:szCs w:val="24"/>
        </w:rPr>
        <w:t>(</w:t>
      </w:r>
      <w:r w:rsidR="000E40CD" w:rsidRPr="000E40CD">
        <w:rPr>
          <w:rFonts w:cs="Times New Roman"/>
          <w:bCs/>
          <w:iCs/>
          <w:noProof/>
          <w:sz w:val="24"/>
          <w:szCs w:val="24"/>
        </w:rPr>
        <w:t>2007)</w:t>
      </w:r>
      <w:r w:rsidR="00B06E70">
        <w:rPr>
          <w:rFonts w:cs="Times New Roman"/>
          <w:bCs/>
          <w:iCs/>
          <w:sz w:val="24"/>
          <w:szCs w:val="24"/>
        </w:rPr>
        <w:fldChar w:fldCharType="end"/>
      </w:r>
      <w:r w:rsidRPr="00D05EBD">
        <w:rPr>
          <w:rFonts w:cs="Times New Roman"/>
          <w:bCs/>
          <w:iCs/>
          <w:sz w:val="24"/>
          <w:szCs w:val="24"/>
        </w:rPr>
        <w:t xml:space="preserve"> acknowledge that these features may or may not co-occur in an all-or-none fashion and recommend that researchers focus on the features of most interest to them.</w:t>
      </w:r>
      <w:r w:rsidRPr="00D05EBD">
        <w:rPr>
          <w:sz w:val="24"/>
          <w:szCs w:val="24"/>
        </w:rPr>
        <w:t xml:space="preserve"> These aspects being the defining features of automatic processes, </w:t>
      </w:r>
      <w:r w:rsidR="00B06E70">
        <w:rPr>
          <w:sz w:val="24"/>
          <w:szCs w:val="24"/>
        </w:rPr>
        <w:fldChar w:fldCharType="begin" w:fldLock="1"/>
      </w:r>
      <w:r w:rsidR="00E82714">
        <w:rPr>
          <w:sz w:val="24"/>
          <w:szCs w:val="24"/>
        </w:rPr>
        <w:instrText>ADDIN CSL_CITATION { "citationItems" : [ { "id" : "ITEM-1", "itemData" : { "author" : [ { "dropping-particle" : "", "family" : "Bargh", "given" : "John A", "non-dropping-particle" : "", "parse-names" : false, "suffix" : "" }, { "dropping-particle" : "", "family" : "Williams", "given" : "Lawrence E", "non-dropping-particle" : "", "parse-names" : false, "suffix" : "" } ], "container-title" : "Handbook of Emotion Regulation", "editor" : [ { "dropping-particle" : "", "family" : "James J. Gross", "given" : "", "non-dropping-particle" : "", "parse-names" : false, "suffix" : "" } ], "id" : "ITEM-1", "issued" : { "date-parts" : [ [ "2007" ] ] }, "page" : "429-445", "publisher" : "Guilford Press", "publisher-place" : "New York, NY", "title" : "Handbook of Emotion Regulation", "type" : "chapter" }, "uris" : [ "http://www.mendeley.com/documents/?uuid=1b8e8abc-4fa8-4bb2-b793-caee09f3330c" ] } ], "mendeley" : { "formattedCitation" : "(J. A. Bargh &amp; Williams, 2007)", "manualFormatting" : "Bargh and Williams (2007)", "plainTextFormattedCitation" : "(J. A. Bargh &amp; Williams, 2007)", "previouslyFormattedCitation" : "(J. A. Bargh &amp; Williams, 2007)" }, "properties" : { "noteIndex" : 0 }, "schema" : "https://github.com/citation-style-language/schema/raw/master/csl-citation.json" }</w:instrText>
      </w:r>
      <w:r w:rsidR="00B06E70">
        <w:rPr>
          <w:sz w:val="24"/>
          <w:szCs w:val="24"/>
        </w:rPr>
        <w:fldChar w:fldCharType="separate"/>
      </w:r>
      <w:r w:rsidR="00E37738">
        <w:rPr>
          <w:noProof/>
          <w:sz w:val="24"/>
          <w:szCs w:val="24"/>
        </w:rPr>
        <w:t>Bargh and Williams</w:t>
      </w:r>
      <w:r w:rsidR="00E37738" w:rsidRPr="00E37738">
        <w:rPr>
          <w:noProof/>
          <w:sz w:val="24"/>
          <w:szCs w:val="24"/>
        </w:rPr>
        <w:t xml:space="preserve"> </w:t>
      </w:r>
      <w:r w:rsidR="00E37738">
        <w:rPr>
          <w:noProof/>
          <w:sz w:val="24"/>
          <w:szCs w:val="24"/>
        </w:rPr>
        <w:t>(</w:t>
      </w:r>
      <w:r w:rsidR="00E37738" w:rsidRPr="00E37738">
        <w:rPr>
          <w:noProof/>
          <w:sz w:val="24"/>
          <w:szCs w:val="24"/>
        </w:rPr>
        <w:t>2007)</w:t>
      </w:r>
      <w:r w:rsidR="00B06E70">
        <w:rPr>
          <w:sz w:val="24"/>
          <w:szCs w:val="24"/>
        </w:rPr>
        <w:fldChar w:fldCharType="end"/>
      </w:r>
      <w:r w:rsidRPr="00D05EBD">
        <w:rPr>
          <w:sz w:val="24"/>
          <w:szCs w:val="24"/>
        </w:rPr>
        <w:t xml:space="preserve"> also propose that they would likely be present in AER; although they mention that AER might not necessarily function in the same way as other automatic cognitive phenomenon (e.g. stereotypes, attitudes), and would most likely have its own particular automatic ways of working. Thus, considering these four aspects the features of AER; in the present thesis, AER is described</w:t>
      </w:r>
      <w:r w:rsidR="00906761">
        <w:rPr>
          <w:sz w:val="24"/>
          <w:szCs w:val="24"/>
        </w:rPr>
        <w:t xml:space="preserve"> as</w:t>
      </w:r>
      <w:r w:rsidRPr="00D05EBD">
        <w:rPr>
          <w:sz w:val="24"/>
          <w:szCs w:val="24"/>
        </w:rPr>
        <w:t xml:space="preserve"> any process that operates without the </w:t>
      </w:r>
      <w:r w:rsidRPr="00D05EBD">
        <w:rPr>
          <w:sz w:val="24"/>
          <w:szCs w:val="24"/>
        </w:rPr>
        <w:lastRenderedPageBreak/>
        <w:t xml:space="preserve">need of conscious supervision or explicit intentions, which is relatively effortless, and which is aimed at modifying the exposure to, processing of, duration, and/or response to an emotionally evocative event </w:t>
      </w:r>
      <w:r w:rsidR="00B06E70">
        <w:rPr>
          <w:sz w:val="24"/>
          <w:szCs w:val="24"/>
        </w:rPr>
        <w:fldChar w:fldCharType="begin" w:fldLock="1"/>
      </w:r>
      <w:r w:rsidR="00C67313">
        <w:rPr>
          <w:sz w:val="24"/>
          <w:szCs w:val="24"/>
        </w:rPr>
        <w:instrText>ADDIN CSL_CITATION { "citationItems" : [ { "id" : "ITEM-1", "itemData" : { "DOI" : "10.1037/a0017745", "ISBN" : "1931-1516 (Electronic)\\n1528-3542 (Linking)", "ISSN" : "1528-3542", "PMID" : "20001127", "abstract" : "People often encounter difficulty when making conscious attempts to regulate their emotions. We propose that nonconscious self-regulatory processes may be of help in these difficult circumstances because nonconscious processes are not subject to the same set of limitations as are conscious processes. Two experiments examined the effects of nonconsciously operating goals on people\u2019s emotion regulatory success. In Experiment 1, participants engaged in an anxiety-eliciting task. Participants who had a reappraisal emotion control goal primed and operating nonconsciously achieved the same decrease in physiological reactivity as those explicitly instructed to reappraise. In Experiment 2, the effect of nonconscious reappraisal priming on physiological reactivity was shown to be most pronounced for those who do not habitually use reappraisal strategies. The findings highlight the potential importance of nonconscious goals for facilitating emotional control in complex real-world environments and have implications for contemporary models of emotion regulation. (PsycINFO Database Record (c) 2013 APA, all rights reserved). (journal abstract)", "author" : [ { "dropping-particle" : "", "family" : "Williams", "given" : "Lawrence E", "non-dropping-particle" : "", "parse-names" : false, "suffix" : "" }, { "dropping-particle" : "", "family" : "Bargh", "given" : "John A", "non-dropping-particle" : "", "parse-names" : false, "suffix" : "" }, { "dropping-particle" : "", "family" : "Nocera", "given" : "Christopher C", "non-dropping-particle" : "", "parse-names" : false, "suffix" : "" }, { "dropping-particle" : "", "family" : "Gray", "given" : "Jeremy R", "non-dropping-particle" : "", "parse-names" : false, "suffix" : "" } ], "container-title" : "Emotion", "id" : "ITEM-1", "issue" : "6", "issued" : { "date-parts" : [ [ "2009" ] ] }, "page" : "847-854", "title" : "The unconscious regulation of emotion: Nonconscious reappraisal goals modulate emotional reactivity.", "type" : "article-journal", "volume" : "9" }, "uris" : [ "http://www.mendeley.com/documents/?uuid=9e8eb5d9-0eec-37a9-9082-4a601649d12d" ] } ], "mendeley" : { "formattedCitation" : "(Williams, Bargh, Nocera, &amp; Gray, 2009)", "plainTextFormattedCitation" : "(Williams, Bargh, Nocera, &amp; Gray, 2009)", "previouslyFormattedCitation" : "(Williams, Bargh, Nocera, &amp; Gray, 2009)" }, "properties" : { "noteIndex" : 0 }, "schema" : "https://github.com/citation-style-language/schema/raw/master/csl-citation.json" }</w:instrText>
      </w:r>
      <w:r w:rsidR="00B06E70">
        <w:rPr>
          <w:sz w:val="24"/>
          <w:szCs w:val="24"/>
        </w:rPr>
        <w:fldChar w:fldCharType="separate"/>
      </w:r>
      <w:r w:rsidR="00E37738" w:rsidRPr="00E37738">
        <w:rPr>
          <w:noProof/>
          <w:sz w:val="24"/>
          <w:szCs w:val="24"/>
        </w:rPr>
        <w:t>(Williams, Bargh, Nocera, &amp; Gray, 2009)</w:t>
      </w:r>
      <w:r w:rsidR="00B06E70">
        <w:rPr>
          <w:sz w:val="24"/>
          <w:szCs w:val="24"/>
        </w:rPr>
        <w:fldChar w:fldCharType="end"/>
      </w:r>
      <w:r w:rsidR="00E37738">
        <w:rPr>
          <w:sz w:val="24"/>
          <w:szCs w:val="24"/>
        </w:rPr>
        <w:t>.</w:t>
      </w:r>
      <w:r w:rsidRPr="00D05EBD">
        <w:rPr>
          <w:sz w:val="24"/>
          <w:szCs w:val="24"/>
        </w:rPr>
        <w:t xml:space="preserve"> </w:t>
      </w:r>
    </w:p>
    <w:p w:rsidR="00FB1389" w:rsidRPr="00D05EBD" w:rsidRDefault="00FB1389" w:rsidP="00C67313">
      <w:pPr>
        <w:spacing w:line="480" w:lineRule="auto"/>
        <w:ind w:firstLine="720"/>
        <w:jc w:val="both"/>
        <w:rPr>
          <w:sz w:val="24"/>
          <w:szCs w:val="24"/>
        </w:rPr>
      </w:pPr>
      <w:r w:rsidRPr="00D05EBD">
        <w:rPr>
          <w:sz w:val="24"/>
          <w:szCs w:val="24"/>
        </w:rPr>
        <w:t xml:space="preserve">Some researchers argue that AER presents more advantages to the individual than CER because it is adaptive and can help self-regulation by relying on automatic processes that free the individual from his/her conscious concerns about the surrounding environment </w:t>
      </w:r>
      <w:r w:rsidR="00B06E70" w:rsidRPr="00D05EBD">
        <w:rPr>
          <w:sz w:val="24"/>
          <w:szCs w:val="24"/>
        </w:rPr>
        <w:fldChar w:fldCharType="begin"/>
      </w:r>
      <w:r w:rsidRPr="00D05EBD">
        <w:rPr>
          <w:sz w:val="24"/>
          <w:szCs w:val="24"/>
        </w:rPr>
        <w:instrText xml:space="preserve"> ADDIN EN.CITE &lt;EndNote&gt;&lt;Cite&gt;&lt;Author&gt;Bargh&lt;/Author&gt;&lt;Year&gt;2006&lt;/Year&gt;&lt;RecNum&gt;107&lt;/RecNum&gt;&lt;DisplayText&gt;(Bargh &amp;amp; Williams, 2006)&lt;/DisplayText&gt;&lt;record&gt;&lt;rec-number&gt;107&lt;/rec-number&gt;&lt;foreign-keys&gt;&lt;key app="EN" db-id="2av5p90x9xr9fjepadyvvf5kad5arwxtw92e"&gt;107&lt;/key&gt;&lt;/foreign-keys&gt;&lt;ref-type name="Journal Article"&gt;17&lt;/ref-type&gt;&lt;contributors&gt;&lt;authors&gt;&lt;author&gt;Bargh, J. A.&lt;/author&gt;&lt;author&gt;Williams, E. L.&lt;/author&gt;&lt;/authors&gt;&lt;/contributors&gt;&lt;titles&gt;&lt;title&gt;The automaticity of social life&lt;/title&gt;&lt;secondary-title&gt;Current Directions in Psychological Science&lt;/secondary-title&gt;&lt;/titles&gt;&lt;periodical&gt;&lt;full-title&gt;Current Directions in Psychological Science&lt;/full-title&gt;&lt;/periodical&gt;&lt;pages&gt;1-4&lt;/pages&gt;&lt;volume&gt;15&lt;/volume&gt;&lt;number&gt;1&lt;/number&gt;&lt;dates&gt;&lt;year&gt;2006&lt;/year&gt;&lt;pub-dates&gt;&lt;date&gt;Feb&lt;/date&gt;&lt;/pub-dates&gt;&lt;/dates&gt;&lt;isbn&gt;0963-7214&lt;/isbn&gt;&lt;accession-num&gt;WOS:000236663900001&lt;/accession-num&gt;&lt;urls&gt;&lt;related-urls&gt;&lt;url&gt;&amp;lt;Go to ISI&amp;gt;://WOS:000236663900001&lt;/url&gt;&lt;/related-urls&gt;&lt;/urls&gt;&lt;electronic-resource-num&gt;10.1111/j.0963-7214.2006.00395.x&lt;/electronic-resource-num&gt;&lt;/record&gt;&lt;/Cite&gt;&lt;/EndNote&gt;</w:instrText>
      </w:r>
      <w:r w:rsidR="00B06E70" w:rsidRPr="00D05EBD">
        <w:rPr>
          <w:sz w:val="24"/>
          <w:szCs w:val="24"/>
        </w:rPr>
        <w:fldChar w:fldCharType="separate"/>
      </w:r>
      <w:r w:rsidRPr="00D05EBD">
        <w:rPr>
          <w:noProof/>
          <w:sz w:val="24"/>
          <w:szCs w:val="24"/>
        </w:rPr>
        <w:t>(Bargh &amp; Williams, 2006)</w:t>
      </w:r>
      <w:r w:rsidR="00B06E70" w:rsidRPr="00D05EBD">
        <w:rPr>
          <w:sz w:val="24"/>
          <w:szCs w:val="24"/>
        </w:rPr>
        <w:fldChar w:fldCharType="end"/>
      </w:r>
      <w:r w:rsidRPr="00D05EBD">
        <w:rPr>
          <w:sz w:val="24"/>
          <w:szCs w:val="24"/>
        </w:rPr>
        <w:t xml:space="preserve">. One example showing that AER can be adaptive and help control negative emotions is the work conducted by </w:t>
      </w:r>
      <w:r w:rsidR="00B06E70">
        <w:rPr>
          <w:sz w:val="24"/>
          <w:szCs w:val="24"/>
        </w:rPr>
        <w:fldChar w:fldCharType="begin" w:fldLock="1"/>
      </w:r>
      <w:r w:rsidR="00C67313">
        <w:rPr>
          <w:sz w:val="24"/>
          <w:szCs w:val="24"/>
        </w:rPr>
        <w:instrText>ADDIN CSL_CITATION { "citationItems" : [ { "id" : "ITEM-1", "itemData" : { "DOI" : "10.1016/j.jesp.2006.07.003", "ISBN" : "0022-1031", "ISSN" : "00221031", "PMID" : "17425532", "abstract" : "Individuals frequently have to regulate their emotions, especially negative ones, to function successfully. However, deliberate emotion regulation can have significant costs for the individual. Are there less costly ways to achieve emotion regulatory goals? In two studies, we test the hypothesis that more automatic types of emotion regulation might provide the benefits of deliberate emotion regulation without the costs. Study 1 introduces a priming technique that manipulates automatic emotion regulation. Using this priming technique, we show that relative to priming emotion expression, priming emotion control leads to less anger experience in response to a laboratory anger provocation. Study 2 examines the experiential and physiological consequences of automatic emotion regulation. Results suggest that relative to priming emotion expression, priming emotion control reduces negative emotion experience without maladaptive cardiovascular responding. Together, these findings suggest that automatic emotion regulation may provide an effective means of controlling powerful negative emotions. ?? 2006 Elsevier Inc. All rights reserved.", "author" : [ { "dropping-particle" : "", "family" : "Mauss", "given" : "Iris B.", "non-dropping-particle" : "", "parse-names" : false, "suffix" : "" }, { "dropping-particle" : "", "family" : "Cook", "given" : "Crystal L.", "non-dropping-particle" : "", "parse-names" : false, "suffix" : "" }, { "dropping-particle" : "", "family" : "Gross", "given" : "James J.", "non-dropping-particle" : "", "parse-names" : false, "suffix" : "" } ], "container-title" : "Journal of Experimental Social Psychology", "id" : "ITEM-1", "issue" : "5", "issued" : { "date-parts" : [ [ "2007" ] ] }, "page" : "698-711", "title" : "Automatic emotion regulation during anger provocation", "type" : "article-journal", "volume" : "43" }, "uris" : [ "http://www.mendeley.com/documents/?uuid=051a8d13-f0fd-3ac8-a6bd-b418df76731f" ] } ], "mendeley" : { "formattedCitation" : "(Mauss, Cook, &amp; Gross, 2007)", "manualFormatting" : "Mauss, Cook, and Gross (2007)", "plainTextFormattedCitation" : "(Mauss, Cook, &amp; Gross, 2007)", "previouslyFormattedCitation" : "(Mauss, Cook, &amp; Gross, 2007)" }, "properties" : { "noteIndex" : 0 }, "schema" : "https://github.com/citation-style-language/schema/raw/master/csl-citation.json" }</w:instrText>
      </w:r>
      <w:r w:rsidR="00B06E70">
        <w:rPr>
          <w:sz w:val="24"/>
          <w:szCs w:val="24"/>
        </w:rPr>
        <w:fldChar w:fldCharType="separate"/>
      </w:r>
      <w:r w:rsidR="00C67313">
        <w:rPr>
          <w:noProof/>
          <w:sz w:val="24"/>
          <w:szCs w:val="24"/>
        </w:rPr>
        <w:t>Mauss, Cook, and Gross</w:t>
      </w:r>
      <w:r w:rsidR="00C67313" w:rsidRPr="00C67313">
        <w:rPr>
          <w:noProof/>
          <w:sz w:val="24"/>
          <w:szCs w:val="24"/>
        </w:rPr>
        <w:t xml:space="preserve"> </w:t>
      </w:r>
      <w:r w:rsidR="00C67313">
        <w:rPr>
          <w:noProof/>
          <w:sz w:val="24"/>
          <w:szCs w:val="24"/>
        </w:rPr>
        <w:t>(</w:t>
      </w:r>
      <w:r w:rsidR="00C67313" w:rsidRPr="00C67313">
        <w:rPr>
          <w:noProof/>
          <w:sz w:val="24"/>
          <w:szCs w:val="24"/>
        </w:rPr>
        <w:t>2007)</w:t>
      </w:r>
      <w:r w:rsidR="00B06E70">
        <w:rPr>
          <w:sz w:val="24"/>
          <w:szCs w:val="24"/>
        </w:rPr>
        <w:fldChar w:fldCharType="end"/>
      </w:r>
      <w:r w:rsidRPr="00D05EBD">
        <w:rPr>
          <w:sz w:val="24"/>
          <w:szCs w:val="24"/>
        </w:rPr>
        <w:t xml:space="preserve">. In two experiments </w:t>
      </w:r>
      <w:proofErr w:type="spellStart"/>
      <w:r w:rsidRPr="00D05EBD">
        <w:rPr>
          <w:sz w:val="24"/>
          <w:szCs w:val="24"/>
        </w:rPr>
        <w:t>Mauss</w:t>
      </w:r>
      <w:proofErr w:type="spellEnd"/>
      <w:r w:rsidRPr="00D05EBD">
        <w:rPr>
          <w:sz w:val="24"/>
          <w:szCs w:val="24"/>
        </w:rPr>
        <w:t xml:space="preserve"> and colleagues found that participants primed to control their emotions via the Scrambled sentence task </w:t>
      </w:r>
      <w:r w:rsidR="00B06E70">
        <w:rPr>
          <w:sz w:val="24"/>
          <w:szCs w:val="24"/>
        </w:rPr>
        <w:fldChar w:fldCharType="begin" w:fldLock="1"/>
      </w:r>
      <w:r w:rsidR="00C67313">
        <w:rPr>
          <w:sz w:val="24"/>
          <w:szCs w:val="24"/>
        </w:rPr>
        <w:instrText>ADDIN CSL_CITATION { "citationItems" : [ { "id" : "ITEM-1", "itemData" : { "DOI" : "10.1037/0022-3514.37.10.1660", "ISBN" : "0022-3514\\r1939-1315", "ISSN" : "0022-3514", "PMID" : "20090831", "abstract" : "Many personality trait terms can be thought of as summary labels for broad conceptual categories that are used to encode information about an individual's behavior into memory. The likelihood that a behavior is encoded in terms of a particular trait category is postulated to be a function of the relative accessibility of that category in memory. In addition, the trait category used to encode a particular behavior is thought to affect subsequent judgments of the person along dimensions to which it is directly or indirectly related. To test these hypotheses, undergraduates first performed a sentence construction task that activated concepts associated with either hostility (Experiment I) or kindness (Experiment II). As part of an ostensibly unrelated impression formation experiment, subjects later read a description of behaviors that were ambiguous with respect to hostility (kindness) and then rated the target person along a variety of trait dimensions. Ratings of the target along these dimensions increased with the number of times that the test concept had previously been activated in the sentence construction task and decreased with the time interval between these prior activations and presentation of the stimulus information to be encoded. Results suggest that category accessibility is a major determinant of the way in which social information is encoded into memory and subsequently used to make judgments.", "author" : [ { "dropping-particle" : "", "family" : "Srull", "given" : "Thomas K", "non-dropping-particle" : "", "parse-names" : false, "suffix" : "" }, { "dropping-particle" : "", "family" : "Wyer", "given" : "Robert S", "non-dropping-particle" : "", "parse-names" : false, "suffix" : "" } ], "container-title" : "Journal of Personality and Social Psychology", "id" : "ITEM-1", "issue" : "10", "issued" : { "date-parts" : [ [ "1979" ] ] }, "page" : "1660-1672", "title" : "The role of category accessibility in the interpretation of information about persons: Some determinants and implications", "type" : "article-journal", "volume" : "37" }, "uris" : [ "http://www.mendeley.com/documents/?uuid=a6048372-7f81-3ed1-8429-c65f7804111a" ] } ], "mendeley" : { "formattedCitation" : "(Srull &amp; Wyer, 1979)", "plainTextFormattedCitation" : "(Srull &amp; Wyer, 1979)", "previouslyFormattedCitation" : "(Srull &amp; Wyer, 1979)" }, "properties" : { "noteIndex" : 0 }, "schema" : "https://github.com/citation-style-language/schema/raw/master/csl-citation.json" }</w:instrText>
      </w:r>
      <w:r w:rsidR="00B06E70">
        <w:rPr>
          <w:sz w:val="24"/>
          <w:szCs w:val="24"/>
        </w:rPr>
        <w:fldChar w:fldCharType="separate"/>
      </w:r>
      <w:r w:rsidR="00C67313" w:rsidRPr="00C67313">
        <w:rPr>
          <w:noProof/>
          <w:sz w:val="24"/>
          <w:szCs w:val="24"/>
        </w:rPr>
        <w:t>(Srull &amp; Wyer, 1979)</w:t>
      </w:r>
      <w:r w:rsidR="00B06E70">
        <w:rPr>
          <w:sz w:val="24"/>
          <w:szCs w:val="24"/>
        </w:rPr>
        <w:fldChar w:fldCharType="end"/>
      </w:r>
      <w:r w:rsidRPr="00973AEB">
        <w:rPr>
          <w:rStyle w:val="Refdenotaalpie"/>
        </w:rPr>
        <w:footnoteReference w:id="3"/>
      </w:r>
      <w:r w:rsidRPr="00D05EBD">
        <w:rPr>
          <w:sz w:val="24"/>
          <w:szCs w:val="24"/>
        </w:rPr>
        <w:t xml:space="preserve"> (by unscrambling sentences including words like </w:t>
      </w:r>
      <w:r w:rsidRPr="00D05EBD">
        <w:rPr>
          <w:i/>
          <w:sz w:val="24"/>
          <w:szCs w:val="24"/>
        </w:rPr>
        <w:t xml:space="preserve">restrains, stable, </w:t>
      </w:r>
      <w:r w:rsidRPr="00D05EBD">
        <w:rPr>
          <w:sz w:val="24"/>
          <w:szCs w:val="24"/>
        </w:rPr>
        <w:t>and</w:t>
      </w:r>
      <w:r w:rsidRPr="00D05EBD">
        <w:rPr>
          <w:i/>
          <w:sz w:val="24"/>
          <w:szCs w:val="24"/>
        </w:rPr>
        <w:t xml:space="preserve"> covered</w:t>
      </w:r>
      <w:r w:rsidRPr="00D05EBD">
        <w:rPr>
          <w:sz w:val="24"/>
          <w:szCs w:val="24"/>
        </w:rPr>
        <w:t>)</w:t>
      </w:r>
      <w:r w:rsidRPr="00D05EBD">
        <w:rPr>
          <w:i/>
          <w:sz w:val="24"/>
          <w:szCs w:val="24"/>
        </w:rPr>
        <w:t>,</w:t>
      </w:r>
      <w:r w:rsidRPr="00D05EBD">
        <w:rPr>
          <w:sz w:val="24"/>
          <w:szCs w:val="24"/>
        </w:rPr>
        <w:t xml:space="preserve"> reported less anger when provoked (asked to count backwards by 7 or 13s from 18652 while being interrupted multiple times and given negative feedback) than participants primed with emotion expression (by unscrambling sentences including words like </w:t>
      </w:r>
      <w:r w:rsidRPr="00D05EBD">
        <w:rPr>
          <w:i/>
          <w:sz w:val="24"/>
          <w:szCs w:val="24"/>
        </w:rPr>
        <w:t xml:space="preserve">impulsive, volatile, </w:t>
      </w:r>
      <w:r w:rsidRPr="00D05EBD">
        <w:rPr>
          <w:sz w:val="24"/>
          <w:szCs w:val="24"/>
        </w:rPr>
        <w:t xml:space="preserve">and </w:t>
      </w:r>
      <w:r w:rsidRPr="00D05EBD">
        <w:rPr>
          <w:i/>
          <w:sz w:val="24"/>
          <w:szCs w:val="24"/>
        </w:rPr>
        <w:t>boiled</w:t>
      </w:r>
      <w:r w:rsidRPr="00D05EBD">
        <w:rPr>
          <w:sz w:val="24"/>
          <w:szCs w:val="24"/>
        </w:rPr>
        <w:t xml:space="preserve">). </w:t>
      </w:r>
      <w:proofErr w:type="spellStart"/>
      <w:r w:rsidRPr="00D05EBD">
        <w:rPr>
          <w:sz w:val="24"/>
          <w:szCs w:val="24"/>
        </w:rPr>
        <w:t>Mauss</w:t>
      </w:r>
      <w:proofErr w:type="spellEnd"/>
      <w:r w:rsidRPr="00D05EBD">
        <w:rPr>
          <w:sz w:val="24"/>
          <w:szCs w:val="24"/>
        </w:rPr>
        <w:t xml:space="preserve"> and colleagues observed that participants in the emotion control group reported less anger than participants in the emotion expression condition. Furthermore, participants in the emotion control group did not present maladaptive cardiovascular responding (e.g. increased sympathetic activation, threat pattern of physiological responding), which suggests that AER helped participants to control their anger without negative consequences. Repressive coping (an AER strategy that consists in directing attention away from negative affective experiences) has shown to be </w:t>
      </w:r>
      <w:r w:rsidRPr="00D05EBD">
        <w:rPr>
          <w:sz w:val="24"/>
          <w:szCs w:val="24"/>
        </w:rPr>
        <w:lastRenderedPageBreak/>
        <w:t xml:space="preserve">adaptive as well. </w:t>
      </w:r>
      <w:r w:rsidR="00B06E70">
        <w:rPr>
          <w:sz w:val="24"/>
          <w:szCs w:val="24"/>
        </w:rPr>
        <w:fldChar w:fldCharType="begin" w:fldLock="1"/>
      </w:r>
      <w:r w:rsidR="00C67313">
        <w:rPr>
          <w:sz w:val="24"/>
          <w:szCs w:val="24"/>
        </w:rPr>
        <w:instrText>ADDIN CSL_CITATION { "citationItems" : [ { "id" : "ITEM-1", "itemData" : { "DOI" : "10.1037/0022-3514.92.4.745", "ISBN" : "0022-3514\\r1939-1315", "ISSN" : "0022-3514", "PMID" : "17469956", "abstract" : "Traditional theories of coping emphasize the value of attending to and expressing negative emotion while recovering from traumatic life events. However, recent evidence suggests that the tendency to direct attention away from negative affective experience (i.e., repressive coping) may promote resilience following extremely aversive events (e.g., the death of a spouse). The current study extends this line of investigation by showing that both bereaved and nonbereaved individuals who exhibited repressive coping behavior--as measured by the discrepancy between affective experience and sympathetic nervous system response--had fewer symptoms of psychopathology, experienced fewer health problems and somatic complaints, and were rated as better adjusted by close friends than those who did not exhibit repressive coping. Results are discussed in terms of recent developments in cognitive and neuroimaging research suggesting that repressive coping may serve a protective function. (PsycINFO Database Record (c) 2009 APA, all rights reserved). (from the journal abstract)", "author" : [ { "dropping-particle" : "", "family" : "Coifman", "given" : "Karin G", "non-dropping-particle" : "", "parse-names" : false, "suffix" : "" }, { "dropping-particle" : "", "family" : "Bonanno", "given" : "George A", "non-dropping-particle" : "", "parse-names" : false, "suffix" : "" }, { "dropping-particle" : "", "family" : "Ray", "given" : "Rebecca D", "non-dropping-particle" : "", "parse-names" : false, "suffix" : "" }, { "dropping-particle" : "", "family" : "Gross", "given" : "James J", "non-dropping-particle" : "", "parse-names" : false, "suffix" : "" } ], "container-title" : "Journal of Personality and Social Psychology", "id" : "ITEM-1", "issue" : "4", "issued" : { "date-parts" : [ [ "2007" ] ] }, "page" : "745-758", "title" : "Does repressive coping promote resilience? Affective-autonomic response discrepancy during bereavement", "type" : "article-journal", "volume" : "92" }, "uris" : [ "http://www.mendeley.com/documents/?uuid=5a39a878-b211-3ad0-a04b-fe65394c7e77" ] } ], "mendeley" : { "formattedCitation" : "(Coifman, Bonanno, Ray, &amp; Gross, 2007)", "manualFormatting" : "Coifman, Bonanno, Ray, and Gross (2007)", "plainTextFormattedCitation" : "(Coifman, Bonanno, Ray, &amp; Gross, 2007)", "previouslyFormattedCitation" : "(Coifman, Bonanno, Ray, &amp; Gross, 2007)" }, "properties" : { "noteIndex" : 0 }, "schema" : "https://github.com/citation-style-language/schema/raw/master/csl-citation.json" }</w:instrText>
      </w:r>
      <w:r w:rsidR="00B06E70">
        <w:rPr>
          <w:sz w:val="24"/>
          <w:szCs w:val="24"/>
        </w:rPr>
        <w:fldChar w:fldCharType="separate"/>
      </w:r>
      <w:r w:rsidR="00C67313" w:rsidRPr="00C67313">
        <w:rPr>
          <w:noProof/>
          <w:sz w:val="24"/>
          <w:szCs w:val="24"/>
        </w:rPr>
        <w:t>Coifma</w:t>
      </w:r>
      <w:r w:rsidR="00C67313">
        <w:rPr>
          <w:noProof/>
          <w:sz w:val="24"/>
          <w:szCs w:val="24"/>
        </w:rPr>
        <w:t>n, Bonanno, Ray, and</w:t>
      </w:r>
      <w:r w:rsidR="00C67313" w:rsidRPr="00C67313">
        <w:rPr>
          <w:noProof/>
          <w:sz w:val="24"/>
          <w:szCs w:val="24"/>
        </w:rPr>
        <w:t xml:space="preserve"> Gross </w:t>
      </w:r>
      <w:r w:rsidR="00C67313">
        <w:rPr>
          <w:noProof/>
          <w:sz w:val="24"/>
          <w:szCs w:val="24"/>
        </w:rPr>
        <w:t>(</w:t>
      </w:r>
      <w:r w:rsidR="00C67313" w:rsidRPr="00C67313">
        <w:rPr>
          <w:noProof/>
          <w:sz w:val="24"/>
          <w:szCs w:val="24"/>
        </w:rPr>
        <w:t>2007)</w:t>
      </w:r>
      <w:r w:rsidR="00B06E70">
        <w:rPr>
          <w:sz w:val="24"/>
          <w:szCs w:val="24"/>
        </w:rPr>
        <w:fldChar w:fldCharType="end"/>
      </w:r>
      <w:r w:rsidRPr="00D05EBD">
        <w:rPr>
          <w:sz w:val="24"/>
          <w:szCs w:val="24"/>
        </w:rPr>
        <w:t xml:space="preserve"> found that repressive coping helped people deal with strong aversive events (e.g. death of a spouse) and was also associated to less symptoms of psychopathology, less somatic complaints and  better social adjustment than in people who did not use repressive coping.</w:t>
      </w:r>
    </w:p>
    <w:p w:rsidR="00FB1389" w:rsidRPr="00D05EBD" w:rsidRDefault="00FB1389" w:rsidP="00AE640B">
      <w:pPr>
        <w:spacing w:line="480" w:lineRule="auto"/>
        <w:ind w:firstLine="720"/>
        <w:jc w:val="both"/>
        <w:rPr>
          <w:sz w:val="24"/>
          <w:szCs w:val="24"/>
          <w:highlight w:val="yellow"/>
        </w:rPr>
      </w:pPr>
      <w:r w:rsidRPr="00D05EBD">
        <w:rPr>
          <w:sz w:val="24"/>
          <w:szCs w:val="24"/>
        </w:rPr>
        <w:t xml:space="preserve">On the other hand, some researchers have found that AER can be maladaptive. </w:t>
      </w:r>
      <w:r w:rsidR="00B06E70">
        <w:rPr>
          <w:sz w:val="24"/>
          <w:szCs w:val="24"/>
        </w:rPr>
        <w:fldChar w:fldCharType="begin" w:fldLock="1"/>
      </w:r>
      <w:r w:rsidR="00C67313">
        <w:rPr>
          <w:sz w:val="24"/>
          <w:szCs w:val="24"/>
        </w:rPr>
        <w:instrText>ADDIN CSL_CITATION { "citationItems" : [ { "id" : "ITEM-1", "itemData" : { "DOI" : "10.1037/0003-066X.48.11.1117", "ISBN" : "0003-066X", "ISSN" : "0003-066X", "PMID" : "8259825", "abstract" : "It is argued that researchers' reliance on \"objective\" mental health scales and disregard for clinical judgment has led to many mistaken conclusions. Specifically, standard mental health scales appear unable to distinguish between genuine mental health and the facade or illusion of mental health created by psychological defenses. Evidence is presented indicating that (a) many people who look healthy on standard mental health scales are not psychologically healthy, and (b) illusory mental health (based on defensive denial of distress) has physiological costs and may be a risk factor for medical illness. Clinical judges could distinguish genuine from illusory mental health, whereas \"objective\" mental health scales could not. The findings call into question the conclusions of many previous studies that rest on standard mental health scales. They suggest new ways of understanding how psychological factors may influence health. Finally, they suggest that clinical methods (which researchers often malign) may have an important role to play in meaningful mental health research.", "author" : [ { "dropping-particle" : "", "family" : "Shedler", "given" : "Jonathan", "non-dropping-particle" : "", "parse-names" : false, "suffix" : "" }, { "dropping-particle" : "", "family" : "Mayman", "given" : "Martin", "non-dropping-particle" : "", "parse-names" : false, "suffix" : "" }, { "dropping-particle" : "", "family" : "Manis", "given" : "Melvin", "non-dropping-particle" : "", "parse-names" : false, "suffix" : "" } ], "container-title" : "The American psychologist", "id" : "ITEM-1", "issue" : "11", "issued" : { "date-parts" : [ [ "1993" ] ] }, "page" : "1117-1131", "title" : "The illusion of mental health.", "type" : "article-journal", "volume" : "48" }, "uris" : [ "http://www.mendeley.com/documents/?uuid=bf1d06ed-3556-30d0-b30f-40372ee941b8" ] } ], "mendeley" : { "formattedCitation" : "(Shedler, Mayman, &amp; Manis, 1993)", "manualFormatting" : "Shedler, Mayman, and Manis (1993)", "plainTextFormattedCitation" : "(Shedler, Mayman, &amp; Manis, 1993)", "previouslyFormattedCitation" : "(Shedler, Mayman, &amp; Manis, 1993)" }, "properties" : { "noteIndex" : 0 }, "schema" : "https://github.com/citation-style-language/schema/raw/master/csl-citation.json" }</w:instrText>
      </w:r>
      <w:r w:rsidR="00B06E70">
        <w:rPr>
          <w:sz w:val="24"/>
          <w:szCs w:val="24"/>
        </w:rPr>
        <w:fldChar w:fldCharType="separate"/>
      </w:r>
      <w:r w:rsidR="00C67313">
        <w:rPr>
          <w:noProof/>
          <w:sz w:val="24"/>
          <w:szCs w:val="24"/>
        </w:rPr>
        <w:t>Shedler, Mayman, and Manis</w:t>
      </w:r>
      <w:r w:rsidR="00C67313" w:rsidRPr="00C67313">
        <w:rPr>
          <w:noProof/>
          <w:sz w:val="24"/>
          <w:szCs w:val="24"/>
        </w:rPr>
        <w:t xml:space="preserve"> </w:t>
      </w:r>
      <w:r w:rsidR="00C67313">
        <w:rPr>
          <w:noProof/>
          <w:sz w:val="24"/>
          <w:szCs w:val="24"/>
        </w:rPr>
        <w:t>(</w:t>
      </w:r>
      <w:r w:rsidR="00C67313" w:rsidRPr="00C67313">
        <w:rPr>
          <w:noProof/>
          <w:sz w:val="24"/>
          <w:szCs w:val="24"/>
        </w:rPr>
        <w:t>1993)</w:t>
      </w:r>
      <w:r w:rsidR="00B06E70">
        <w:rPr>
          <w:sz w:val="24"/>
          <w:szCs w:val="24"/>
        </w:rPr>
        <w:fldChar w:fldCharType="end"/>
      </w:r>
      <w:r w:rsidRPr="00D05EBD">
        <w:rPr>
          <w:sz w:val="24"/>
          <w:szCs w:val="24"/>
        </w:rPr>
        <w:t xml:space="preserve"> found that people judged as mentally distressed by professional clinicians but who used defensive denial</w:t>
      </w:r>
      <w:r w:rsidRPr="00973AEB">
        <w:rPr>
          <w:rStyle w:val="Refdenotaalpie"/>
        </w:rPr>
        <w:footnoteReference w:id="4"/>
      </w:r>
      <w:r w:rsidRPr="00D05EBD">
        <w:rPr>
          <w:sz w:val="24"/>
          <w:szCs w:val="24"/>
        </w:rPr>
        <w:t xml:space="preserve"> to present themselves as mentally healthy when answering standard mental health scales (the </w:t>
      </w:r>
      <w:proofErr w:type="spellStart"/>
      <w:r w:rsidRPr="00D05EBD">
        <w:rPr>
          <w:sz w:val="24"/>
          <w:szCs w:val="24"/>
        </w:rPr>
        <w:t>Eysenck</w:t>
      </w:r>
      <w:proofErr w:type="spellEnd"/>
      <w:r w:rsidRPr="00D05EBD">
        <w:rPr>
          <w:sz w:val="24"/>
          <w:szCs w:val="24"/>
        </w:rPr>
        <w:t xml:space="preserve"> Neuroticism Scale and the Beck Depression Inventory) presented more implicit signs of anxiety (e.g. stammering) and more cardiovascular responding when exposed to psychological stressors (solving arithmetic calculations, telling stories in response to the Thematic Apperception Test, and responding to a phrase association test). Some researchers have also identified that people with avoidant attachment styles (people that avoid engaging in close emotional relationships) have developed the capacity to automatically inhibit negative emotional impulses, but this capacity comes with a cost for the person: affecting his/her personal relationships, his/her recognition of her/his own emotions, his/her problem solving skills </w:t>
      </w:r>
      <w:r w:rsidR="00B06E70">
        <w:rPr>
          <w:sz w:val="24"/>
          <w:szCs w:val="24"/>
        </w:rPr>
        <w:fldChar w:fldCharType="begin" w:fldLock="1"/>
      </w:r>
      <w:r w:rsidR="003D66CA">
        <w:rPr>
          <w:sz w:val="24"/>
          <w:szCs w:val="24"/>
        </w:rPr>
        <w:instrText>ADDIN CSL_CITATION { "citationItems" : [ { "id" : "ITEM-1", "itemData" : { "author" : [ { "dropping-particle" : "", "family" : "Shaver", "given" : "Phillip R.", "non-dropping-particle" : "", "parse-names" : false, "suffix" : "" }, { "dropping-particle" : "", "family" : "Mikulincer", "given" : "Mario", "non-dropping-particle" : "", "parse-names" : false, "suffix" : "" } ], "chapter-number" : "22", "container-title" : "Handbook of Emotion Regulation", "editor" : [ { "dropping-particle" : "", "family" : "Gross", "given" : "James J.", "non-dropping-particle" : "", "parse-names" : false, "suffix" : "" } ], "id" : "ITEM-1", "issued" : { "date-parts" : [ [ "2007" ] ] }, "page" : "446-465", "publisher" : "The Guilford Press", "publisher-place" : "New York, NY", "title" : "Adult Attachment Strategies and the Regulation of Emotion", "type" : "chapter" }, "uris" : [ "http://www.mendeley.com/documents/?uuid=059d0b73-cb86-44be-ad6c-1f6f23aeb5a4" ] } ], "mendeley" : { "formattedCitation" : "(Shaver &amp; Mikulincer, 2007)", "plainTextFormattedCitation" : "(Shaver &amp; Mikulincer, 2007)", "previouslyFormattedCitation" : "(Shaver &amp; Mikulincer, 2007)" }, "properties" : { "noteIndex" : 0 }, "schema" : "https://github.com/citation-style-language/schema/raw/master/csl-citation.json" }</w:instrText>
      </w:r>
      <w:r w:rsidR="00B06E70">
        <w:rPr>
          <w:sz w:val="24"/>
          <w:szCs w:val="24"/>
        </w:rPr>
        <w:fldChar w:fldCharType="separate"/>
      </w:r>
      <w:r w:rsidR="003D66CA" w:rsidRPr="003D66CA">
        <w:rPr>
          <w:noProof/>
          <w:sz w:val="24"/>
          <w:szCs w:val="24"/>
        </w:rPr>
        <w:t>(Shaver &amp; Mikulincer, 2007)</w:t>
      </w:r>
      <w:r w:rsidR="00B06E70">
        <w:rPr>
          <w:sz w:val="24"/>
          <w:szCs w:val="24"/>
        </w:rPr>
        <w:fldChar w:fldCharType="end"/>
      </w:r>
      <w:r w:rsidRPr="00D05EBD">
        <w:rPr>
          <w:sz w:val="24"/>
          <w:szCs w:val="24"/>
        </w:rPr>
        <w:t xml:space="preserve">. For example, in a study conducted by </w:t>
      </w:r>
      <w:r w:rsidR="00B06E70">
        <w:rPr>
          <w:sz w:val="24"/>
          <w:szCs w:val="24"/>
        </w:rPr>
        <w:fldChar w:fldCharType="begin" w:fldLock="1"/>
      </w:r>
      <w:r w:rsidR="00E8712B">
        <w:rPr>
          <w:sz w:val="24"/>
          <w:szCs w:val="24"/>
        </w:rPr>
        <w:instrText>ADDIN CSL_CITATION { "citationItems" : [ { "id" : "ITEM-1", "itemData" : { "DOI" : "10.1111/1467-8624.ep9308195014", "ISBN" : "1467-8624", "ISSN" : "0009-3920", "PMID" : "1446563", "abstract" : "By asking the subject to consider a host of potentially threatening attachment-related issues, the Adult Attachment Interview (AAI) allows an assessment of different strategies for regulating the attachment system. These strategies can be assessed along the 2 dimensions of security/anxiety and deactivation/hyperactivation. The greatest inferential leaps may be in characterizing strategies as deactivating. For example, individuals using deactivating strategies often report extremely positive relationships with parents, display restricted recall of attachment memories, and play down the significance of early attachment experiences. If these descriptive features are guided by a strategy that requires diverting attention from attachment information, subjects employing this strategy should experience conflict or inhibition during the Attachment Interview. In the present study, skin conductance levels were monitored for 50 college students during a baseline period and throughout the Attachment Interview. Subjects employing deactivating strategies showed marked increases in skin conductance levels from baseline to questions asking them to recall experiences of separation, rejection, and threat from parents. This finding supports the notion that individuals employing deactivating attachment strategies experience conflict or inhibition during the Attachment Interview.", "author" : [ { "dropping-particle" : "", "family" : "Dozier", "given" : "Mary", "non-dropping-particle" : "", "parse-names" : false, "suffix" : "" }, { "dropping-particle" : "", "family" : "Kobak", "given" : "R Rogers", "non-dropping-particle" : "", "parse-names" : false, "suffix" : "" } ], "container-title" : "Child development", "id" : "ITEM-1", "issue" : "6", "issued" : { "date-parts" : [ [ "1992" ] ] }, "page" : "1473-1480", "title" : "Psychophysiology in attachment interviews: converging evidence for deactivating strategies.", "type" : "article-journal", "volume" : "63" }, "uris" : [ "http://www.mendeley.com/documents/?uuid=11565a2e-dfc2-3c3c-8bfb-696cc7b56d80" ] } ], "mendeley" : { "formattedCitation" : "(Dozier &amp; Kobak, 1992)", "manualFormatting" : "Dozier and Kobak (1992)", "plainTextFormattedCitation" : "(Dozier &amp; Kobak, 1992)", "previouslyFormattedCitation" : "(Dozier &amp; Kobak, 1992)" }, "properties" : { "noteIndex" : 0 }, "schema" : "https://github.com/citation-style-language/schema/raw/master/csl-citation.json" }</w:instrText>
      </w:r>
      <w:r w:rsidR="00B06E70">
        <w:rPr>
          <w:sz w:val="24"/>
          <w:szCs w:val="24"/>
        </w:rPr>
        <w:fldChar w:fldCharType="separate"/>
      </w:r>
      <w:r w:rsidR="00E8712B">
        <w:rPr>
          <w:noProof/>
          <w:sz w:val="24"/>
          <w:szCs w:val="24"/>
        </w:rPr>
        <w:t>Dozier and Kobak</w:t>
      </w:r>
      <w:r w:rsidR="00E8712B" w:rsidRPr="00E8712B">
        <w:rPr>
          <w:noProof/>
          <w:sz w:val="24"/>
          <w:szCs w:val="24"/>
        </w:rPr>
        <w:t xml:space="preserve"> </w:t>
      </w:r>
      <w:r w:rsidR="00E8712B">
        <w:rPr>
          <w:noProof/>
          <w:sz w:val="24"/>
          <w:szCs w:val="24"/>
        </w:rPr>
        <w:t>(</w:t>
      </w:r>
      <w:r w:rsidR="00E8712B" w:rsidRPr="00E8712B">
        <w:rPr>
          <w:noProof/>
          <w:sz w:val="24"/>
          <w:szCs w:val="24"/>
        </w:rPr>
        <w:t>1992)</w:t>
      </w:r>
      <w:r w:rsidR="00B06E70">
        <w:rPr>
          <w:sz w:val="24"/>
          <w:szCs w:val="24"/>
        </w:rPr>
        <w:fldChar w:fldCharType="end"/>
      </w:r>
      <w:r w:rsidRPr="00D05EBD">
        <w:rPr>
          <w:sz w:val="24"/>
          <w:szCs w:val="24"/>
        </w:rPr>
        <w:t xml:space="preserve">, participants with an avoidant attachment </w:t>
      </w:r>
      <w:r w:rsidR="00906761">
        <w:rPr>
          <w:sz w:val="24"/>
          <w:szCs w:val="24"/>
        </w:rPr>
        <w:t>style who were asked to recall</w:t>
      </w:r>
      <w:r w:rsidRPr="00D05EBD">
        <w:rPr>
          <w:sz w:val="24"/>
          <w:szCs w:val="24"/>
        </w:rPr>
        <w:t xml:space="preserve"> distressing child events (i.e. separation, loss), expressed few negative feelings but showed high physiological responding (as measured by their skin conductance). In short, understanding which emotion regulation strategies can improve </w:t>
      </w:r>
      <w:r w:rsidRPr="00D05EBD">
        <w:rPr>
          <w:sz w:val="24"/>
          <w:szCs w:val="24"/>
        </w:rPr>
        <w:lastRenderedPageBreak/>
        <w:t>the individual’s life when used automatically could have important implications for mental and physical health, as well as for our understanding of social relationships.</w:t>
      </w:r>
    </w:p>
    <w:p w:rsidR="00012752" w:rsidRDefault="00FB1389" w:rsidP="00012752">
      <w:pPr>
        <w:spacing w:line="480" w:lineRule="auto"/>
        <w:ind w:firstLine="720"/>
        <w:jc w:val="both"/>
        <w:rPr>
          <w:sz w:val="24"/>
          <w:szCs w:val="24"/>
        </w:rPr>
      </w:pPr>
      <w:r w:rsidRPr="00D05EBD">
        <w:rPr>
          <w:sz w:val="24"/>
          <w:szCs w:val="24"/>
        </w:rPr>
        <w:t xml:space="preserve">The extent to which people engage in AER and/or get healthy outcomes from using AER may depend on individual differences or on the mental health of the person. </w:t>
      </w:r>
      <w:r w:rsidR="00B06E70">
        <w:rPr>
          <w:sz w:val="24"/>
          <w:szCs w:val="24"/>
        </w:rPr>
        <w:fldChar w:fldCharType="begin" w:fldLock="1"/>
      </w:r>
      <w:r w:rsidR="003D66CA">
        <w:rPr>
          <w:sz w:val="24"/>
          <w:szCs w:val="24"/>
        </w:rPr>
        <w:instrText>ADDIN CSL_CITATION { "citationItems" : [ { "id" : "ITEM-1", "itemData" : { "DOI" : "10.1037/a0019355", "ISBN" : "9788578110796", "ISSN" : "1931-1516", "PMID" : "21038959", "abstract" : "Although previous evidence suggests that working memory capacity (WMC) is important for success at emotion regulation, that evidence may reveal simply that people with higher WMC follow instructions better than those with lower WMC. The present study tested the hypothesis that people with higher WMC more effectively engage in spontaneous emotion regulation following negative feedback, relative to those with lower WMC. Participants were randomly assigned to receive either no feedback or negative feedback about their emotional intelligence. They then completed a disguised measure of self-enhancement and a self-report measure of affect. Experimental condition and WMC interacted such that higher WMC predicted more self-enhancement and less negative affect following negative feedback. This research provides novel insight into the consequences of individual differences in WMC and illustrates that cognitive capacity may facilitate the spontaneous self-regulation of emotion.", "author" : [ { "dropping-particle" : "", "family" : "Schmeichel", "given" : "Brandon J", "non-dropping-particle" : "", "parse-names" : false, "suffix" : "" }, { "dropping-particle" : "", "family" : "Demaree", "given" : "Heath A", "non-dropping-particle" : "", "parse-names" : false, "suffix" : "" } ], "container-title" : "Emotion (Washington, D.C.)", "id" : "ITEM-1", "issue" : "5", "issued" : { "date-parts" : [ [ "2010" ] ] }, "page" : "739-44", "title" : "Working memory capacity and spontaneous emotion regulation: high capacity predicts self-enhancement in response to negative feedback.", "type" : "article-journal", "volume" : "10" }, "uris" : [ "http://www.mendeley.com/documents/?uuid=97bc3e26-f268-3546-b1de-856744c7b07e" ] } ], "mendeley" : { "formattedCitation" : "(Schmeichel &amp; Demaree, 2010)", "manualFormatting" : "Schmeichel and Demaree (2010)", "plainTextFormattedCitation" : "(Schmeichel &amp; Demaree, 2010)", "previouslyFormattedCitation" : "(Schmeichel &amp; Demaree, 2010)" }, "properties" : { "noteIndex" : 0 }, "schema" : "https://github.com/citation-style-language/schema/raw/master/csl-citation.json" }</w:instrText>
      </w:r>
      <w:r w:rsidR="00B06E70">
        <w:rPr>
          <w:sz w:val="24"/>
          <w:szCs w:val="24"/>
        </w:rPr>
        <w:fldChar w:fldCharType="separate"/>
      </w:r>
      <w:r w:rsidR="003D66CA">
        <w:rPr>
          <w:noProof/>
          <w:sz w:val="24"/>
          <w:szCs w:val="24"/>
        </w:rPr>
        <w:t>Schmeichel and Demaree</w:t>
      </w:r>
      <w:r w:rsidR="003D66CA" w:rsidRPr="003D66CA">
        <w:rPr>
          <w:noProof/>
          <w:sz w:val="24"/>
          <w:szCs w:val="24"/>
        </w:rPr>
        <w:t xml:space="preserve"> </w:t>
      </w:r>
      <w:r w:rsidR="003D66CA">
        <w:rPr>
          <w:noProof/>
          <w:sz w:val="24"/>
          <w:szCs w:val="24"/>
        </w:rPr>
        <w:t>(</w:t>
      </w:r>
      <w:r w:rsidR="003D66CA" w:rsidRPr="003D66CA">
        <w:rPr>
          <w:noProof/>
          <w:sz w:val="24"/>
          <w:szCs w:val="24"/>
        </w:rPr>
        <w:t>2010)</w:t>
      </w:r>
      <w:r w:rsidR="00B06E70">
        <w:rPr>
          <w:sz w:val="24"/>
          <w:szCs w:val="24"/>
        </w:rPr>
        <w:fldChar w:fldCharType="end"/>
      </w:r>
      <w:r w:rsidRPr="00D05EBD">
        <w:rPr>
          <w:sz w:val="24"/>
          <w:szCs w:val="24"/>
        </w:rPr>
        <w:t xml:space="preserve"> found that participants high in working memory capacity (WMC) engaged more easily in AER. They asked participants to solve an alleged emotional intelligence test and were provided with negative feedback. </w:t>
      </w:r>
      <w:proofErr w:type="spellStart"/>
      <w:r w:rsidRPr="00D05EBD">
        <w:rPr>
          <w:sz w:val="24"/>
          <w:szCs w:val="24"/>
        </w:rPr>
        <w:t>Schmeichel</w:t>
      </w:r>
      <w:proofErr w:type="spellEnd"/>
      <w:r w:rsidRPr="00D05EBD">
        <w:rPr>
          <w:sz w:val="24"/>
          <w:szCs w:val="24"/>
        </w:rPr>
        <w:t xml:space="preserve"> and </w:t>
      </w:r>
      <w:proofErr w:type="spellStart"/>
      <w:r w:rsidRPr="00D05EBD">
        <w:rPr>
          <w:sz w:val="24"/>
          <w:szCs w:val="24"/>
        </w:rPr>
        <w:t>Demaree</w:t>
      </w:r>
      <w:proofErr w:type="spellEnd"/>
      <w:r w:rsidRPr="00D05EBD">
        <w:rPr>
          <w:sz w:val="24"/>
          <w:szCs w:val="24"/>
        </w:rPr>
        <w:t xml:space="preserve"> found that the affect of participants w</w:t>
      </w:r>
      <w:r w:rsidR="00906761">
        <w:rPr>
          <w:sz w:val="24"/>
          <w:szCs w:val="24"/>
        </w:rPr>
        <w:t>ho scored high in a WMC measure</w:t>
      </w:r>
      <w:r w:rsidRPr="00D05EBD">
        <w:rPr>
          <w:sz w:val="24"/>
          <w:szCs w:val="24"/>
        </w:rPr>
        <w:t xml:space="preserve"> did not decrease</w:t>
      </w:r>
      <w:r w:rsidR="00906761">
        <w:rPr>
          <w:sz w:val="24"/>
          <w:szCs w:val="24"/>
        </w:rPr>
        <w:t xml:space="preserve"> when they received negative feedback</w:t>
      </w:r>
      <w:r w:rsidRPr="00D05EBD">
        <w:rPr>
          <w:sz w:val="24"/>
          <w:szCs w:val="24"/>
        </w:rPr>
        <w:t>, while the affect of participants low in WMC did, suggesting that participants high in WMC spontaneously engage</w:t>
      </w:r>
      <w:r w:rsidR="00906761">
        <w:rPr>
          <w:sz w:val="24"/>
          <w:szCs w:val="24"/>
        </w:rPr>
        <w:t>d</w:t>
      </w:r>
      <w:r w:rsidRPr="00D05EBD">
        <w:rPr>
          <w:sz w:val="24"/>
          <w:szCs w:val="24"/>
        </w:rPr>
        <w:t xml:space="preserve"> in emotion regulation strategies to improve their affect. In another stu</w:t>
      </w:r>
      <w:r w:rsidRPr="003D66CA">
        <w:rPr>
          <w:sz w:val="24"/>
          <w:szCs w:val="24"/>
        </w:rPr>
        <w:t xml:space="preserve">dy by </w:t>
      </w:r>
      <w:r w:rsidR="00B06E70" w:rsidRPr="003D66CA">
        <w:rPr>
          <w:sz w:val="24"/>
          <w:szCs w:val="24"/>
        </w:rPr>
        <w:fldChar w:fldCharType="begin" w:fldLock="1"/>
      </w:r>
      <w:r w:rsidR="0085444F">
        <w:rPr>
          <w:sz w:val="24"/>
          <w:szCs w:val="24"/>
        </w:rPr>
        <w:instrText>ADDIN CSL_CITATION { "citationItems" : [ { "id" : "ITEM-1", "itemData" : { "DOI" : "10.1027/1016-9040.10.3.209", "ISBN" : "Print 1016-9040 Hogrefe &amp; Huber Publishers Electronic, Print Electronic", "ISSN" : "10169040", "abstract" : "Past research has linked action orientation to intuitive affect regulation (Koole &amp; Jostmann, 2004; Kuhl, 1981). The present research examines whether action orientation can regulate subliminally activated affect. In an experimental study, action-vs. state-oriented participants were exposed to subliminal primes of schematic faces with an angry, neutral, or happy expression. Participants subsequently rated their affect on a basic affect measure. The results showed prime-congruent effects among state-oriented individuals: subliminal angry primes led to lower basic affect compared to subliminal happy primes. Action-oriented participants were not influenced by the subliminal priming in their basic affective reactions. The authors conclude that action orientation is a regulator of basic affective responses, even when these responses are triggered outside of conscious awareness.", "author" : [ { "dropping-particle" : "", "family" : "Jostmann", "given" : "Nils B.", "non-dropping-particle" : "", "parse-names" : false, "suffix" : "" }, { "dropping-particle" : "", "family" : "Koole", "given" : "Sander L.", "non-dropping-particle" : "", "parse-names" : false, "suffix" : "" }, { "dropping-particle" : "", "family" : "Wulp", "given" : "Nickie Y.", "non-dropping-particle" : "Van Der", "parse-names" : false, "suffix" : "" }, { "dropping-particle" : "", "family" : "Fockenberg", "given" : "Daniel A.", "non-dropping-particle" : "", "parse-names" : false, "suffix" : "" } ], "container-title" : "European Psychologist", "id" : "ITEM-1", "issue" : "3", "issued" : { "date-parts" : [ [ "2005" ] ] }, "page" : "209-217", "title" : "Subliminal affect regulation : The moderating role of action vs. State orientation", "type" : "article-journal", "volume" : "10" }, "uris" : [ "http://www.mendeley.com/documents/?uuid=0c5b6449-366f-3638-8f82-b953da45fbee" ] } ], "mendeley" : { "formattedCitation" : "(Jostmann, Koole, Van Der Wulp, &amp; Fockenberg, 2005)", "manualFormatting" : "Jostmann, Koole, Van Der Wulp, and Fockenberg (2005)", "plainTextFormattedCitation" : "(Jostmann, Koole, Van Der Wulp, &amp; Fockenberg, 2005)", "previouslyFormattedCitation" : "(Jostmann, Koole, Van Der Wulp, &amp; Fockenberg, 2005)" }, "properties" : { "noteIndex" : 0 }, "schema" : "https://github.com/citation-style-language/schema/raw/master/csl-citation.json" }</w:instrText>
      </w:r>
      <w:r w:rsidR="00B06E70" w:rsidRPr="003D66CA">
        <w:rPr>
          <w:sz w:val="24"/>
          <w:szCs w:val="24"/>
        </w:rPr>
        <w:fldChar w:fldCharType="separate"/>
      </w:r>
      <w:r w:rsidR="003D66CA" w:rsidRPr="003D66CA">
        <w:rPr>
          <w:noProof/>
          <w:sz w:val="24"/>
          <w:szCs w:val="24"/>
        </w:rPr>
        <w:t>Jostmann, Koole, Van Der Wulp, and</w:t>
      </w:r>
      <w:r w:rsidR="0085444F">
        <w:rPr>
          <w:noProof/>
          <w:sz w:val="24"/>
          <w:szCs w:val="24"/>
        </w:rPr>
        <w:t xml:space="preserve"> Fockenberg</w:t>
      </w:r>
      <w:r w:rsidR="003D66CA" w:rsidRPr="003D66CA">
        <w:rPr>
          <w:noProof/>
          <w:sz w:val="24"/>
          <w:szCs w:val="24"/>
        </w:rPr>
        <w:t xml:space="preserve"> (2005)</w:t>
      </w:r>
      <w:r w:rsidR="00B06E70" w:rsidRPr="003D66CA">
        <w:rPr>
          <w:sz w:val="24"/>
          <w:szCs w:val="24"/>
        </w:rPr>
        <w:fldChar w:fldCharType="end"/>
      </w:r>
      <w:r w:rsidRPr="003D66CA">
        <w:rPr>
          <w:sz w:val="24"/>
          <w:szCs w:val="24"/>
        </w:rPr>
        <w:t>,</w:t>
      </w:r>
      <w:r w:rsidRPr="00D05EBD">
        <w:rPr>
          <w:sz w:val="24"/>
          <w:szCs w:val="24"/>
        </w:rPr>
        <w:t xml:space="preserve"> participants with action orientation approaches (i.e., those that intuitively promote affect regulation and action) showed less negative </w:t>
      </w:r>
      <w:proofErr w:type="spellStart"/>
      <w:r w:rsidRPr="00D05EBD">
        <w:rPr>
          <w:sz w:val="24"/>
          <w:szCs w:val="24"/>
        </w:rPr>
        <w:t>affect</w:t>
      </w:r>
      <w:proofErr w:type="spellEnd"/>
      <w:r w:rsidRPr="00D05EBD">
        <w:rPr>
          <w:sz w:val="24"/>
          <w:szCs w:val="24"/>
        </w:rPr>
        <w:t xml:space="preserve"> in response to a priming task that consisted of subliminally showing angry faces to participants on screen, in comparison with participants with state-oriented approaches (i.e., those that inhibit affect regulation and action). </w:t>
      </w:r>
      <w:r w:rsidR="00B06E70">
        <w:rPr>
          <w:sz w:val="24"/>
          <w:szCs w:val="24"/>
        </w:rPr>
        <w:fldChar w:fldCharType="begin" w:fldLock="1"/>
      </w:r>
      <w:r w:rsidR="009D41E8">
        <w:rPr>
          <w:sz w:val="24"/>
          <w:szCs w:val="24"/>
        </w:rPr>
        <w:instrText>ADDIN CSL_CITATION { "citationItems" : [ { "id" : "ITEM-1", "itemData" : { "DOI" : "10.1037/a0023534", "ISBN" : "1528-3542\\r1931-1516", "ISSN" : "1931-1516", "PMID" : "21668113", "abstract" : "Nine experiments tested competing hypotheses regarding nonconscious affective responses to acute social exclusion and how such responses may relate to positive mental health. The results strongly and consistently indicated that acute social exclusion increased nonconscious positive affect. Compared to nonexcluded participants, excluded participants recalled more positive memories from childhood than did accepted participants (Experiment 1), gave greater weight to positive emotion in their judgments of word similarity (Experiments 2 and 3), and completed more ambiguous word stems with happy words (Experiments 4a and 4b). This process was apparently automatic, as participants asked to imagine exclusion overestimated explicit distress and underestimated implicit positivity (Experiment 3). Four final experiments showed that this automatic emotion regulation process was found among participants low (but not high) in depressive symptoms (Experiments 5 and 6) and among participants high (but not low) in self-esteem (Experiments 7 and 8). These findings suggest that acute exclusion sets in motion an automatic emotion regulation process in which positive emotions become highly accessible, which relates to positive mental health.", "author" : [ { "dropping-particle" : "", "family" : "DeWall", "given" : "C Nathan", "non-dropping-particle" : "", "parse-names" : false, "suffix" : "" }, { "dropping-particle" : "", "family" : "Twenge", "given" : "Jean M", "non-dropping-particle" : "", "parse-names" : false, "suffix" : "" }, { "dropping-particle" : "", "family" : "Koole", "given" : "Sander L", "non-dropping-particle" : "", "parse-names" : false, "suffix" : "" }, { "dropping-particle" : "", "family" : "Baumeister", "given" : "Roy F", "non-dropping-particle" : "", "parse-names" : false, "suffix" : "" }, { "dropping-particle" : "", "family" : "Marquez", "given" : "Allissa", "non-dropping-particle" : "", "parse-names" : false, "suffix" : "" }, { "dropping-particle" : "", "family" : "Reid", "given" : "Mark W", "non-dropping-particle" : "", "parse-names" : false, "suffix" : "" } ], "container-title" : "Emotion (Washington, D.C.)", "id" : "ITEM-1", "issue" : "3", "issued" : { "date-parts" : [ [ "2011" ] ] }, "page" : "623-36", "title" : "Automatic emotion regulation after social exclusion: tuning to positivity.", "type" : "article-journal", "volume" : "11" }, "uris" : [ "http://www.mendeley.com/documents/?uuid=8e9323eb-b037-3baa-af97-b7a24fa792b2" ] } ], "mendeley" : { "formattedCitation" : "(DeWall et al., 2011)", "manualFormatting" : "DeWall et al. (2011)", "plainTextFormattedCitation" : "(DeWall et al., 2011)", "previouslyFormattedCitation" : "(DeWall et al., 2011)" }, "properties" : { "noteIndex" : 0 }, "schema" : "https://github.com/citation-style-language/schema/raw/master/csl-citation.json" }</w:instrText>
      </w:r>
      <w:r w:rsidR="00B06E70">
        <w:rPr>
          <w:sz w:val="24"/>
          <w:szCs w:val="24"/>
        </w:rPr>
        <w:fldChar w:fldCharType="separate"/>
      </w:r>
      <w:r w:rsidR="009D41E8">
        <w:rPr>
          <w:noProof/>
          <w:sz w:val="24"/>
          <w:szCs w:val="24"/>
        </w:rPr>
        <w:t>DeWall et al.</w:t>
      </w:r>
      <w:r w:rsidR="009D41E8" w:rsidRPr="009D41E8">
        <w:rPr>
          <w:noProof/>
          <w:sz w:val="24"/>
          <w:szCs w:val="24"/>
        </w:rPr>
        <w:t xml:space="preserve"> </w:t>
      </w:r>
      <w:r w:rsidR="009D41E8">
        <w:rPr>
          <w:noProof/>
          <w:sz w:val="24"/>
          <w:szCs w:val="24"/>
        </w:rPr>
        <w:t>(</w:t>
      </w:r>
      <w:r w:rsidR="009D41E8" w:rsidRPr="009D41E8">
        <w:rPr>
          <w:noProof/>
          <w:sz w:val="24"/>
          <w:szCs w:val="24"/>
        </w:rPr>
        <w:t>2011)</w:t>
      </w:r>
      <w:r w:rsidR="00B06E70">
        <w:rPr>
          <w:sz w:val="24"/>
          <w:szCs w:val="24"/>
        </w:rPr>
        <w:fldChar w:fldCharType="end"/>
      </w:r>
      <w:r w:rsidRPr="00D05EBD">
        <w:rPr>
          <w:sz w:val="24"/>
          <w:szCs w:val="24"/>
        </w:rPr>
        <w:t xml:space="preserve"> found in a series of studies that people low in depression as well as people high in self-esteem automatically improved their negative affect when experiencing acute exclusion. Thus, the adaptive or maladaptive consequences of engaging in AER might not only depend on the type of AER strategy the person uses, but also on the personal characteristics of each individual, such as WMC, action orientation styles and mental health.</w:t>
      </w:r>
    </w:p>
    <w:p w:rsidR="00FB1389" w:rsidRPr="00D05EBD" w:rsidRDefault="00FB1389" w:rsidP="00012752">
      <w:pPr>
        <w:spacing w:line="480" w:lineRule="auto"/>
        <w:ind w:firstLine="720"/>
        <w:jc w:val="both"/>
        <w:rPr>
          <w:rFonts w:cs="Times New Roman"/>
          <w:bCs/>
          <w:iCs/>
          <w:sz w:val="24"/>
          <w:szCs w:val="24"/>
        </w:rPr>
      </w:pPr>
      <w:r w:rsidRPr="00D05EBD">
        <w:rPr>
          <w:rFonts w:cs="Times New Roman"/>
          <w:bCs/>
          <w:iCs/>
          <w:sz w:val="24"/>
          <w:szCs w:val="24"/>
        </w:rPr>
        <w:lastRenderedPageBreak/>
        <w:t xml:space="preserve">Although it is useful to distinguish between controlled and automatic ER strategies, these two poles should not be treated in an exclusive way since there are some cases in which ER may contain elements of both, if not simultaneously, and in which the same ER strategy can be used both automatically and in a controlled manner. For example, reappraisal has been used as both a CER and AER strategy. </w:t>
      </w:r>
      <w:r w:rsidR="00B06E70">
        <w:rPr>
          <w:rFonts w:cs="Times New Roman"/>
          <w:bCs/>
          <w:iCs/>
          <w:sz w:val="24"/>
          <w:szCs w:val="24"/>
        </w:rPr>
        <w:fldChar w:fldCharType="begin" w:fldLock="1"/>
      </w:r>
      <w:r w:rsidR="006444C8">
        <w:rPr>
          <w:rFonts w:cs="Times New Roman"/>
          <w:bCs/>
          <w:iCs/>
          <w:sz w:val="24"/>
          <w:szCs w:val="24"/>
        </w:rPr>
        <w:instrText>ADDIN CSL_CITATION { "citationItems" : [ { "id" : "ITEM-1", "itemData" : { "DOI" : "10.1162/089892902760807212", "ISBN" : "0898-929X (Print) 0898-929X (Linking)", "ISSN" : "0898-929X", "PMID" : "12495527", "abstract" : "The ability to cognitively regulate emotional responses to aversive events is important for mental and physical health. Little is known, however, about neural bases of the cognitive control of emotion. The present study employed functional magnetic resonance imaging to examine the neural systems used to reappraise highly negative scenes in unemotional terms. Reappraisal of highly negative scenes reduced subjective experience of negative affect. Neural correlates of reappraisal were increased activation of the lateral and medial prefrontal regions and decreased activation of the amygdala and medial orbito-frontal cortex. These findings support the hypothesis that prefrontal cortex is involved in constructing reappraisal strategies that can modulate activity in multiple emotion-processing systems.", "author" : [ { "dropping-particle" : "", "family" : "Ochsner", "given" : "Kevin N", "non-dropping-particle" : "", "parse-names" : false, "suffix" : "" }, { "dropping-particle" : "", "family" : "Bunge", "given" : "Silvia A", "non-dropping-particle" : "", "parse-names" : false, "suffix" : "" }, { "dropping-particle" : "", "family" : "Gross", "given" : "James J", "non-dropping-particle" : "", "parse-names" : false, "suffix" : "" }, { "dropping-particle" : "", "family" : "Gabrieli", "given" : "John D E", "non-dropping-particle" : "", "parse-names" : false, "suffix" : "" } ], "container-title" : "Journal of cognitive neuroscience", "id" : "ITEM-1", "issue" : "8", "issued" : { "date-parts" : [ [ "2002" ] ] }, "page" : "1215-1229", "title" : "Rethinking feelings: an FMRI study of the cognitive regulation of emotion.", "type" : "article-journal", "volume" : "14" }, "uris" : [ "http://www.mendeley.com/documents/?uuid=3b9f751b-3278-30df-8e4a-9cb3a1436b94" ] } ], "mendeley" : { "formattedCitation" : "(Ochsner et al., 2002)", "manualFormatting" : "Ochsner et al., (2002)", "plainTextFormattedCitation" : "(Ochsner et al., 2002)", "previouslyFormattedCitation" : "(Ochsner et al., 2002)" }, "properties" : { "noteIndex" : 0 }, "schema" : "https://github.com/citation-style-language/schema/raw/master/csl-citation.json" }</w:instrText>
      </w:r>
      <w:r w:rsidR="00B06E70">
        <w:rPr>
          <w:rFonts w:cs="Times New Roman"/>
          <w:bCs/>
          <w:iCs/>
          <w:sz w:val="24"/>
          <w:szCs w:val="24"/>
        </w:rPr>
        <w:fldChar w:fldCharType="separate"/>
      </w:r>
      <w:r w:rsidR="00906761">
        <w:rPr>
          <w:rFonts w:cs="Times New Roman"/>
          <w:bCs/>
          <w:iCs/>
          <w:noProof/>
          <w:sz w:val="24"/>
          <w:szCs w:val="24"/>
        </w:rPr>
        <w:t>Ochsner et al.</w:t>
      </w:r>
      <w:r w:rsidR="006444C8" w:rsidRPr="006444C8">
        <w:rPr>
          <w:rFonts w:cs="Times New Roman"/>
          <w:bCs/>
          <w:iCs/>
          <w:noProof/>
          <w:sz w:val="24"/>
          <w:szCs w:val="24"/>
        </w:rPr>
        <w:t xml:space="preserve"> </w:t>
      </w:r>
      <w:r w:rsidR="006444C8">
        <w:rPr>
          <w:rFonts w:cs="Times New Roman"/>
          <w:bCs/>
          <w:iCs/>
          <w:noProof/>
          <w:sz w:val="24"/>
          <w:szCs w:val="24"/>
        </w:rPr>
        <w:t>(</w:t>
      </w:r>
      <w:r w:rsidR="006444C8" w:rsidRPr="006444C8">
        <w:rPr>
          <w:rFonts w:cs="Times New Roman"/>
          <w:bCs/>
          <w:iCs/>
          <w:noProof/>
          <w:sz w:val="24"/>
          <w:szCs w:val="24"/>
        </w:rPr>
        <w:t>2002)</w:t>
      </w:r>
      <w:r w:rsidR="00B06E70">
        <w:rPr>
          <w:rFonts w:cs="Times New Roman"/>
          <w:bCs/>
          <w:iCs/>
          <w:sz w:val="24"/>
          <w:szCs w:val="24"/>
        </w:rPr>
        <w:fldChar w:fldCharType="end"/>
      </w:r>
      <w:r w:rsidR="006444C8" w:rsidRPr="006444C8">
        <w:rPr>
          <w:rFonts w:cs="Times New Roman"/>
          <w:bCs/>
          <w:iCs/>
          <w:sz w:val="24"/>
          <w:szCs w:val="24"/>
        </w:rPr>
        <w:t xml:space="preserve"> </w:t>
      </w:r>
      <w:r w:rsidRPr="006444C8">
        <w:rPr>
          <w:rFonts w:cs="Times New Roman"/>
          <w:bCs/>
          <w:iCs/>
          <w:sz w:val="24"/>
          <w:szCs w:val="24"/>
        </w:rPr>
        <w:t>used</w:t>
      </w:r>
      <w:r w:rsidRPr="00D05EBD">
        <w:rPr>
          <w:rFonts w:cs="Times New Roman"/>
          <w:bCs/>
          <w:iCs/>
          <w:sz w:val="24"/>
          <w:szCs w:val="24"/>
        </w:rPr>
        <w:t xml:space="preserve"> reappraisal as a form of controlled emotion regulation. They asked participants to decrease, maintain or increase their emotional reactions using this strategy while watching emotion-eliciting pictures. </w:t>
      </w:r>
      <w:r w:rsidR="00B06E70" w:rsidRPr="006444C8">
        <w:rPr>
          <w:rFonts w:cs="Times New Roman"/>
          <w:bCs/>
          <w:iCs/>
          <w:sz w:val="24"/>
          <w:szCs w:val="24"/>
        </w:rPr>
        <w:fldChar w:fldCharType="begin"/>
      </w:r>
      <w:r w:rsidRPr="006444C8">
        <w:rPr>
          <w:rFonts w:cs="Times New Roman"/>
          <w:bCs/>
          <w:iCs/>
          <w:sz w:val="24"/>
          <w:szCs w:val="24"/>
        </w:rPr>
        <w:instrText xml:space="preserve"> ADDIN EN.CITE &lt;EndNote&gt;&lt;Cite AuthorYear="1"&gt;&lt;Author&gt;Ochsner&lt;/Author&gt;&lt;Year&gt;2002&lt;/Year&gt;&lt;RecNum&gt;115&lt;/RecNum&gt;&lt;DisplayText&gt;Ochsner et al. (2002)&lt;/DisplayText&gt;&lt;record&gt;&lt;rec-number&gt;115&lt;/rec-number&gt;&lt;foreign-keys&gt;&lt;key app="EN" db-id="2av5p90x9xr9fjepadyvvf5kad5arwxtw92e"&gt;115&lt;/key&gt;&lt;/foreign-keys&gt;&lt;ref-type name="Journal Article"&gt;17&lt;/ref-type&gt;&lt;contributors&gt;&lt;authors&gt;&lt;author&gt;Ochsner, K. N.&lt;/author&gt;&lt;author&gt;Bunge, S. A.&lt;/author&gt;&lt;author&gt;Gross, J. J.&lt;/author&gt;&lt;author&gt;Gabrieli, J. D. E.&lt;/author&gt;&lt;/authors&gt;&lt;/contributors&gt;&lt;titles&gt;&lt;title&gt;Rethinking feelings: An fMRI study of the cognitive regulation of emotion&lt;/title&gt;&lt;secondary-title&gt;Journal of Cognitive Neuroscience&lt;/secondary-title&gt;&lt;/titles&gt;&lt;pages&gt;1215-1229&lt;/pages&gt;&lt;volume&gt;14&lt;/volume&gt;&lt;number&gt;8&lt;/number&gt;&lt;dates&gt;&lt;year&gt;2002&lt;/year&gt;&lt;pub-dates&gt;&lt;date&gt;Nov&lt;/date&gt;&lt;/pub-dates&gt;&lt;/dates&gt;&lt;isbn&gt;0898-929X&lt;/isbn&gt;&lt;accession-num&gt;WOS:000179163500008&lt;/accession-num&gt;&lt;urls&gt;&lt;related-urls&gt;&lt;url&gt;&amp;lt;Go to ISI&amp;gt;://WOS:000179163500008&lt;/url&gt;&lt;/related-urls&gt;&lt;/urls&gt;&lt;electronic-resource-num&gt;10.1162/089892902760807212&lt;/electronic-resource-num&gt;&lt;/record&gt;&lt;/Cite&gt;&lt;/EndNote&gt;</w:instrText>
      </w:r>
      <w:r w:rsidR="00B06E70" w:rsidRPr="006444C8">
        <w:rPr>
          <w:rFonts w:cs="Times New Roman"/>
          <w:bCs/>
          <w:iCs/>
          <w:sz w:val="24"/>
          <w:szCs w:val="24"/>
        </w:rPr>
        <w:fldChar w:fldCharType="separate"/>
      </w:r>
      <w:r w:rsidRPr="006444C8">
        <w:rPr>
          <w:rFonts w:cs="Times New Roman"/>
          <w:bCs/>
          <w:iCs/>
          <w:noProof/>
          <w:sz w:val="24"/>
          <w:szCs w:val="24"/>
        </w:rPr>
        <w:t xml:space="preserve">Ochsner </w:t>
      </w:r>
      <w:r w:rsidR="006444C8" w:rsidRPr="006444C8">
        <w:rPr>
          <w:rFonts w:cs="Times New Roman"/>
          <w:bCs/>
          <w:iCs/>
          <w:noProof/>
          <w:sz w:val="24"/>
          <w:szCs w:val="24"/>
        </w:rPr>
        <w:t xml:space="preserve">and colleagues </w:t>
      </w:r>
      <w:r w:rsidRPr="006444C8">
        <w:rPr>
          <w:rFonts w:cs="Times New Roman"/>
          <w:bCs/>
          <w:iCs/>
          <w:noProof/>
          <w:sz w:val="24"/>
          <w:szCs w:val="24"/>
        </w:rPr>
        <w:t>(2002)</w:t>
      </w:r>
      <w:r w:rsidR="00B06E70" w:rsidRPr="006444C8">
        <w:rPr>
          <w:rFonts w:cs="Times New Roman"/>
          <w:bCs/>
          <w:iCs/>
          <w:sz w:val="24"/>
          <w:szCs w:val="24"/>
        </w:rPr>
        <w:fldChar w:fldCharType="end"/>
      </w:r>
      <w:r w:rsidRPr="00D05EBD">
        <w:rPr>
          <w:rFonts w:cs="Times New Roman"/>
          <w:bCs/>
          <w:iCs/>
          <w:sz w:val="24"/>
          <w:szCs w:val="24"/>
        </w:rPr>
        <w:t xml:space="preserve"> observed that reappraisal decreased the participant’s subjective experience of negative emotion. Through the use of </w:t>
      </w:r>
      <w:proofErr w:type="spellStart"/>
      <w:r w:rsidRPr="00D05EBD">
        <w:rPr>
          <w:rFonts w:cs="Times New Roman"/>
          <w:bCs/>
          <w:iCs/>
          <w:sz w:val="24"/>
          <w:szCs w:val="24"/>
        </w:rPr>
        <w:t>fMRI</w:t>
      </w:r>
      <w:proofErr w:type="spellEnd"/>
      <w:r w:rsidRPr="00D05EBD">
        <w:rPr>
          <w:rFonts w:cs="Times New Roman"/>
          <w:bCs/>
          <w:iCs/>
          <w:sz w:val="24"/>
          <w:szCs w:val="24"/>
        </w:rPr>
        <w:t xml:space="preserve">, they also observed that specific areas of the brain became active while reappraising (the lateral and medial prefrontal regions). In another study, </w:t>
      </w:r>
      <w:r w:rsidR="00B06E70">
        <w:rPr>
          <w:rFonts w:cs="Times New Roman"/>
          <w:bCs/>
          <w:iCs/>
          <w:sz w:val="24"/>
          <w:szCs w:val="24"/>
        </w:rPr>
        <w:fldChar w:fldCharType="begin" w:fldLock="1"/>
      </w:r>
      <w:r w:rsidR="00B23465">
        <w:rPr>
          <w:rFonts w:cs="Times New Roman"/>
          <w:bCs/>
          <w:iCs/>
          <w:sz w:val="24"/>
          <w:szCs w:val="24"/>
        </w:rPr>
        <w:instrText>ADDIN CSL_CITATION { "citationItems" : [ { "id" : "ITEM-1", "itemData" : { "DOI" : "10.1037/a0017745", "ISBN" : "1931-1516 (Electronic)\\n1528-3542 (Linking)", "ISSN" : "1528-3542", "PMID" : "20001127", "abstract" : "People often encounter difficulty when making conscious attempts to regulate their emotions. We propose that nonconscious self-regulatory processes may be of help in these difficult circumstances because nonconscious processes are not subject to the same set of limitations as are conscious processes. Two experiments examined the effects of nonconsciously operating goals on people\u2019s emotion regulatory success. In Experiment 1, participants engaged in an anxiety-eliciting task. Participants who had a reappraisal emotion control goal primed and operating nonconsciously achieved the same decrease in physiological reactivity as those explicitly instructed to reappraise. In Experiment 2, the effect of nonconscious reappraisal priming on physiological reactivity was shown to be most pronounced for those who do not habitually use reappraisal strategies. The findings highlight the potential importance of nonconscious goals for facilitating emotional control in complex real-world environments and have implications for contemporary models of emotion regulation. (PsycINFO Database Record (c) 2013 APA, all rights reserved). (journal abstract)", "author" : [ { "dropping-particle" : "", "family" : "Williams", "given" : "Lawrence E", "non-dropping-particle" : "", "parse-names" : false, "suffix" : "" }, { "dropping-particle" : "", "family" : "Bargh", "given" : "John A", "non-dropping-particle" : "", "parse-names" : false, "suffix" : "" }, { "dropping-particle" : "", "family" : "Nocera", "given" : "Christopher C", "non-dropping-particle" : "", "parse-names" : false, "suffix" : "" }, { "dropping-particle" : "", "family" : "Gray", "given" : "Jeremy R", "non-dropping-particle" : "", "parse-names" : false, "suffix" : "" } ], "container-title" : "Emotion", "id" : "ITEM-1", "issue" : "6", "issued" : { "date-parts" : [ [ "2009" ] ] }, "page" : "847-854", "title" : "The unconscious regulation of emotion: Nonconscious reappraisal goals modulate emotional reactivity.", "type" : "article-journal", "volume" : "9" }, "uris" : [ "http://www.mendeley.com/documents/?uuid=9e8eb5d9-0eec-37a9-9082-4a601649d12d" ] } ], "mendeley" : { "formattedCitation" : "(Williams et al., 2009)", "manualFormatting" : "Williams et al. (2009)", "plainTextFormattedCitation" : "(Williams et al., 2009)", "previouslyFormattedCitation" : "(Williams et al., 2009)" }, "properties" : { "noteIndex" : 0 }, "schema" : "https://github.com/citation-style-language/schema/raw/master/csl-citation.json" }</w:instrText>
      </w:r>
      <w:r w:rsidR="00B06E70">
        <w:rPr>
          <w:rFonts w:cs="Times New Roman"/>
          <w:bCs/>
          <w:iCs/>
          <w:sz w:val="24"/>
          <w:szCs w:val="24"/>
        </w:rPr>
        <w:fldChar w:fldCharType="separate"/>
      </w:r>
      <w:r w:rsidR="006444C8">
        <w:rPr>
          <w:rFonts w:cs="Times New Roman"/>
          <w:bCs/>
          <w:iCs/>
          <w:noProof/>
          <w:sz w:val="24"/>
          <w:szCs w:val="24"/>
        </w:rPr>
        <w:t>Williams et al.</w:t>
      </w:r>
      <w:r w:rsidR="006444C8" w:rsidRPr="006444C8">
        <w:rPr>
          <w:rFonts w:cs="Times New Roman"/>
          <w:bCs/>
          <w:iCs/>
          <w:noProof/>
          <w:sz w:val="24"/>
          <w:szCs w:val="24"/>
        </w:rPr>
        <w:t xml:space="preserve"> </w:t>
      </w:r>
      <w:r w:rsidR="006444C8">
        <w:rPr>
          <w:rFonts w:cs="Times New Roman"/>
          <w:bCs/>
          <w:iCs/>
          <w:noProof/>
          <w:sz w:val="24"/>
          <w:szCs w:val="24"/>
        </w:rPr>
        <w:t>(</w:t>
      </w:r>
      <w:r w:rsidR="006444C8" w:rsidRPr="006444C8">
        <w:rPr>
          <w:rFonts w:cs="Times New Roman"/>
          <w:bCs/>
          <w:iCs/>
          <w:noProof/>
          <w:sz w:val="24"/>
          <w:szCs w:val="24"/>
        </w:rPr>
        <w:t>2009)</w:t>
      </w:r>
      <w:r w:rsidR="00B06E70">
        <w:rPr>
          <w:rFonts w:cs="Times New Roman"/>
          <w:bCs/>
          <w:iCs/>
          <w:sz w:val="24"/>
          <w:szCs w:val="24"/>
        </w:rPr>
        <w:fldChar w:fldCharType="end"/>
      </w:r>
      <w:r w:rsidRPr="00D05EBD">
        <w:rPr>
          <w:rFonts w:cs="Times New Roman"/>
          <w:bCs/>
          <w:iCs/>
          <w:sz w:val="24"/>
          <w:szCs w:val="24"/>
        </w:rPr>
        <w:t xml:space="preserve"> also studied reappraisal, only that they used it as both a CER and an AER strategy. </w:t>
      </w:r>
      <w:r w:rsidR="006B4DDB" w:rsidRPr="00D05EBD">
        <w:rPr>
          <w:rFonts w:cs="Times New Roman"/>
          <w:bCs/>
          <w:iCs/>
          <w:sz w:val="24"/>
          <w:szCs w:val="24"/>
        </w:rPr>
        <w:t>They</w:t>
      </w:r>
      <w:r w:rsidRPr="00D05EBD">
        <w:rPr>
          <w:rFonts w:cs="Times New Roman"/>
          <w:bCs/>
          <w:iCs/>
          <w:sz w:val="24"/>
          <w:szCs w:val="24"/>
        </w:rPr>
        <w:t xml:space="preserve"> used the Scrambled Sentence Task to prime one third of their participants with the goal to reappraise. Another third of participants was explicitly told to reappraise and the rest were given no instructions. They then exposed all participants to a stressful task (preparing a 3-minute oral speech) and measured their heart rate variability (HRV)</w:t>
      </w:r>
      <w:r w:rsidRPr="00973AEB">
        <w:rPr>
          <w:rStyle w:val="Refdenotaalpie"/>
        </w:rPr>
        <w:footnoteReference w:id="5"/>
      </w:r>
      <w:r w:rsidRPr="00D05EBD">
        <w:rPr>
          <w:rFonts w:cs="Times New Roman"/>
          <w:bCs/>
          <w:iCs/>
          <w:sz w:val="24"/>
          <w:szCs w:val="24"/>
        </w:rPr>
        <w:t xml:space="preserve">. They found that both the explicit and the priming group had significantly less HRV than the non-instructed participants, indicating primed participants experienced less distress than the control participants. The studies by Ochsner </w:t>
      </w:r>
      <w:r w:rsidRPr="00B23465">
        <w:rPr>
          <w:rFonts w:cs="Times New Roman"/>
          <w:bCs/>
          <w:iCs/>
          <w:sz w:val="24"/>
          <w:szCs w:val="24"/>
        </w:rPr>
        <w:t>et al. (2002) and Williams et al. (2009)</w:t>
      </w:r>
      <w:r w:rsidRPr="00D05EBD">
        <w:rPr>
          <w:rFonts w:cs="Times New Roman"/>
          <w:bCs/>
          <w:iCs/>
          <w:sz w:val="24"/>
          <w:szCs w:val="24"/>
        </w:rPr>
        <w:t xml:space="preserve"> exemplify that some ER strategies can work in both automatic and controlled ways. </w:t>
      </w:r>
    </w:p>
    <w:p w:rsidR="00FB1389" w:rsidRPr="005561A2" w:rsidRDefault="00FB1389" w:rsidP="00AE640B">
      <w:pPr>
        <w:spacing w:line="480" w:lineRule="auto"/>
        <w:ind w:firstLine="720"/>
        <w:jc w:val="both"/>
        <w:rPr>
          <w:sz w:val="24"/>
          <w:szCs w:val="24"/>
        </w:rPr>
      </w:pPr>
      <w:r w:rsidRPr="00D05EBD">
        <w:rPr>
          <w:sz w:val="24"/>
          <w:szCs w:val="24"/>
        </w:rPr>
        <w:lastRenderedPageBreak/>
        <w:t xml:space="preserve">How people make use of AER in their lives seems to be linked to different factors. For example, habits might promote the use of automatic forms of emotion regulation. </w:t>
      </w:r>
      <w:r w:rsidR="00B06E70">
        <w:rPr>
          <w:sz w:val="24"/>
          <w:szCs w:val="24"/>
        </w:rPr>
        <w:fldChar w:fldCharType="begin" w:fldLock="1"/>
      </w:r>
      <w:r w:rsidR="00A5797A">
        <w:rPr>
          <w:sz w:val="24"/>
          <w:szCs w:val="24"/>
        </w:rPr>
        <w:instrText>ADDIN CSL_CITATION { "citationItems" : [ { "id" : "ITEM-1", "itemData" : { "DOI" : "10.1037/0022-3514.71.2.230", "ISBN" : "0022-3514\\n1939-1315", "ISSN" : "0022-3514", "PMID" : "8765481", "abstract" : "Previous research has shown that trait concepts and stereotype become active automatically in the presence of relevant behavior or stereotyped-group features. Through the use of the same priming procedures as in previous impression formation research, Experiment 1 showed that participants whose concept of rudeness was printed interrupted the experimenter more quickly and frequently than did participants primed with polite-related stimuli. In Experiment 2, participants for whom an elderly stereotype was primed walked more slowly down the hallway when leaving the experiment than did control participants, consistent with the content of that stereotype. In Experiment 3, participants for whom the African American stereotype was primed subliminally reacted with more hostility to a vexatious request of the experimenter. Implications of this automatic behavior priming effect for self-fulfilling prophecies are discussed, as is whether social behavior is necessarily mediated by conscious choice processes.", "author" : [ { "dropping-particle" : "", "family" : "Bargh", "given" : "John A.", "non-dropping-particle" : "", "parse-names" : false, "suffix" : "" }, { "dropping-particle" : "", "family" : "Chen", "given" : "Mark", "non-dropping-particle" : "", "parse-names" : false, "suffix" : "" }, { "dropping-particle" : "", "family" : "Burrows", "given" : "Lara", "non-dropping-particle" : "", "parse-names" : false, "suffix" : "" } ], "container-title" : "Journal of personality and social psychology", "id" : "ITEM-1", "issue" : "2", "issued" : { "date-parts" : [ [ "1996" ] ] }, "page" : "230-244", "title" : "Automaticity of social behavior: Direct effects of trait construct and stereotype-activation on action.", "type" : "article-journal", "volume" : "71" }, "uris" : [ "http://www.mendeley.com/documents/?uuid=55a5884c-98c2-3691-95f6-50a23fe9c58c" ] } ], "mendeley" : { "formattedCitation" : "(J. A. Bargh, Chen, &amp; Burrows, 1996)", "manualFormatting" : "Bargh, Chen, and Burrows (1996)", "plainTextFormattedCitation" : "(J. A. Bargh, Chen, &amp; Burrows, 1996)", "previouslyFormattedCitation" : "(J. A. Bargh, Chen, &amp; Burrows, 1996)" }, "properties" : { "noteIndex" : 0 }, "schema" : "https://github.com/citation-style-language/schema/raw/master/csl-citation.json" }</w:instrText>
      </w:r>
      <w:r w:rsidR="00B06E70">
        <w:rPr>
          <w:sz w:val="24"/>
          <w:szCs w:val="24"/>
        </w:rPr>
        <w:fldChar w:fldCharType="separate"/>
      </w:r>
      <w:r w:rsidR="00B23465">
        <w:rPr>
          <w:noProof/>
          <w:sz w:val="24"/>
          <w:szCs w:val="24"/>
        </w:rPr>
        <w:t>Bargh, Chen, and Burrows</w:t>
      </w:r>
      <w:r w:rsidR="00B23465" w:rsidRPr="00B23465">
        <w:rPr>
          <w:noProof/>
          <w:sz w:val="24"/>
          <w:szCs w:val="24"/>
        </w:rPr>
        <w:t xml:space="preserve"> </w:t>
      </w:r>
      <w:r w:rsidR="00B23465">
        <w:rPr>
          <w:noProof/>
          <w:sz w:val="24"/>
          <w:szCs w:val="24"/>
        </w:rPr>
        <w:t>(</w:t>
      </w:r>
      <w:r w:rsidR="00B23465" w:rsidRPr="00B23465">
        <w:rPr>
          <w:noProof/>
          <w:sz w:val="24"/>
          <w:szCs w:val="24"/>
        </w:rPr>
        <w:t>1996)</w:t>
      </w:r>
      <w:r w:rsidR="00B06E70">
        <w:rPr>
          <w:sz w:val="24"/>
          <w:szCs w:val="24"/>
        </w:rPr>
        <w:fldChar w:fldCharType="end"/>
      </w:r>
      <w:r w:rsidRPr="00D05EBD">
        <w:rPr>
          <w:sz w:val="24"/>
          <w:szCs w:val="24"/>
        </w:rPr>
        <w:t xml:space="preserve"> suggested that if a person consistently behaves in the same form in response to a situation, that response should become automatically associated with that situation. This principle may be applied to emotion regulation behaviour too. Children, for example, start using ER strategies from a very early age </w:t>
      </w:r>
      <w:r w:rsidR="00B06E70">
        <w:rPr>
          <w:sz w:val="24"/>
          <w:szCs w:val="24"/>
        </w:rPr>
        <w:fldChar w:fldCharType="begin" w:fldLock="1"/>
      </w:r>
      <w:r w:rsidR="00EC3E37">
        <w:rPr>
          <w:sz w:val="24"/>
          <w:szCs w:val="24"/>
        </w:rPr>
        <w:instrText>ADDIN CSL_CITATION { "citationItems" : [ { "id" : "ITEM-1", "itemData" : { "author" : [ { "dropping-particle" : "", "family" : "Calkins", "given" : "S D", "non-dropping-particle" : "", "parse-names" : false, "suffix" : "" } ], "container-title" : "Handbook of Self-regulation", "editor" : [ { "dropping-particle" : "", "family" : "Baumeister", "given" : "Roy F.", "non-dropping-particle" : "", "parse-names" : false, "suffix" : "" }, { "dropping-particle" : "", "family" : "Vohs", "given" : "Kathleen D", "non-dropping-particle" : "", "parse-names" : false, "suffix" : "" } ], "id" : "ITEM-1", "issued" : { "date-parts" : [ [ "2004" ] ] }, "page" : "324-339", "publisher" : "The Guildford Press", "publisher-place" : "New York, NY", "title" : "Early Attachment Processes and the Development of Emotional Self-Regulation", "type" : "chapter" }, "uris" : [ "http://www.mendeley.com/documents/?uuid=bc1b1bde-6dbe-4959-8f4d-c9bbb740da66" ] } ], "mendeley" : { "formattedCitation" : "(Calkins, 2004)", "plainTextFormattedCitation" : "(Calkins, 2004)", "previouslyFormattedCitation" : "(Calkins, 2004)" }, "properties" : { "noteIndex" : 0 }, "schema" : "https://github.com/citation-style-language/schema/raw/master/csl-citation.json" }</w:instrText>
      </w:r>
      <w:r w:rsidR="00B06E70">
        <w:rPr>
          <w:sz w:val="24"/>
          <w:szCs w:val="24"/>
        </w:rPr>
        <w:fldChar w:fldCharType="separate"/>
      </w:r>
      <w:r w:rsidR="00EC3E37" w:rsidRPr="00EC3E37">
        <w:rPr>
          <w:noProof/>
          <w:sz w:val="24"/>
          <w:szCs w:val="24"/>
        </w:rPr>
        <w:t>(Calkins, 2004)</w:t>
      </w:r>
      <w:r w:rsidR="00B06E70">
        <w:rPr>
          <w:sz w:val="24"/>
          <w:szCs w:val="24"/>
        </w:rPr>
        <w:fldChar w:fldCharType="end"/>
      </w:r>
      <w:r w:rsidR="00EC3E37">
        <w:rPr>
          <w:sz w:val="24"/>
          <w:szCs w:val="24"/>
        </w:rPr>
        <w:t>,</w:t>
      </w:r>
      <w:r w:rsidRPr="00D05EBD">
        <w:rPr>
          <w:sz w:val="24"/>
          <w:szCs w:val="24"/>
        </w:rPr>
        <w:t xml:space="preserve"> thus, the frequent</w:t>
      </w:r>
      <w:r w:rsidR="00906761">
        <w:rPr>
          <w:sz w:val="24"/>
          <w:szCs w:val="24"/>
        </w:rPr>
        <w:t xml:space="preserve"> use of a specific forms of ER c</w:t>
      </w:r>
      <w:r w:rsidRPr="00D05EBD">
        <w:rPr>
          <w:sz w:val="24"/>
          <w:szCs w:val="24"/>
        </w:rPr>
        <w:t xml:space="preserve">ould end up in an automation of that behaviour </w:t>
      </w:r>
      <w:r w:rsidR="00B06E70">
        <w:rPr>
          <w:sz w:val="24"/>
          <w:szCs w:val="24"/>
        </w:rPr>
        <w:fldChar w:fldCharType="begin" w:fldLock="1"/>
      </w:r>
      <w:r w:rsidR="00E82714">
        <w:rPr>
          <w:sz w:val="24"/>
          <w:szCs w:val="24"/>
        </w:rPr>
        <w:instrText>ADDIN CSL_CITATION { "citationItems" : [ { "id" : "ITEM-1", "itemData" : { "author" : [ { "dropping-particle" : "", "family" : "Bargh", "given" : "John A", "non-dropping-particle" : "", "parse-names" : false, "suffix" : "" }, { "dropping-particle" : "", "family" : "Williams", "given" : "Lawrence E", "non-dropping-particle" : "", "parse-names" : false, "suffix" : "" } ], "container-title" : "Handbook of Emotion Regulation", "editor" : [ { "dropping-particle" : "", "family" : "James J. Gross", "given" : "", "non-dropping-particle" : "", "parse-names" : false, "suffix" : "" } ], "id" : "ITEM-1", "issued" : { "date-parts" : [ [ "2007" ] ] }, "page" : "429-445", "publisher" : "Guilford Press", "publisher-place" : "New York, NY", "title" : "Handbook of Emotion Regulation", "type" : "chapter" }, "uris" : [ "http://www.mendeley.com/documents/?uuid=1b8e8abc-4fa8-4bb2-b793-caee09f3330c" ] } ], "mendeley" : { "formattedCitation" : "(J. A. Bargh &amp; Williams, 2007)", "plainTextFormattedCitation" : "(J. A. Bargh &amp; Williams, 2007)", "previouslyFormattedCitation" : "(J. A. Bargh &amp; Williams, 2007)" }, "properties" : { "noteIndex" : 0 }, "schema" : "https://github.com/citation-style-language/schema/raw/master/csl-citation.json" }</w:instrText>
      </w:r>
      <w:r w:rsidR="00B06E70">
        <w:rPr>
          <w:sz w:val="24"/>
          <w:szCs w:val="24"/>
        </w:rPr>
        <w:fldChar w:fldCharType="separate"/>
      </w:r>
      <w:r w:rsidR="00E82714" w:rsidRPr="00E82714">
        <w:rPr>
          <w:noProof/>
          <w:sz w:val="24"/>
          <w:szCs w:val="24"/>
        </w:rPr>
        <w:t>(Bargh &amp; Williams, 2007)</w:t>
      </w:r>
      <w:r w:rsidR="00B06E70">
        <w:rPr>
          <w:sz w:val="24"/>
          <w:szCs w:val="24"/>
        </w:rPr>
        <w:fldChar w:fldCharType="end"/>
      </w:r>
      <w:r w:rsidRPr="00D05EBD">
        <w:rPr>
          <w:sz w:val="24"/>
          <w:szCs w:val="24"/>
        </w:rPr>
        <w:t xml:space="preserve">. For example, if someone encounters a person that behaves in a rude manner all the time, that person may think that it is not worth feeling bad about this rudeness, then this ER strategy (changing the way one thinks about a situation) may become more automatic the more the person uses it. Similarly, being in a state of ego depletion (“a temporary reduction in the self’s capacity or willingness to engage in volitional action caused by prior exercise of volition”, </w:t>
      </w:r>
      <w:r w:rsidR="00B06E70">
        <w:rPr>
          <w:sz w:val="24"/>
          <w:szCs w:val="24"/>
        </w:rPr>
        <w:fldChar w:fldCharType="begin" w:fldLock="1"/>
      </w:r>
      <w:r w:rsidR="00844B08">
        <w:rPr>
          <w:sz w:val="24"/>
          <w:szCs w:val="24"/>
        </w:rPr>
        <w:instrText>ADDIN CSL_CITATION { "citationItems" : [ { "id" : "ITEM-1", "itemData" : { "DOI" : "10.1037/0022-3514.74.5.1252", "ISBN" : "0022-3514 (Print)\\n0022-3514 (Linking)", "ISSN" : "0022-3514", "PMID" : "9599441", "abstract" : "Choice, active response, self-regulation, and other volition may all draw on a common inner resource. In Experiment 1, people who forced themselves to eat radishes instead of tempting chocolates subsequently quit faster on unsolvable puzzles than people who had not had to exert self-control over eating. In Experiment 2, making a meaningful personal choice to perform attitude-relevant behavior caused a similar decrement in persistence. In Experiment 3, suppressing emotion led to a subsequent drop in performance of solvable anagrams. In Experiment 4, an initial task requiring high self-regulation made people more passive (i.e., more prone to favor the passive-response option). These results suggest that the self's capacity for active volition is limited and that a range of seemingly different, unrelated acts share a common resource.", "author" : [ { "dropping-particle" : "", "family" : "Baumeister", "given" : "Roy F", "non-dropping-particle" : "", "parse-names" : false, "suffix" : "" }, { "dropping-particle" : "", "family" : "Bratslavsky", "given" : "Ellen", "non-dropping-particle" : "", "parse-names" : false, "suffix" : "" }, { "dropping-particle" : "", "family" : "Muraven", "given" : "Mark", "non-dropping-particle" : "", "parse-names" : false, "suffix" : "" }, { "dropping-particle" : "", "family" : "Tice", "given" : "Dianne M", "non-dropping-particle" : "", "parse-names" : false, "suffix" : "" } ], "container-title" : "Journal of personality and social psychology", "id" : "ITEM-1", "issue" : "5", "issued" : { "date-parts" : [ [ "1998" ] ] }, "page" : "1252-1265", "title" : "Ego depletion: is the active self a limited resource?", "type" : "article-journal", "volume" : "74" }, "uris" : [ "http://www.mendeley.com/documents/?uuid=ed613166-71ae-36a5-bae2-6f172226c53f" ] } ], "mendeley" : { "formattedCitation" : "(Baumeister, Bratslavsky, Muraven, &amp; Tice, 1998)", "manualFormatting" : "Baumeister, Bratslavsky, Muraven, and Tice (1998, p. 1253)", "plainTextFormattedCitation" : "(Baumeister, Bratslavsky, Muraven, &amp; Tice, 1998)", "previouslyFormattedCitation" : "(Roy F Baumeister, Bratslavsky, Muraven, &amp; Tice, 1998)" }, "properties" : { "noteIndex" : 0 }, "schema" : "https://github.com/citation-style-language/schema/raw/master/csl-citation.json" }</w:instrText>
      </w:r>
      <w:r w:rsidR="00B06E70">
        <w:rPr>
          <w:sz w:val="24"/>
          <w:szCs w:val="24"/>
        </w:rPr>
        <w:fldChar w:fldCharType="separate"/>
      </w:r>
      <w:r w:rsidR="00E650DF" w:rsidRPr="00E650DF">
        <w:rPr>
          <w:noProof/>
          <w:sz w:val="24"/>
          <w:szCs w:val="24"/>
        </w:rPr>
        <w:t>Baumeiste</w:t>
      </w:r>
      <w:r w:rsidR="00E650DF">
        <w:rPr>
          <w:noProof/>
          <w:sz w:val="24"/>
          <w:szCs w:val="24"/>
        </w:rPr>
        <w:t>r, Bratslavsky, Muraven, and Tice</w:t>
      </w:r>
      <w:r w:rsidR="00E650DF" w:rsidRPr="00E650DF">
        <w:rPr>
          <w:noProof/>
          <w:sz w:val="24"/>
          <w:szCs w:val="24"/>
        </w:rPr>
        <w:t xml:space="preserve"> </w:t>
      </w:r>
      <w:r w:rsidR="00E650DF">
        <w:rPr>
          <w:noProof/>
          <w:sz w:val="24"/>
          <w:szCs w:val="24"/>
        </w:rPr>
        <w:t>(</w:t>
      </w:r>
      <w:r w:rsidR="00E650DF" w:rsidRPr="00E650DF">
        <w:rPr>
          <w:noProof/>
          <w:sz w:val="24"/>
          <w:szCs w:val="24"/>
        </w:rPr>
        <w:t>1998</w:t>
      </w:r>
      <w:r w:rsidR="00E650DF">
        <w:rPr>
          <w:noProof/>
          <w:sz w:val="24"/>
          <w:szCs w:val="24"/>
        </w:rPr>
        <w:t>, p. 1253</w:t>
      </w:r>
      <w:r w:rsidR="00E650DF" w:rsidRPr="00E650DF">
        <w:rPr>
          <w:noProof/>
          <w:sz w:val="24"/>
          <w:szCs w:val="24"/>
        </w:rPr>
        <w:t>)</w:t>
      </w:r>
      <w:r w:rsidR="00B06E70">
        <w:rPr>
          <w:sz w:val="24"/>
          <w:szCs w:val="24"/>
        </w:rPr>
        <w:fldChar w:fldCharType="end"/>
      </w:r>
      <w:r w:rsidRPr="00D05EBD">
        <w:rPr>
          <w:sz w:val="24"/>
          <w:szCs w:val="24"/>
        </w:rPr>
        <w:t xml:space="preserve"> might also influence the use of AER. People who have expended this resource or that are low in self-control are more likely to act according to impulses, to rely on heuristics, on effortless processes and associative mental representations </w:t>
      </w:r>
      <w:r w:rsidR="00B06E70">
        <w:rPr>
          <w:sz w:val="24"/>
          <w:szCs w:val="24"/>
        </w:rPr>
        <w:fldChar w:fldCharType="begin" w:fldLock="1"/>
      </w:r>
      <w:r w:rsidR="005561A2">
        <w:rPr>
          <w:sz w:val="24"/>
          <w:szCs w:val="24"/>
        </w:rPr>
        <w:instrText>ADDIN CSL_CITATION { "citationItems" : [ { "id" : "ITEM-1", "itemData" : { "DOI" : "10.1111/j.1745-6924.2009.01116.x", "PMID" : "26158943", "abstract" : "Though human beings embody a unique ability for planned behavior, they also often act impulsively. This insight may be important for the study of self-control situations in which people are torn between their long-term goals to restrain behavior and their immediate impulses that promise hedonic fulfillment. In the present article, we outline a dual-systems perspective of impulse and self-control and suggest a framework for the prediction of self-control outcomes. This framework combines three elements that, considered jointly, may enable a more precise prediction of self-control outcomes than they do when studied in isolation: impulsive precursors of behavior, reflective precursors, and situational or dispositional boundary conditions. The theoretical and practical utility of such an approach is demonstrated by drawing on recent evidence from several domains of self-control such as eating, drinking, and sexual behavior.\u00a9 2009 Association for Psychological Science.", "author" : [ { "dropping-particle" : "", "family" : "Hofmann", "given" : "Wilhelm", "non-dropping-particle" : "", "parse-names" : false, "suffix" : "" }, { "dropping-particle" : "", "family" : "Friese", "given" : "Malte", "non-dropping-particle" : "", "parse-names" : false, "suffix" : "" }, { "dropping-particle" : "", "family" : "Strack", "given" : "Fritz", "non-dropping-particle" : "", "parse-names" : false, "suffix" : "" } ], "container-title" : "Perspectives on psychological science : a journal of the Association for Psychological Science", "id" : "ITEM-1", "issue" : "2", "issued" : { "date-parts" : [ [ "2009" ] ] }, "page" : "162-176", "title" : "Impulse and Self-Control From a Dual-Systems Perspective.", "type" : "article-journal", "volume" : "4" }, "uris" : [ "http://www.mendeley.com/documents/?uuid=12a652a2-59d6-329d-9043-6f5aca92d192" ] }, { "id" : "ITEM-2", "itemData" : { "DOI" : "10.1207/s15327957pspr0803_1", "ISBN" : "10888683", "ISSN" : "1088-8683", "PMID" : "15454347", "abstract" : "This article describes a 2-systems model that explains social behavior as a joint function of reflective and impulsive processes. In particular, it is assumed that social behavior is controlled by 2 interacting systems that follow different operating principles. The reflective system generates behavioral decisions that are based on knowledge about facts and values, whereas the impulsive system elicits behavior through associative links and motivational orientations. The proposed model describes how the 2 systems interact at various stages of processing, and how their outputs may determine behavior in a synergistic or antagonistic fashion. It extends previous models by integrating motivational components that allow more precise predictions of behavior. The implications of this reflective-impulsive model are applied to various phenomena from social psychology and beyond. Extending previous dual-process accounts, this model is not limited to specific domains of mental functioning and attempts to integrate cognitive, motivational, and behavioral mechanisms.", "author" : [ { "dropping-particle" : "", "family" : "Strack", "given" : "Fritz", "non-dropping-particle" : "", "parse-names" : false, "suffix" : "" }, { "dropping-particle" : "", "family" : "Deutsch", "given" : "Roland", "non-dropping-particle" : "", "parse-names" : false, "suffix" : "" } ], "container-title" : "Personality and social psychology review : an official journal of the Society for Personality and Social Psychology, Inc", "id" : "ITEM-2", "issue" : "3", "issued" : { "date-parts" : [ [ "2004" ] ] }, "page" : "220-247", "title" : "Reflective and impulsive determinants of social behavior.", "type" : "article-journal", "volume" : "8" }, "uris" : [ "http://www.mendeley.com/documents/?uuid=7cb9b165-3d8a-380c-a064-a421a84834f6" ] } ], "mendeley" : { "formattedCitation" : "(W. Hofmann, Friese, &amp; Strack, 2009; Strack &amp; Deutsch, 2004)", "plainTextFormattedCitation" : "(W. Hofmann, Friese, &amp; Strack, 2009; Strack &amp; Deutsch, 2004)", "previouslyFormattedCitation" : "(W. Hofmann, Friese, &amp; Strack, 2009; Strack &amp; Deutsch, 2004)" }, "properties" : { "noteIndex" : 0 }, "schema" : "https://github.com/citation-style-language/schema/raw/master/csl-citation.json" }</w:instrText>
      </w:r>
      <w:r w:rsidR="00B06E70">
        <w:rPr>
          <w:sz w:val="24"/>
          <w:szCs w:val="24"/>
        </w:rPr>
        <w:fldChar w:fldCharType="separate"/>
      </w:r>
      <w:r w:rsidR="00D75450" w:rsidRPr="00F758A0">
        <w:rPr>
          <w:noProof/>
          <w:sz w:val="24"/>
          <w:szCs w:val="24"/>
        </w:rPr>
        <w:t>(Hofmann, Friese, &amp; Strack, 2009; Strack &amp; Deutsch, 2004)</w:t>
      </w:r>
      <w:r w:rsidR="00B06E70">
        <w:rPr>
          <w:sz w:val="24"/>
          <w:szCs w:val="24"/>
        </w:rPr>
        <w:fldChar w:fldCharType="end"/>
      </w:r>
      <w:r w:rsidRPr="00F758A0">
        <w:rPr>
          <w:sz w:val="24"/>
          <w:szCs w:val="24"/>
        </w:rPr>
        <w:t xml:space="preserve">. </w:t>
      </w:r>
      <w:r w:rsidRPr="00D05EBD">
        <w:rPr>
          <w:sz w:val="24"/>
          <w:szCs w:val="24"/>
        </w:rPr>
        <w:t xml:space="preserve">To sum up, people may engage in ER in an automatic way, varying the amounts of effort, awareness, intention and/or efficiency they exert when modifying their emotions, and this AER could be adaptive or maladaptive depending on the personal characteristics of each individual, as well as on the person’s mental health. Furthermore, habitually using certain ER strategies throughout life or being in a state of ego depletion could also make people more likely </w:t>
      </w:r>
      <w:r w:rsidRPr="005561A2">
        <w:rPr>
          <w:sz w:val="24"/>
          <w:szCs w:val="24"/>
        </w:rPr>
        <w:t>to engage in AER.</w:t>
      </w:r>
    </w:p>
    <w:p w:rsidR="00FB1389" w:rsidRPr="00D05EBD" w:rsidRDefault="00FB1389" w:rsidP="00AE640B">
      <w:pPr>
        <w:spacing w:line="480" w:lineRule="auto"/>
        <w:jc w:val="both"/>
        <w:rPr>
          <w:sz w:val="24"/>
          <w:szCs w:val="24"/>
        </w:rPr>
      </w:pPr>
      <w:r w:rsidRPr="005561A2">
        <w:rPr>
          <w:b/>
          <w:sz w:val="24"/>
          <w:szCs w:val="24"/>
        </w:rPr>
        <w:lastRenderedPageBreak/>
        <w:t>1.4 Interpersonal emotion regulation (or extrinsic emotion regulation)</w:t>
      </w:r>
    </w:p>
    <w:p w:rsidR="00FB1389" w:rsidRPr="00D05EBD" w:rsidRDefault="00FB1389" w:rsidP="00AE640B">
      <w:pPr>
        <w:spacing w:line="480" w:lineRule="auto"/>
        <w:ind w:firstLine="720"/>
        <w:jc w:val="both"/>
        <w:rPr>
          <w:sz w:val="24"/>
          <w:szCs w:val="24"/>
        </w:rPr>
      </w:pPr>
      <w:r w:rsidRPr="00D05EBD">
        <w:rPr>
          <w:sz w:val="24"/>
          <w:szCs w:val="24"/>
        </w:rPr>
        <w:t xml:space="preserve">While it is true that emotions are experienced at a personal level, it is undeniable that a social component plays a paramount part in the way people interpret, feel, and communicate emotions. For example, observing someone’s emotional expression provides information about the situation (e.g. someone expressing fear could indicate there is a dangerous situation to be avoided). Experiencing pleasure from the misfortune of someone else or </w:t>
      </w:r>
      <w:proofErr w:type="spellStart"/>
      <w:r w:rsidRPr="00D05EBD">
        <w:rPr>
          <w:sz w:val="24"/>
          <w:szCs w:val="24"/>
        </w:rPr>
        <w:t>schadenfreude</w:t>
      </w:r>
      <w:proofErr w:type="spellEnd"/>
      <w:r w:rsidRPr="00D05EBD">
        <w:rPr>
          <w:sz w:val="24"/>
          <w:szCs w:val="24"/>
        </w:rPr>
        <w:t xml:space="preserve"> is another example of how emotions have an interpersonal ingredient. Emot</w:t>
      </w:r>
      <w:r w:rsidR="00906761">
        <w:rPr>
          <w:sz w:val="24"/>
          <w:szCs w:val="24"/>
        </w:rPr>
        <w:t>ions also provide information on</w:t>
      </w:r>
      <w:r w:rsidRPr="00D05EBD">
        <w:rPr>
          <w:sz w:val="24"/>
          <w:szCs w:val="24"/>
        </w:rPr>
        <w:t xml:space="preserve"> how to respond to people, seeing someone cry might elicit a comforting response (for a review of the social psychology of emotions see </w:t>
      </w:r>
      <w:r w:rsidR="00B06E70">
        <w:rPr>
          <w:sz w:val="24"/>
          <w:szCs w:val="24"/>
        </w:rPr>
        <w:fldChar w:fldCharType="begin" w:fldLock="1"/>
      </w:r>
      <w:r w:rsidR="00973AEB">
        <w:rPr>
          <w:sz w:val="24"/>
          <w:szCs w:val="24"/>
        </w:rPr>
        <w:instrText>ADDIN CSL_CITATION { "citationItems" : [ { "id" : "ITEM-1", "itemData" : { "DOI" : "10.1111/j.2044-8309.2011.02034.x", "ISBN" : "2044-8309 (Electronic)\\r0144-6665 (Linking)", "ISSN" : "01446665", "PMID" : "21884541", "abstract" : "Two classic studies published 50 years ago showed how other people provide information that shapes the activation and interpretation of emotions. The present paper traces development of the social psychology of emotions from this starting point. Subsequent research into group-based and social appraisal has advanced understanding of the impact of social information on emotions and suggested new ways of investigating associated phenomena. Although potential integrations of interpersonal and group-oriented approaches offer promise for the future, the continuing focus on emotions as cognitively mediated effects of social factors should broaden to encompass dynamic relational processes.", "author" : [ { "dropping-particle" : "", "family" : "Parkinson", "given" : "Brian", "non-dropping-particle" : "", "parse-names" : false, "suffix" : "" } ], "container-title" : "British Journal of Social Psychology", "id" : "ITEM-1", "issue" : "3", "issued" : { "date-parts" : [ [ "2011" ] ] }, "page" : "405-413", "title" : "How social is the social psychology of emotion?", "type" : "article-journal", "volume" : "50" }, "uris" : [ "http://www.mendeley.com/documents/?uuid=b531cfee-60c1-3e3d-96f5-ecc59e943fc7" ] } ], "mendeley" : { "formattedCitation" : "(Brian Parkinson, 2011)", "manualFormatting" : "Parkinson, 2011)", "plainTextFormattedCitation" : "(Brian Parkinson, 2011)", "previouslyFormattedCitation" : "(Brian Parkinson, 2011)" }, "properties" : { "noteIndex" : 0 }, "schema" : "https://github.com/citation-style-language/schema/raw/master/csl-citation.json" }</w:instrText>
      </w:r>
      <w:r w:rsidR="00B06E70">
        <w:rPr>
          <w:sz w:val="24"/>
          <w:szCs w:val="24"/>
        </w:rPr>
        <w:fldChar w:fldCharType="separate"/>
      </w:r>
      <w:r w:rsidR="005561A2" w:rsidRPr="005561A2">
        <w:rPr>
          <w:noProof/>
          <w:sz w:val="24"/>
          <w:szCs w:val="24"/>
        </w:rPr>
        <w:t>Parkinson, 2011)</w:t>
      </w:r>
      <w:r w:rsidR="00B06E70">
        <w:rPr>
          <w:sz w:val="24"/>
          <w:szCs w:val="24"/>
        </w:rPr>
        <w:fldChar w:fldCharType="end"/>
      </w:r>
      <w:r w:rsidRPr="00D05EBD">
        <w:rPr>
          <w:sz w:val="24"/>
          <w:szCs w:val="24"/>
        </w:rPr>
        <w:t xml:space="preserve">. This social component of emotions may also affect ER, as mentioned in the introduction of this chapter, ER may occur within the person – that is, people control their own emotions (termed </w:t>
      </w:r>
      <w:r w:rsidRPr="00D05EBD">
        <w:rPr>
          <w:i/>
          <w:sz w:val="24"/>
          <w:szCs w:val="24"/>
        </w:rPr>
        <w:t>intra</w:t>
      </w:r>
      <w:r w:rsidRPr="00D05EBD">
        <w:rPr>
          <w:sz w:val="24"/>
          <w:szCs w:val="24"/>
        </w:rPr>
        <w:t xml:space="preserve">personal or intrinsic emotion regulation) – or between people – that is, people influence someone else’s emotions (termed interpersonal emotion regulation or IER). </w:t>
      </w:r>
      <w:r w:rsidR="00B06E70">
        <w:rPr>
          <w:sz w:val="24"/>
          <w:szCs w:val="24"/>
        </w:rPr>
        <w:fldChar w:fldCharType="begin" w:fldLock="1"/>
      </w:r>
      <w:r w:rsidR="005561A2">
        <w:rPr>
          <w:sz w:val="24"/>
          <w:szCs w:val="24"/>
        </w:rPr>
        <w:instrText>ADDIN CSL_CITATION { "citationItems" : [ { "id" : "ITEM-1", "itemData" : { "DOI" : "10.1080/02699931.2011.587641", "ISBN" : "1464-0600 (Electronic)\\r0269-9931 (Linking)", "ISSN" : "1464-0600", "PMID" : "21714743", "abstract" : "Comments on an article by James J. Gross, Gal Sheppes, and Heather L. Urry (see record [rid]2011-18222-001[/rid]). The goal of the paper by Gross, Sheppes, and Urry appears to be a necessary clarification of the emotion-regulation concept and its distinction from emotion in general and emotion generation specifically. They question whether the concept of auto-regulation fulfils the criteria for emotion regulation according to their (prescriptive) definition. Given the lack of space, I\u2019ll focus on negative emotional states to clarify my position: Negative emotions are arguably associated with situations of personal concern in which an obstacle to fulfilling one or more goals has been perceived, in or outside of awareness. They bias and affect concrete behavior, trigger complex physiological cascades in the somatic, autonomic, and endocrine nervous systems with distal goal to disappear into their \"Djinn\u2019s bottle\" once their mission has been accomplished. Surprisingly, Gross et al's definition of emotion regulation in the present issue makes the distinction between emotion regulation and emotion generation more complicated. They argue that \"although both emotion generation and emotion regulation involve goals, a process is emotion regulatory if and only if it is instantiated in pursuit of a goal to influence an ongoing or future emotion\". Given that emotions, such as fear, are targeted at the evasion of the emotion elicitor, the emotion is indeed elicited with the goal to end itself by changing the situation physically or psychologically, or both. Thus, generation of this emotion is the first step in the cascade of getting rid of itself\u2014the auto-regulation of emotion. (PsycINFO Database Record (c) 2012 APA, all rights reserved)", "author" : [ { "dropping-particle" : "", "family" : "Kappas", "given" : "Arvid", "non-dropping-particle" : "", "parse-names" : false, "suffix" : "" } ], "container-title" : "Cognition &amp; emotion", "id" : "ITEM-1", "issue" : "5", "issued" : { "date-parts" : [ [ "2011" ] ] }, "page" : "785-8; discussion 789-93", "title" : "Emotion is not just an alarm bell--it's the whole tootin' fire truck.", "type" : "article-journal", "volume" : "25" }, "uris" : [ "http://www.mendeley.com/documents/?uuid=d9cc82d3-0465-4582-b604-3524efaf9836" ] } ], "mendeley" : { "formattedCitation" : "(Kappas, 2011)", "manualFormatting" : "Kappas (2011)", "plainTextFormattedCitation" : "(Kappas, 2011)", "previouslyFormattedCitation" : "(Kappas, 2011)" }, "properties" : { "noteIndex" : 0 }, "schema" : "https://github.com/citation-style-language/schema/raw/master/csl-citation.json" }</w:instrText>
      </w:r>
      <w:r w:rsidR="00B06E70">
        <w:rPr>
          <w:sz w:val="24"/>
          <w:szCs w:val="24"/>
        </w:rPr>
        <w:fldChar w:fldCharType="separate"/>
      </w:r>
      <w:r w:rsidR="005561A2">
        <w:rPr>
          <w:noProof/>
          <w:sz w:val="24"/>
          <w:szCs w:val="24"/>
        </w:rPr>
        <w:t>Kappas</w:t>
      </w:r>
      <w:r w:rsidR="005561A2" w:rsidRPr="005561A2">
        <w:rPr>
          <w:noProof/>
          <w:sz w:val="24"/>
          <w:szCs w:val="24"/>
        </w:rPr>
        <w:t xml:space="preserve"> </w:t>
      </w:r>
      <w:r w:rsidR="005561A2">
        <w:rPr>
          <w:noProof/>
          <w:sz w:val="24"/>
          <w:szCs w:val="24"/>
        </w:rPr>
        <w:t>(</w:t>
      </w:r>
      <w:r w:rsidR="005561A2" w:rsidRPr="005561A2">
        <w:rPr>
          <w:noProof/>
          <w:sz w:val="24"/>
          <w:szCs w:val="24"/>
        </w:rPr>
        <w:t>2011)</w:t>
      </w:r>
      <w:r w:rsidR="00B06E70">
        <w:rPr>
          <w:sz w:val="24"/>
          <w:szCs w:val="24"/>
        </w:rPr>
        <w:fldChar w:fldCharType="end"/>
      </w:r>
      <w:r w:rsidR="005561A2" w:rsidRPr="00D05EBD">
        <w:rPr>
          <w:sz w:val="24"/>
          <w:szCs w:val="24"/>
        </w:rPr>
        <w:t xml:space="preserve"> </w:t>
      </w:r>
      <w:r w:rsidRPr="00D05EBD">
        <w:rPr>
          <w:sz w:val="24"/>
          <w:szCs w:val="24"/>
        </w:rPr>
        <w:t>argues that ER has an interpersonal component because it is influenced by social processes. He observed that people (especially children) might not be able to regulate their emotions all the time and that the help of adults is useful in these cases. In the present thesis, IER is defined as the process of purposely influencing the internal affective states of another person</w:t>
      </w:r>
      <w:r w:rsidR="00E9522A">
        <w:rPr>
          <w:sz w:val="24"/>
          <w:szCs w:val="24"/>
        </w:rPr>
        <w:t xml:space="preserve"> </w:t>
      </w:r>
      <w:r w:rsidR="00B06E70">
        <w:rPr>
          <w:sz w:val="24"/>
          <w:szCs w:val="24"/>
        </w:rPr>
        <w:fldChar w:fldCharType="begin" w:fldLock="1"/>
      </w:r>
      <w:r w:rsidR="00AA55C6">
        <w:rPr>
          <w:sz w:val="24"/>
          <w:szCs w:val="24"/>
        </w:rPr>
        <w:instrText>ADDIN CSL_CITATION { "citationItems" : [ { "id" : "ITEM-1", "itemData" : { "DOI" : "10.1037/a0015962", "ISBN" : "1528-3542 1931-1516", "ISSN" : "1931-1516", "PMID" : "19653772", "abstract" : "Controlled interpersonal affect regulation refers to the deliberate regulation of someone else's affect. Building on existing research concerning this everyday process, the authors describe the development of a theoretical classification scheme that distinguishes between the types of strategy used to achieve interpersonal affect regulation. To test the theoretical classification, the authors generated a corpus of 378 distinct strategies using self-report questionnaires and diaries completed by student and working samples. Twenty participants then performed a card-sort of the strategies. Hierarchical cluster analysis was used to determine how well the theoretical classification represented spontaneous understandings of controlled interpersonal affect regulation. The final classification primarily distinguished between strategies used to improve versus those used to worsen others' affect, and between strategies that engaged the target in a situation or affective state versus relationship-oriented strategies. The classification provides a meaningful basis for organizing existing research and making future conceptual and empirical distinctions.", "author" : [ { "dropping-particle" : "", "family" : "Niven", "given" : "Karen", "non-dropping-particle" : "", "parse-names" : false, "suffix" : "" }, { "dropping-particle" : "", "family" : "Totterdell", "given" : "Peter", "non-dropping-particle" : "", "parse-names" : false, "suffix" : "" }, { "dropping-particle" : "", "family" : "Holman", "given" : "David", "non-dropping-particle" : "", "parse-names" : false, "suffix" : "" } ], "container-title" : "Emotion", "id" : "ITEM-1", "issue" : "4", "issued" : { "date-parts" : [ [ "2009" ] ] }, "page" : "498-509", "title" : "A classification of controlled interpersonal affect regulation strategies.", "type" : "article-journal", "volume" : "9" }, "uris" : [ "http://www.mendeley.com/documents/?uuid=ef880a8e-77d6-36af-8aa2-b9c5b926699d" ] } ], "mendeley" : { "formattedCitation" : "(Niven et al., 2009)", "plainTextFormattedCitation" : "(Niven et al., 2009)", "previouslyFormattedCitation" : "(Niven et al., 2009)" }, "properties" : { "noteIndex" : 0 }, "schema" : "https://github.com/citation-style-language/schema/raw/master/csl-citation.json" }</w:instrText>
      </w:r>
      <w:r w:rsidR="00B06E70">
        <w:rPr>
          <w:sz w:val="24"/>
          <w:szCs w:val="24"/>
        </w:rPr>
        <w:fldChar w:fldCharType="separate"/>
      </w:r>
      <w:r w:rsidR="00E9522A" w:rsidRPr="00E9522A">
        <w:rPr>
          <w:noProof/>
          <w:sz w:val="24"/>
          <w:szCs w:val="24"/>
        </w:rPr>
        <w:t>(Niven et al., 2009)</w:t>
      </w:r>
      <w:r w:rsidR="00B06E70">
        <w:rPr>
          <w:sz w:val="24"/>
          <w:szCs w:val="24"/>
        </w:rPr>
        <w:fldChar w:fldCharType="end"/>
      </w:r>
      <w:r w:rsidR="00E9522A">
        <w:rPr>
          <w:sz w:val="24"/>
          <w:szCs w:val="24"/>
        </w:rPr>
        <w:t>.</w:t>
      </w:r>
    </w:p>
    <w:p w:rsidR="00FB1389" w:rsidRPr="00D05EBD" w:rsidRDefault="00FB1389" w:rsidP="00AE640B">
      <w:pPr>
        <w:pStyle w:val="Prrafodelista"/>
        <w:spacing w:after="0" w:line="480" w:lineRule="auto"/>
        <w:ind w:left="0"/>
        <w:jc w:val="both"/>
        <w:rPr>
          <w:sz w:val="24"/>
          <w:szCs w:val="24"/>
        </w:rPr>
      </w:pPr>
      <w:r w:rsidRPr="00D05EBD">
        <w:rPr>
          <w:sz w:val="24"/>
          <w:szCs w:val="24"/>
        </w:rPr>
        <w:tab/>
        <w:t xml:space="preserve">In the same way as there are multiple forms of regulating one’s emotions, the strategies used to regulate someone else’s emotions can also vary greatly. For example, </w:t>
      </w:r>
      <w:r w:rsidR="00B06E70">
        <w:rPr>
          <w:sz w:val="24"/>
          <w:szCs w:val="24"/>
        </w:rPr>
        <w:fldChar w:fldCharType="begin" w:fldLock="1"/>
      </w:r>
      <w:r w:rsidR="00AA55C6">
        <w:rPr>
          <w:sz w:val="24"/>
          <w:szCs w:val="24"/>
        </w:rPr>
        <w:instrText>ADDIN CSL_CITATION { "citationItems" : [ { "id" : "ITEM-1", "itemData" : { "DOI" : "10.1111/j.1468-2958.1991.tb00527.x", "ISBN" : "1468-2958", "ISSN" : "0360-3989", "abstract" : "Communication plays an important role in eliciting and shaping people's emotions. Yet surprisingly little empirical or conceptual work has explored how social interaction encourages or discourages various emotions. This article summarizes a series of four studies which examined how people, in conversations, go about generating one emotion\u2014that of guilt\u2014in others. In the first study, a typology of 12 guilt moves was inductively devised. The most common ways of making another feel guilty were: reminding the other of his or her obligation to a relationship, listing sacrifices one has made for the other, reminding the other of his or her role responsibilities, comparing the other to someone else, and questioning the other. The primary reason for using guilt in conversations was persuasion. In the second study, the typology's generalizability was confirmed. Findings also revealed that the likelihood of using guilt in conversations increases with greater relationship intimacy and that people believe others are more likely to use guilt than themselves. The 12 techniques for guilt elicitation were examined in the third study for their independence and dimensionality via multidimensional scaling. The results suggest three underlying dimensions (self-nonself, acquiescence-restrictiveness, and commission-omission) and six potential clusters. The final study conceptualized guilt elicitation and sensitivity as individual differences. A brief, multifactor scale of individuals\u2019 tendency to use guilt, to use it with ease, and to be susceptible to guilt moves was developed. The three dimensions correlated significantly with a number of communication-focused personality variables.", "author" : [ { "dropping-particle" : "", "family" : "Vangelisti", "given" : "Anita L", "non-dropping-particle" : "", "parse-names" : false, "suffix" : "" }, { "dropping-particle" : "", "family" : "Daly", "given" : "John A", "non-dropping-particle" : "", "parse-names" : false, "suffix" : "" }, { "dropping-particle" : "", "family" : "Rudnick", "given" : "Janine", "non-dropping-particle" : "", "parse-names" : false, "suffix" : "" } ], "container-title" : "Human communication research", "id" : "ITEM-1", "issue" : "1", "issued" : { "date-parts" : [ [ "1991" ] ] }, "page" : "3-39", "title" : "Making people feel guilty in conversations", "type" : "article-journal", "volume" : "18" }, "uris" : [ "http://www.mendeley.com/documents/?uuid=87813a28-d3ac-3702-9d5e-1f556fdf7f9a" ] } ], "mendeley" : { "formattedCitation" : "(Vangelisti, Daly, &amp; Rudnick, 1991)", "manualFormatting" : "Vangelisti, Daly, and Rudnick (1991)", "plainTextFormattedCitation" : "(Vangelisti, Daly, &amp; Rudnick, 1991)", "previouslyFormattedCitation" : "(Vangelisti, Daly, &amp; Rudnick, 1991)" }, "properties" : { "noteIndex" : 0 }, "schema" : "https://github.com/citation-style-language/schema/raw/master/csl-citation.json" }</w:instrText>
      </w:r>
      <w:r w:rsidR="00B06E70">
        <w:rPr>
          <w:sz w:val="24"/>
          <w:szCs w:val="24"/>
        </w:rPr>
        <w:fldChar w:fldCharType="separate"/>
      </w:r>
      <w:r w:rsidR="00AA55C6">
        <w:rPr>
          <w:noProof/>
          <w:sz w:val="24"/>
          <w:szCs w:val="24"/>
        </w:rPr>
        <w:t>Vangelisti, Daly, and Rudnick</w:t>
      </w:r>
      <w:r w:rsidR="00AA55C6" w:rsidRPr="00AA55C6">
        <w:rPr>
          <w:noProof/>
          <w:sz w:val="24"/>
          <w:szCs w:val="24"/>
        </w:rPr>
        <w:t xml:space="preserve"> </w:t>
      </w:r>
      <w:r w:rsidR="00AA55C6">
        <w:rPr>
          <w:noProof/>
          <w:sz w:val="24"/>
          <w:szCs w:val="24"/>
        </w:rPr>
        <w:t>(</w:t>
      </w:r>
      <w:r w:rsidR="00AA55C6" w:rsidRPr="00AA55C6">
        <w:rPr>
          <w:noProof/>
          <w:sz w:val="24"/>
          <w:szCs w:val="24"/>
        </w:rPr>
        <w:t>1991)</w:t>
      </w:r>
      <w:r w:rsidR="00B06E70">
        <w:rPr>
          <w:sz w:val="24"/>
          <w:szCs w:val="24"/>
        </w:rPr>
        <w:fldChar w:fldCharType="end"/>
      </w:r>
      <w:r w:rsidRPr="00D05EBD">
        <w:rPr>
          <w:sz w:val="24"/>
          <w:szCs w:val="24"/>
        </w:rPr>
        <w:t xml:space="preserve"> studied the use of guilt as an IER strategy. They found that behaviours that make the other person feel guilty increase in number as the </w:t>
      </w:r>
      <w:r w:rsidRPr="00D05EBD">
        <w:rPr>
          <w:sz w:val="24"/>
          <w:szCs w:val="24"/>
        </w:rPr>
        <w:lastRenderedPageBreak/>
        <w:t xml:space="preserve">relationship becomes more intimate. </w:t>
      </w:r>
      <w:r w:rsidR="00B06E70">
        <w:rPr>
          <w:sz w:val="24"/>
          <w:szCs w:val="24"/>
        </w:rPr>
        <w:fldChar w:fldCharType="begin" w:fldLock="1"/>
      </w:r>
      <w:r w:rsidR="00AA55C6">
        <w:rPr>
          <w:sz w:val="24"/>
          <w:szCs w:val="24"/>
        </w:rPr>
        <w:instrText>ADDIN CSL_CITATION { "citationItems" : [ { "id" : "ITEM-1", "itemData" : { "DOI" : "10.1177/014920639802400305", "ISBN" : "0149-2063", "ISSN" : "0149-2063", "abstract" : "Contrary to the impression generated by an increasing number of news reports in the past several years, the occurrence of workplace violence.\u2014extreme acts of aggression involving direct physical assault-^represents a relatively rare event in work settings. However, workplace aggression.\u2014efforts by individuals to^harm others with whom they work or have worked\u2014are much more prevalent and may prove extremely damaging to individuals and organizations. This paper presents empirical evidence on the varied forms of workplace aggres- sion and their relative frequency of occurrence in work settings. We offer a theoretical framework for understanding this phenomenon\u2014one based on contemporary theories of human aggression\u2014and demon- strate how principles associated with this framework may be applied to the management and prevention of all forms of aggression in workplaces.", "author" : [ { "dropping-particle" : "", "family" : "Neuman", "given" : "Joel H", "non-dropping-particle" : "", "parse-names" : false, "suffix" : "" }, { "dropping-particle" : "", "family" : "Baron", "given" : "Robert A", "non-dropping-particle" : "", "parse-names" : false, "suffix" : "" } ], "container-title" : "Journal of Management", "id" : "ITEM-1", "issue" : "3", "issued" : { "date-parts" : [ [ "1998" ] ] }, "page" : "391-419", "title" : "Workplace Violence and Workplace Aggression: Evidence Concerning Specific Forms, Potential Causes, and Preferred Targets", "type" : "article-journal", "volume" : "24" }, "uris" : [ "http://www.mendeley.com/documents/?uuid=4aa10727-50e1-3587-8d15-aa87666877f1" ] } ], "mendeley" : { "formattedCitation" : "(Neuman &amp; Baron, 1998)", "manualFormatting" : "Neuman and Baron (1998)", "plainTextFormattedCitation" : "(Neuman &amp; Baron, 1998)", "previouslyFormattedCitation" : "(Neuman &amp; Baron, 1998)" }, "properties" : { "noteIndex" : 0 }, "schema" : "https://github.com/citation-style-language/schema/raw/master/csl-citation.json" }</w:instrText>
      </w:r>
      <w:r w:rsidR="00B06E70">
        <w:rPr>
          <w:sz w:val="24"/>
          <w:szCs w:val="24"/>
        </w:rPr>
        <w:fldChar w:fldCharType="separate"/>
      </w:r>
      <w:r w:rsidR="00AA55C6">
        <w:rPr>
          <w:noProof/>
          <w:sz w:val="24"/>
          <w:szCs w:val="24"/>
        </w:rPr>
        <w:t>Neuman and Baron (</w:t>
      </w:r>
      <w:r w:rsidR="00AA55C6" w:rsidRPr="00AA55C6">
        <w:rPr>
          <w:noProof/>
          <w:sz w:val="24"/>
          <w:szCs w:val="24"/>
        </w:rPr>
        <w:t>1998)</w:t>
      </w:r>
      <w:r w:rsidR="00B06E70">
        <w:rPr>
          <w:sz w:val="24"/>
          <w:szCs w:val="24"/>
        </w:rPr>
        <w:fldChar w:fldCharType="end"/>
      </w:r>
      <w:r w:rsidRPr="00D05EBD">
        <w:rPr>
          <w:sz w:val="24"/>
          <w:szCs w:val="24"/>
        </w:rPr>
        <w:t xml:space="preserve"> studied aggression in the work place (efforts to harm others with whom one works or has worked), and they identified that most of them were not physical assaults but involved some kind of verbal or symbolic aggression (e.g. ostracism). </w:t>
      </w:r>
      <w:r w:rsidR="00B06E70">
        <w:rPr>
          <w:sz w:val="24"/>
          <w:szCs w:val="24"/>
        </w:rPr>
        <w:fldChar w:fldCharType="begin" w:fldLock="1"/>
      </w:r>
      <w:r w:rsidR="008A2510">
        <w:rPr>
          <w:sz w:val="24"/>
          <w:szCs w:val="24"/>
        </w:rPr>
        <w:instrText>ADDIN CSL_CITATION { "citationItems" : [ { "id" : "ITEM-1", "itemData" : { "author" : [ { "dropping-particle" : "", "family" : "Kahn", "given" : "William A", "non-dropping-particle" : "", "parse-names" : false, "suffix" : "" } ], "container-title" : "Administrative Science Quarterly", "id" : "ITEM-1", "issue" : "4", "issued" : { "date-parts" : [ [ "1993" ] ] }, "page" : "539-563", "title" : "Caring for the Caregivers : Patterns of Organizational Caregiving", "type" : "article-journal", "volume" : "38" }, "uris" : [ "http://www.mendeley.com/documents/?uuid=fd3c2b5e-ee57-48c5-8181-466dbed4da70" ] } ], "mendeley" : { "formattedCitation" : "(Kahn, 1993)", "plainTextFormattedCitation" : "(Kahn, 1993)", "previouslyFormattedCitation" : "(Kahn, 1993)" }, "properties" : { "noteIndex" : 0 }, "schema" : "https://github.com/citation-style-language/schema/raw/master/csl-citation.json" }</w:instrText>
      </w:r>
      <w:r w:rsidR="00B06E70">
        <w:rPr>
          <w:sz w:val="24"/>
          <w:szCs w:val="24"/>
        </w:rPr>
        <w:fldChar w:fldCharType="separate"/>
      </w:r>
      <w:r w:rsidR="00906761">
        <w:rPr>
          <w:noProof/>
          <w:sz w:val="24"/>
          <w:szCs w:val="24"/>
        </w:rPr>
        <w:t>Kahn</w:t>
      </w:r>
      <w:r w:rsidR="008A2510" w:rsidRPr="008A2510">
        <w:rPr>
          <w:noProof/>
          <w:sz w:val="24"/>
          <w:szCs w:val="24"/>
        </w:rPr>
        <w:t xml:space="preserve"> </w:t>
      </w:r>
      <w:r w:rsidR="00906761">
        <w:rPr>
          <w:noProof/>
          <w:sz w:val="24"/>
          <w:szCs w:val="24"/>
        </w:rPr>
        <w:t>(</w:t>
      </w:r>
      <w:r w:rsidR="008A2510" w:rsidRPr="008A2510">
        <w:rPr>
          <w:noProof/>
          <w:sz w:val="24"/>
          <w:szCs w:val="24"/>
        </w:rPr>
        <w:t>1993)</w:t>
      </w:r>
      <w:r w:rsidR="00B06E70">
        <w:rPr>
          <w:sz w:val="24"/>
          <w:szCs w:val="24"/>
        </w:rPr>
        <w:fldChar w:fldCharType="end"/>
      </w:r>
      <w:r w:rsidR="008A2510">
        <w:rPr>
          <w:sz w:val="24"/>
          <w:szCs w:val="24"/>
        </w:rPr>
        <w:t xml:space="preserve"> </w:t>
      </w:r>
      <w:r w:rsidRPr="00D05EBD">
        <w:rPr>
          <w:sz w:val="24"/>
          <w:szCs w:val="24"/>
        </w:rPr>
        <w:t xml:space="preserve">studied </w:t>
      </w:r>
      <w:proofErr w:type="spellStart"/>
      <w:r w:rsidRPr="00D05EBD">
        <w:rPr>
          <w:sz w:val="24"/>
          <w:szCs w:val="24"/>
        </w:rPr>
        <w:t>caregiving</w:t>
      </w:r>
      <w:proofErr w:type="spellEnd"/>
      <w:r w:rsidRPr="00D05EBD">
        <w:rPr>
          <w:sz w:val="24"/>
          <w:szCs w:val="24"/>
        </w:rPr>
        <w:t xml:space="preserve"> in institutions (e.g. churches, hospital, schools) and identified eight behavioural dimensions of </w:t>
      </w:r>
      <w:proofErr w:type="spellStart"/>
      <w:r w:rsidRPr="00D05EBD">
        <w:rPr>
          <w:sz w:val="24"/>
          <w:szCs w:val="24"/>
        </w:rPr>
        <w:t>caregiving</w:t>
      </w:r>
      <w:proofErr w:type="spellEnd"/>
      <w:r w:rsidRPr="00D05EBD">
        <w:rPr>
          <w:sz w:val="24"/>
          <w:szCs w:val="24"/>
        </w:rPr>
        <w:t xml:space="preserve"> that encompass many different actions (e.g. welcome other, maintain respectful tones, speak warmly, nod encouragingly). It was also identified that these behaviours influenced the emotions of the care seeker by making him/her feel cared for and about. </w:t>
      </w:r>
      <w:r w:rsidR="00B06E70">
        <w:rPr>
          <w:sz w:val="24"/>
          <w:szCs w:val="24"/>
        </w:rPr>
        <w:fldChar w:fldCharType="begin" w:fldLock="1"/>
      </w:r>
      <w:r w:rsidR="00F20F18">
        <w:rPr>
          <w:sz w:val="24"/>
          <w:szCs w:val="24"/>
        </w:rPr>
        <w:instrText>ADDIN CSL_CITATION { "citationItems" : [ { "id" : "ITEM-1", "itemData" : { "DOI" : "10.1023/A:1021381129517", "ISBN" : "0146723901467239", "ISSN" : "0146-7239, 0146-7239", "PMID" : "189", "abstract" : "As Coser (1962) demonstrated in her landmark hospital study, a humor is one of the great tools of reassurance on the hospital ward. After all, if something is ridiculous, how can it be threatening? In this study, the authors examine the role of humor in medical interactions, with an eye toward greater understanding of the means by which people manage the emotions of others. Through face to face interviews with 22 providers in a large hospital, this study garners empirical support for a previously developed definition of humor as interpersonal emotion management. In addition, the study uncovers the particular roles played by the contextual factors of humor, including actor, setting, and timing. These factors are critical in determining whether humor is appropriate and successful in achieving desired emotional change, or whether it will fail or even backfire, causing emotional and interactional harm. The study draws implications for the potential study of harmful coping and social support.", "author" : [ { "dropping-particle" : "", "family" : "Francis", "given" : "L", "non-dropping-particle" : "", "parse-names" : false, "suffix" : "" }, { "dropping-particle" : "", "family" : "Monahan", "given" : "K", "non-dropping-particle" : "", "parse-names" : false, "suffix" : "" }, { "dropping-particle" : "", "family" : "Berger", "given" : "C", "non-dropping-particle" : "", "parse-names" : false, "suffix" : "" } ], "container-title" : "Motivation and Emotion", "id" : "ITEM-1", "issue" : "2", "issued" : { "date-parts" : [ [ "1999" ] ] }, "page" : "156-174", "title" : "A laughing matter? The uses of humor in medical interactions", "type" : "article-journal", "volume" : "23" }, "uris" : [ "http://www.mendeley.com/documents/?uuid=ff2056cc-fe05-4a8b-a63c-8f838eaf6f98" ] } ], "mendeley" : { "formattedCitation" : "(Francis, Monahan, &amp; Berger, 1999)", "manualFormatting" : "Francis, Monahan, and Berger (1999)", "plainTextFormattedCitation" : "(Francis, Monahan, &amp; Berger, 1999)", "previouslyFormattedCitation" : "(Francis, Monahan, &amp; Berger, 1999)" }, "properties" : { "noteIndex" : 0 }, "schema" : "https://github.com/citation-style-language/schema/raw/master/csl-citation.json" }</w:instrText>
      </w:r>
      <w:r w:rsidR="00B06E70">
        <w:rPr>
          <w:sz w:val="24"/>
          <w:szCs w:val="24"/>
        </w:rPr>
        <w:fldChar w:fldCharType="separate"/>
      </w:r>
      <w:r w:rsidR="00F20F18" w:rsidRPr="00F20F18">
        <w:rPr>
          <w:noProof/>
          <w:sz w:val="24"/>
          <w:szCs w:val="24"/>
        </w:rPr>
        <w:t xml:space="preserve">Francis, Monahan, </w:t>
      </w:r>
      <w:r w:rsidR="00F20F18">
        <w:rPr>
          <w:noProof/>
          <w:sz w:val="24"/>
          <w:szCs w:val="24"/>
        </w:rPr>
        <w:t>and Berger</w:t>
      </w:r>
      <w:r w:rsidR="00F20F18" w:rsidRPr="00F20F18">
        <w:rPr>
          <w:noProof/>
          <w:sz w:val="24"/>
          <w:szCs w:val="24"/>
        </w:rPr>
        <w:t xml:space="preserve"> </w:t>
      </w:r>
      <w:r w:rsidR="00F20F18">
        <w:rPr>
          <w:noProof/>
          <w:sz w:val="24"/>
          <w:szCs w:val="24"/>
        </w:rPr>
        <w:t>(</w:t>
      </w:r>
      <w:r w:rsidR="00F20F18" w:rsidRPr="00F20F18">
        <w:rPr>
          <w:noProof/>
          <w:sz w:val="24"/>
          <w:szCs w:val="24"/>
        </w:rPr>
        <w:t>1999)</w:t>
      </w:r>
      <w:r w:rsidR="00B06E70">
        <w:rPr>
          <w:sz w:val="24"/>
          <w:szCs w:val="24"/>
        </w:rPr>
        <w:fldChar w:fldCharType="end"/>
      </w:r>
      <w:r w:rsidRPr="00D05EBD">
        <w:rPr>
          <w:sz w:val="24"/>
          <w:szCs w:val="24"/>
        </w:rPr>
        <w:t xml:space="preserve"> </w:t>
      </w:r>
      <w:r w:rsidR="00F20F18">
        <w:rPr>
          <w:sz w:val="24"/>
          <w:szCs w:val="24"/>
        </w:rPr>
        <w:t xml:space="preserve"> </w:t>
      </w:r>
      <w:r w:rsidRPr="00D05EBD">
        <w:rPr>
          <w:sz w:val="24"/>
          <w:szCs w:val="24"/>
        </w:rPr>
        <w:t>explored the use of humour as a means of managing interpersonal emotions in medical institutions, finding that humour was used to enhance the emotions of people involved in medical interactions. These research examples illustrate in a very brief way the diversity of forms and contexts in which a person may regulate the emotions of others.</w:t>
      </w:r>
    </w:p>
    <w:p w:rsidR="00FB1389" w:rsidRPr="00D05EBD" w:rsidRDefault="00FB1389" w:rsidP="00AE640B">
      <w:pPr>
        <w:pStyle w:val="Prrafodelista"/>
        <w:spacing w:after="0" w:line="480" w:lineRule="auto"/>
        <w:ind w:left="0" w:firstLine="720"/>
        <w:jc w:val="both"/>
        <w:rPr>
          <w:sz w:val="24"/>
          <w:szCs w:val="24"/>
        </w:rPr>
      </w:pPr>
      <w:r w:rsidRPr="00D05EBD">
        <w:rPr>
          <w:sz w:val="24"/>
          <w:szCs w:val="24"/>
        </w:rPr>
        <w:t xml:space="preserve">The number of potential IER strategies that individuals can use is large so it is useful to be able to classify them. </w:t>
      </w:r>
      <w:r w:rsidR="00B06E70">
        <w:rPr>
          <w:sz w:val="24"/>
          <w:szCs w:val="24"/>
        </w:rPr>
        <w:fldChar w:fldCharType="begin" w:fldLock="1"/>
      </w:r>
      <w:r w:rsidR="00F20F18">
        <w:rPr>
          <w:sz w:val="24"/>
          <w:szCs w:val="24"/>
        </w:rPr>
        <w:instrText>ADDIN CSL_CITATION { "citationItems" : [ { "id" : "ITEM-1", "itemData" : { "DOI" : "10.1037/a0015962", "ISBN" : "1528-3542 1931-1516", "ISSN" : "1931-1516", "PMID" : "19653772", "abstract" : "Controlled interpersonal affect regulation refers to the deliberate regulation of someone else's affect. Building on existing research concerning this everyday process, the authors describe the development of a theoretical classification scheme that distinguishes between the types of strategy used to achieve interpersonal affect regulation. To test the theoretical classification, the authors generated a corpus of 378 distinct strategies using self-report questionnaires and diaries completed by student and working samples. Twenty participants then performed a card-sort of the strategies. Hierarchical cluster analysis was used to determine how well the theoretical classification represented spontaneous understandings of controlled interpersonal affect regulation. The final classification primarily distinguished between strategies used to improve versus those used to worsen others' affect, and between strategies that engaged the target in a situation or affective state versus relationship-oriented strategies. The classification provides a meaningful basis for organizing existing research and making future conceptual and empirical distinctions.", "author" : [ { "dropping-particle" : "", "family" : "Niven", "given" : "Karen", "non-dropping-particle" : "", "parse-names" : false, "suffix" : "" }, { "dropping-particle" : "", "family" : "Totterdell", "given" : "Peter", "non-dropping-particle" : "", "parse-names" : false, "suffix" : "" }, { "dropping-particle" : "", "family" : "Holman", "given" : "David", "non-dropping-particle" : "", "parse-names" : false, "suffix" : "" } ], "container-title" : "Emotion", "id" : "ITEM-1", "issue" : "4", "issued" : { "date-parts" : [ [ "2009" ] ] }, "page" : "498-509", "title" : "A classification of controlled interpersonal affect regulation strategies.", "type" : "article-journal", "volume" : "9" }, "uris" : [ "http://www.mendeley.com/documents/?uuid=1a5e317c-06e5-4f36-a72c-45d8ca0f6e2d" ] } ], "mendeley" : { "formattedCitation" : "(Niven et al., 2009)", "manualFormatting" : "Niven et al., (2009)", "plainTextFormattedCitation" : "(Niven et al., 2009)", "previouslyFormattedCitation" : "(Niven et al., 2009)" }, "properties" : { "noteIndex" : 0 }, "schema" : "https://github.com/citation-style-language/schema/raw/master/csl-citation.json" }</w:instrText>
      </w:r>
      <w:r w:rsidR="00B06E70">
        <w:rPr>
          <w:sz w:val="24"/>
          <w:szCs w:val="24"/>
        </w:rPr>
        <w:fldChar w:fldCharType="separate"/>
      </w:r>
      <w:r w:rsidR="00E039D0">
        <w:rPr>
          <w:noProof/>
          <w:sz w:val="24"/>
          <w:szCs w:val="24"/>
        </w:rPr>
        <w:t>Niven et al.</w:t>
      </w:r>
      <w:r w:rsidR="00F20F18" w:rsidRPr="00F20F18">
        <w:rPr>
          <w:noProof/>
          <w:sz w:val="24"/>
          <w:szCs w:val="24"/>
        </w:rPr>
        <w:t xml:space="preserve"> </w:t>
      </w:r>
      <w:r w:rsidR="00F20F18">
        <w:rPr>
          <w:noProof/>
          <w:sz w:val="24"/>
          <w:szCs w:val="24"/>
        </w:rPr>
        <w:t>(</w:t>
      </w:r>
      <w:r w:rsidR="00F20F18" w:rsidRPr="00F20F18">
        <w:rPr>
          <w:noProof/>
          <w:sz w:val="24"/>
          <w:szCs w:val="24"/>
        </w:rPr>
        <w:t>2009)</w:t>
      </w:r>
      <w:r w:rsidR="00B06E70">
        <w:rPr>
          <w:sz w:val="24"/>
          <w:szCs w:val="24"/>
        </w:rPr>
        <w:fldChar w:fldCharType="end"/>
      </w:r>
      <w:r w:rsidRPr="00D05EBD">
        <w:rPr>
          <w:sz w:val="24"/>
          <w:szCs w:val="24"/>
        </w:rPr>
        <w:t xml:space="preserve"> classified controlled IER strategies according to three factors: </w:t>
      </w:r>
      <w:proofErr w:type="spellStart"/>
      <w:r w:rsidRPr="00D05EBD">
        <w:rPr>
          <w:sz w:val="24"/>
          <w:szCs w:val="24"/>
        </w:rPr>
        <w:t>i</w:t>
      </w:r>
      <w:proofErr w:type="spellEnd"/>
      <w:r w:rsidRPr="00D05EBD">
        <w:rPr>
          <w:sz w:val="24"/>
          <w:szCs w:val="24"/>
        </w:rPr>
        <w:t xml:space="preserve">) the motive behind IER (to improve or to worsen the target's affect), ii) the primary means to achieve IER (to change the way the target feels by behaving in a certain way with him/her or by changing the way he/she feels about his/her situation), and iii) the secondary means to achieve IER (to engage in the target's feelings or to divert the target's feelings). Most research that has explored IER to date has focused on the first factor; namely, whether IER is used to improve or to worsen someone else's emotions. </w:t>
      </w:r>
      <w:r w:rsidRPr="00F20F18">
        <w:rPr>
          <w:sz w:val="24"/>
          <w:szCs w:val="24"/>
        </w:rPr>
        <w:t xml:space="preserve">Niven </w:t>
      </w:r>
      <w:r w:rsidR="00F20F18">
        <w:rPr>
          <w:sz w:val="24"/>
          <w:szCs w:val="24"/>
        </w:rPr>
        <w:t>and colleagues</w:t>
      </w:r>
      <w:r w:rsidRPr="00D05EBD">
        <w:rPr>
          <w:sz w:val="24"/>
          <w:szCs w:val="24"/>
        </w:rPr>
        <w:t xml:space="preserve"> also considered this distinction as fundamental. In their classification of controlled IER strategies they asked participants to sort out cards that contained different IER strategies into any kind of categories the </w:t>
      </w:r>
      <w:r w:rsidRPr="00D05EBD">
        <w:rPr>
          <w:sz w:val="24"/>
          <w:szCs w:val="24"/>
        </w:rPr>
        <w:lastRenderedPageBreak/>
        <w:t xml:space="preserve">participants could think of. They found that participants tended to distinguish between strategies aimed at making someone feel better and strategies aimed at making someone feel worse. For this reason, and for parsimony, this thesis will focus on distinguishing between improving and worsening IER. </w:t>
      </w:r>
    </w:p>
    <w:p w:rsidR="00FB1389" w:rsidRPr="00D05EBD" w:rsidRDefault="00FB1389" w:rsidP="00AE640B">
      <w:pPr>
        <w:spacing w:line="480" w:lineRule="auto"/>
        <w:ind w:firstLine="720"/>
        <w:jc w:val="both"/>
        <w:rPr>
          <w:sz w:val="24"/>
          <w:szCs w:val="24"/>
        </w:rPr>
      </w:pPr>
      <w:r w:rsidRPr="00D05EBD">
        <w:rPr>
          <w:sz w:val="24"/>
          <w:szCs w:val="24"/>
        </w:rPr>
        <w:t xml:space="preserve">A crucial aspect of IER is that it likely occurs in every kind of relationship. Researchers have found people using IER in: intimate relationships </w:t>
      </w:r>
      <w:r w:rsidR="00B06E70">
        <w:rPr>
          <w:sz w:val="24"/>
          <w:szCs w:val="24"/>
        </w:rPr>
        <w:fldChar w:fldCharType="begin" w:fldLock="1"/>
      </w:r>
      <w:r w:rsidR="00717092">
        <w:rPr>
          <w:sz w:val="24"/>
          <w:szCs w:val="24"/>
        </w:rPr>
        <w:instrText>ADDIN CSL_CITATION { "citationItems" : [ { "id" : "ITEM-1", "itemData" : { "DOI" : "10.1111/j.1467-6494.1992.tb00981.x", "ISBN" : "0022-3506 (Print)\\r0022-3506 (Linking)", "ISSN" : "0022-3506", "PMID" : "1635051", "abstract" : "This research had three basic goals: (a) to identify manipulation tactics used in close relationships; (b) to document empirically the degree of generality and specificity of tactical deployment across relationship types (mates, friends, parents); and (c) to identify links between five major personality dimensions and the usage of manipulation tactics. Twelve manipulation tactics were identified through separate factor analyses of two instruments based on different data sources: Charm, Reason, Coercion, Silent Treatment, Debasement, and Regression (replicating Buss et al., 1987), and Responsibility Invocation, Reciprocity, Monetary Reward, Pleasure Induction, Social Comparison, and Hardball (an amalgam of threats, lies, and violence). The Big Five personality factors were assessed through three separate data sources: self-report, spouse report, and two independent interviewers. Personality factors showed coherent links with tactics, including Surgency (Coercion, Responsibility, Invocation), Desurgency (Debasement), Agreeableness (Pleasure Induction), Disagreeableness (Coercion), Conscientiousness (Reason), Emotional Instability (Regression), and Intellect-Openness (Reason). Discussion focuses on the consequences of the five personality factors for social interaction in close relationships.", "author" : [ { "dropping-particle" : "", "family" : "Buss", "given" : "David M", "non-dropping-particle" : "", "parse-names" : false, "suffix" : "" } ], "container-title" : "Journal of personality", "id" : "ITEM-1", "issue" : "2", "issued" : { "date-parts" : [ [ "1992" ] ] }, "page" : "477-499", "title" : "Manipulation in close relationships: five personality factors in interactional context.", "type" : "article-journal", "volume" : "60" }, "uris" : [ "http://www.mendeley.com/documents/?uuid=5447f3e5-31f7-3a28-9ee7-3efdeeb5920e" ] }, { "id" : "ITEM-2",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 : [ { "dropping-particle" : "", "family" : "Indvik", "given" : "Julie", "non-dropping-particle" : "", "parse-names" : false, "suffix" : "" }, { "dropping-particle" : "", "family" : "Fitzpatrick", "given" : "Mary Anne", "non-dropping-particle" : "", "parse-names" : false, "suffix" : "" } ], "container-title" : "Source: Family Relations", "id" : "ITEM-2", "issue" : "1", "issued" : { "date-parts" : [ [ "1982" ] ] }, "page" : "43-51", "title" : "\"If You Could Read My Mind, Love...,\" Understanding and Misunderstanding in the Marital", "type" : "article-journal", "volume" : "31" }, "uris" : [ "http://www.mendeley.com/documents/?uuid=7b41185c-b729-310a-9ce7-7fdc671b9a0e" ] }, { "id" : "ITEM-3", "itemData" : { "DOI" : "10.1111/j.1468-2958.1991.tb00527.x", "ISBN" : "1468-2958", "ISSN" : "0360-3989", "abstract" : "Communication plays an important role in eliciting and shaping people's emotions. Yet surprisingly little empirical or conceptual work has explored how social interaction encourages or discourages various emotions. This article summarizes a series of four studies which examined how people, in conversations, go about generating one emotion\u2014that of guilt\u2014in others. In the first study, a typology of 12 guilt moves was inductively devised. The most common ways of making another feel guilty were: reminding the other of his or her obligation to a relationship, listing sacrifices one has made for the other, reminding the other of his or her role responsibilities, comparing the other to someone else, and questioning the other. The primary reason for using guilt in conversations was persuasion. In the second study, the typology's generalizability was confirmed. Findings also revealed that the likelihood of using guilt in conversations increases with greater relationship intimacy and that people believe others are more likely to use guilt than themselves. The 12 techniques for guilt elicitation were examined in the third study for their independence and dimensionality via multidimensional scaling. The results suggest three underlying dimensions (self-nonself, acquiescence-restrictiveness, and commission-omission) and six potential clusters. The final study conceptualized guilt elicitation and sensitivity as individual differences. A brief, multifactor scale of individuals\u2019 tendency to use guilt, to use it with ease, and to be susceptible to guilt moves was developed. The three dimensions correlated significantly with a number of communication-focused personality variables.", "author" : [ { "dropping-particle" : "", "family" : "Vangelisti", "given" : "Anita L", "non-dropping-particle" : "", "parse-names" : false, "suffix" : "" }, { "dropping-particle" : "", "family" : "Daly", "given" : "John A", "non-dropping-particle" : "", "parse-names" : false, "suffix" : "" }, { "dropping-particle" : "", "family" : "Rudnick", "given" : "Janine", "non-dropping-particle" : "", "parse-names" : false, "suffix" : "" } ], "container-title" : "Human communication research", "id" : "ITEM-3", "issue" : "1", "issued" : { "date-parts" : [ [ "1991" ] ] }, "page" : "3-39", "title" : "Making people feel guilty in conversations", "type" : "article-journal", "volume" : "18" }, "uris" : [ "http://www.mendeley.com/documents/?uuid=87813a28-d3ac-3702-9d5e-1f556fdf7f9a" ] } ], "mendeley" : { "formattedCitation" : "(Buss, 1992; Indvik &amp; Fitzpatrick, 1982; Vangelisti et al., 1991)", "plainTextFormattedCitation" : "(Buss, 1992; Indvik &amp; Fitzpatrick, 1982; Vangelisti et al., 1991)", "previouslyFormattedCitation" : "(Buss, 1992; Indvik &amp; Fitzpatrick, 1982; Vangelisti et al., 1991)" }, "properties" : { "noteIndex" : 0 }, "schema" : "https://github.com/citation-style-language/schema/raw/master/csl-citation.json" }</w:instrText>
      </w:r>
      <w:r w:rsidR="00B06E70">
        <w:rPr>
          <w:sz w:val="24"/>
          <w:szCs w:val="24"/>
        </w:rPr>
        <w:fldChar w:fldCharType="separate"/>
      </w:r>
      <w:r w:rsidR="00717092" w:rsidRPr="00717092">
        <w:rPr>
          <w:noProof/>
          <w:sz w:val="24"/>
          <w:szCs w:val="24"/>
        </w:rPr>
        <w:t>(Buss, 1992; Indvik &amp; Fitzpatrick, 1982; Vangelisti et al., 1991)</w:t>
      </w:r>
      <w:r w:rsidR="00B06E70">
        <w:rPr>
          <w:sz w:val="24"/>
          <w:szCs w:val="24"/>
        </w:rPr>
        <w:fldChar w:fldCharType="end"/>
      </w:r>
      <w:r w:rsidRPr="00D05EBD">
        <w:rPr>
          <w:sz w:val="24"/>
          <w:szCs w:val="24"/>
        </w:rPr>
        <w:t xml:space="preserve">, work relationships </w:t>
      </w:r>
      <w:r w:rsidR="00B06E70">
        <w:rPr>
          <w:sz w:val="24"/>
          <w:szCs w:val="24"/>
        </w:rPr>
        <w:fldChar w:fldCharType="begin" w:fldLock="1"/>
      </w:r>
      <w:r w:rsidR="008A2510">
        <w:rPr>
          <w:sz w:val="24"/>
          <w:szCs w:val="24"/>
        </w:rPr>
        <w:instrText>ADDIN CSL_CITATION { "citationItems" : [ { "id" : "ITEM-1", "itemData" : { "author" : [ { "dropping-particle" : "", "family" : "Cross", "given" : "Rob", "non-dropping-particle" : "", "parse-names" : false, "suffix" : "" }, { "dropping-particle" : "", "family" : "Baker", "given" : "Wayne", "non-dropping-particle" : "", "parse-names" : false, "suffix" : "" }, { "dropping-particle" : "", "family" : "Parker", "given" : "Andrew", "non-dropping-particle" : "", "parse-names" : false, "suffix" : "" } ], "container-title" : "MIT Sloan Management Review", "id" : "ITEM-1", "issued" : { "date-parts" : [ [ "2003" ] ] }, "page" : "51-57", "title" : "What creates energy in organizations?", "type" : "article-journal", "volume" : "44" }, "uris" : [ "http://www.mendeley.com/documents/?uuid=20c8b08e-815b-3e9e-a2bc-9e9ce86e9c68" ] } ], "mendeley" : { "formattedCitation" : "(Cross, Baker, &amp; Parker, 2003)", "manualFormatting" : "(Cross, Baker, &amp; Parker, 2003", "plainTextFormattedCitation" : "(Cross, Baker, &amp; Parker, 2003)", "previouslyFormattedCitation" : "(Cross, Baker, &amp; Parker, 2003)" }, "properties" : { "noteIndex" : 0 }, "schema" : "https://github.com/citation-style-language/schema/raw/master/csl-citation.json" }</w:instrText>
      </w:r>
      <w:r w:rsidR="00B06E70">
        <w:rPr>
          <w:sz w:val="24"/>
          <w:szCs w:val="24"/>
        </w:rPr>
        <w:fldChar w:fldCharType="separate"/>
      </w:r>
      <w:r w:rsidR="008A2510" w:rsidRPr="008A2510">
        <w:rPr>
          <w:noProof/>
          <w:sz w:val="24"/>
          <w:szCs w:val="24"/>
        </w:rPr>
        <w:t>(Cross, Baker, &amp; Parker, 2003</w:t>
      </w:r>
      <w:r w:rsidR="00B06E70">
        <w:rPr>
          <w:sz w:val="24"/>
          <w:szCs w:val="24"/>
        </w:rPr>
        <w:fldChar w:fldCharType="end"/>
      </w:r>
      <w:r w:rsidR="008A2510">
        <w:rPr>
          <w:sz w:val="24"/>
          <w:szCs w:val="24"/>
        </w:rPr>
        <w:t xml:space="preserve">; </w:t>
      </w:r>
      <w:r w:rsidR="00B06E70">
        <w:rPr>
          <w:sz w:val="24"/>
          <w:szCs w:val="24"/>
        </w:rPr>
        <w:fldChar w:fldCharType="begin" w:fldLock="1"/>
      </w:r>
      <w:r w:rsidR="008A2510">
        <w:rPr>
          <w:sz w:val="24"/>
          <w:szCs w:val="24"/>
        </w:rPr>
        <w:instrText>ADDIN CSL_CITATION { "citationItems" : [ { "id" : "ITEM-1", "itemData" : { "DOI" : "10.1023/A:1021381129517", "ISBN" : "0146723901467239", "ISSN" : "0146-7239, 0146-7239", "PMID" : "189", "abstract" : "As Coser (1962) demonstrated in her landmark hospital study, a humor is one of the great tools of reassurance on the hospital ward. After all, if something is ridiculous, how can it be threatening? In this study, the authors examine the role of humor in medical interactions, with an eye toward greater understanding of the means by which people manage the emotions of others. Through face to face interviews with 22 providers in a large hospital, this study garners empirical support for a previously developed definition of humor as interpersonal emotion management. In addition, the study uncovers the particular roles played by the contextual factors of humor, including actor, setting, and timing. These factors are critical in determining whether humor is appropriate and successful in achieving desired emotional change, or whether it will fail or even backfire, causing emotional and interactional harm. The study draws implications for the potential study of harmful coping and social support.", "author" : [ { "dropping-particle" : "", "family" : "Francis", "given" : "L", "non-dropping-particle" : "", "parse-names" : false, "suffix" : "" }, { "dropping-particle" : "", "family" : "Monahan", "given" : "K", "non-dropping-particle" : "", "parse-names" : false, "suffix" : "" }, { "dropping-particle" : "", "family" : "Berger", "given" : "C", "non-dropping-particle" : "", "parse-names" : false, "suffix" : "" } ], "container-title" : "Motivation and Emotion", "id" : "ITEM-1", "issue" : "2", "issued" : { "date-parts" : [ [ "1999" ] ] }, "page" : "156-174", "title" : "A laughing matter? The uses of humor in medical interactions", "type" : "article-journal", "volume" : "23" }, "uris" : [ "http://www.mendeley.com/documents/?uuid=ff2056cc-fe05-4a8b-a63c-8f838eaf6f98" ] }, { "id" : "ITEM-2", "itemData" : { "DOI" : "10.1177/014920639802400305", "ISBN" : "0149-2063", "ISSN" : "0149-2063", "abstract" : "Contrary to the impression generated by an increasing number of news reports in the past several years, the occurrence of workplace violence.\u2014extreme acts of aggression involving direct physical assault-^represents a relatively rare event in work settings. However, workplace aggression.\u2014efforts by individuals to^harm others with whom they work or have worked\u2014are much more prevalent and may prove extremely damaging to individuals and organizations. This paper presents empirical evidence on the varied forms of workplace aggres- sion and their relative frequency of occurrence in work settings. We offer a theoretical framework for understanding this phenomenon\u2014one based on contemporary theories of human aggression\u2014and demon- strate how principles associated with this framework may be applied to the management and prevention of all forms of aggression in workplaces.", "author" : [ { "dropping-particle" : "", "family" : "Neuman", "given" : "Joel H", "non-dropping-particle" : "", "parse-names" : false, "suffix" : "" }, { "dropping-particle" : "", "family" : "Baron", "given" : "Robert A", "non-dropping-particle" : "", "parse-names" : false, "suffix" : "" } ], "container-title" : "Journal of Management", "id" : "ITEM-2", "issue" : "3", "issued" : { "date-parts" : [ [ "1998" ] ] }, "page" : "391-419", "title" : "Workplace Violence and Workplace Aggression: Evidence Concerning Specific Forms, Potential Causes, and Preferred Targets", "type" : "article-journal", "volume" : "24" }, "uris" : [ "http://www.mendeley.com/documents/?uuid=4aa10727-50e1-3587-8d15-aa87666877f1" ] } ], "mendeley" : { "formattedCitation" : "(Francis et al., 1999; Neuman &amp; Baron, 1998)", "manualFormatting" : "Francis et al., 1999; Neuman &amp; Baron, 1998)", "plainTextFormattedCitation" : "(Francis et al., 1999; Neuman &amp; Baron, 1998)", "previouslyFormattedCitation" : "(Francis et al., 1999; Neuman &amp; Baron, 1998)" }, "properties" : { "noteIndex" : 0 }, "schema" : "https://github.com/citation-style-language/schema/raw/master/csl-citation.json" }</w:instrText>
      </w:r>
      <w:r w:rsidR="00B06E70">
        <w:rPr>
          <w:sz w:val="24"/>
          <w:szCs w:val="24"/>
        </w:rPr>
        <w:fldChar w:fldCharType="separate"/>
      </w:r>
      <w:r w:rsidR="00717092" w:rsidRPr="00717092">
        <w:rPr>
          <w:noProof/>
          <w:sz w:val="24"/>
          <w:szCs w:val="24"/>
        </w:rPr>
        <w:t>Francis et al., 1999; Neuman &amp; Baron, 1998)</w:t>
      </w:r>
      <w:r w:rsidR="00B06E70">
        <w:rPr>
          <w:sz w:val="24"/>
          <w:szCs w:val="24"/>
        </w:rPr>
        <w:fldChar w:fldCharType="end"/>
      </w:r>
      <w:r w:rsidRPr="00D05EBD">
        <w:rPr>
          <w:sz w:val="24"/>
          <w:szCs w:val="24"/>
        </w:rPr>
        <w:t xml:space="preserve">, non-familiar encounters </w:t>
      </w:r>
      <w:r w:rsidR="00B06E70">
        <w:rPr>
          <w:sz w:val="24"/>
          <w:szCs w:val="24"/>
        </w:rPr>
        <w:fldChar w:fldCharType="begin" w:fldLock="1"/>
      </w:r>
      <w:r w:rsidR="00717092">
        <w:rPr>
          <w:sz w:val="24"/>
          <w:szCs w:val="24"/>
        </w:rPr>
        <w:instrText>ADDIN CSL_CITATION { "citationItems" : [ { "id" : "ITEM-1", "itemData" : { "author" : [ { "dropping-particle" : "", "family" : "Cahill", "given" : "Spencer E", "non-dropping-particle" : "", "parse-names" : false, "suffix" : "" }, { "dropping-particle" : "", "family" : "Eggleston", "given" : "", "non-dropping-particle" : "", "parse-names" : false, "suffix" : "" } ], "container-title" : "social psychology quarterly", "id" : "ITEM-1", "issued" : { "date-parts" : [ [ "1994" ] ] }, "title" : "Managing Emotions in Public : The Case of Wheelchair Users", "type" : "article-journal" }, "uris" : [ "http://www.mendeley.com/documents/?uuid=579ac12b-4f8f-49c5-8d51-0d82dec58934" ] } ], "mendeley" : { "formattedCitation" : "(Cahill &amp; Eggleston, 1994)", "plainTextFormattedCitation" : "(Cahill &amp; Eggleston, 1994)", "previouslyFormattedCitation" : "(Cahill &amp; Eggleston, 1994)" }, "properties" : { "noteIndex" : 0 }, "schema" : "https://github.com/citation-style-language/schema/raw/master/csl-citation.json" }</w:instrText>
      </w:r>
      <w:r w:rsidR="00B06E70">
        <w:rPr>
          <w:sz w:val="24"/>
          <w:szCs w:val="24"/>
        </w:rPr>
        <w:fldChar w:fldCharType="separate"/>
      </w:r>
      <w:r w:rsidR="00717092" w:rsidRPr="00717092">
        <w:rPr>
          <w:noProof/>
          <w:sz w:val="24"/>
          <w:szCs w:val="24"/>
        </w:rPr>
        <w:t>(Cahill &amp; Eggleston, 1994)</w:t>
      </w:r>
      <w:r w:rsidR="00B06E70">
        <w:rPr>
          <w:sz w:val="24"/>
          <w:szCs w:val="24"/>
        </w:rPr>
        <w:fldChar w:fldCharType="end"/>
      </w:r>
      <w:r w:rsidRPr="00D05EBD">
        <w:rPr>
          <w:sz w:val="24"/>
          <w:szCs w:val="24"/>
        </w:rPr>
        <w:t xml:space="preserve"> and during therapy</w:t>
      </w:r>
      <w:r w:rsidR="00717092">
        <w:rPr>
          <w:sz w:val="24"/>
          <w:szCs w:val="24"/>
        </w:rPr>
        <w:t xml:space="preserve"> </w:t>
      </w:r>
      <w:r w:rsidR="00B06E70">
        <w:rPr>
          <w:sz w:val="24"/>
          <w:szCs w:val="24"/>
        </w:rPr>
        <w:fldChar w:fldCharType="begin" w:fldLock="1"/>
      </w:r>
      <w:r w:rsidR="00CD4EAE">
        <w:rPr>
          <w:sz w:val="24"/>
          <w:szCs w:val="24"/>
        </w:rPr>
        <w:instrText>ADDIN CSL_CITATION { "citationItems" : [ { "id" : "ITEM-1", "itemData" : { "DOI" : "10.1525/si.1996.19.2.85", "ISBN" : "01956086", "ISSN" : "1533-8665", "PMID" : "29", "abstract" : "Although research has focused on how individuals manage their own emotions, little attention has been paid to how individuals manage the emotions of other people. Here, I describe several techniques of interpersonal emotion-management, drawing from observations of a psychodrama-based encounter group which deliberately manipulated its members' feelings. Analysis reveals a number of strategies (e.g., group enactments, provocations, comforting) which, when used sequentially, produced first emotional loss of control in the individual and then positive emotion. Group solidarity was sometimes affected by these interpersonal emotion-management techniques as well. Some techniques may be similar to those used in military training and cult group recruitment, although further research attention is needed in these arenas. Other settings in which members play upon the emotions of others should be examined to identify other interpersonal techniques and the sequencing of strategies which produce desired individual and group outcomes.", "author" : [ { "dropping-particle" : "", "family" : "Thoits", "given" : "Peggy A", "non-dropping-particle" : "", "parse-names" : false, "suffix" : "" } ], "container-title" : "Symbolic Interaction", "id" : "ITEM-1", "issue" : "2", "issued" : { "date-parts" : [ [ "1996" ] ] }, "page" : "85-109", "title" : "Managing the Emotions of Others", "type" : "article-journal", "volume" : "19" }, "uris" : [ "http://www.mendeley.com/documents/?uuid=64163152-ae3a-4938-a92e-3bbe4cc0e7c1" ] } ], "mendeley" : { "formattedCitation" : "(Thoits, 1996)", "plainTextFormattedCitation" : "(Thoits, 1996)", "previouslyFormattedCitation" : "(Thoits, 1996)" }, "properties" : { "noteIndex" : 0 }, "schema" : "https://github.com/citation-style-language/schema/raw/master/csl-citation.json" }</w:instrText>
      </w:r>
      <w:r w:rsidR="00B06E70">
        <w:rPr>
          <w:sz w:val="24"/>
          <w:szCs w:val="24"/>
        </w:rPr>
        <w:fldChar w:fldCharType="separate"/>
      </w:r>
      <w:r w:rsidR="00717092" w:rsidRPr="00717092">
        <w:rPr>
          <w:noProof/>
          <w:sz w:val="24"/>
          <w:szCs w:val="24"/>
        </w:rPr>
        <w:t>(Thoits, 1996)</w:t>
      </w:r>
      <w:r w:rsidR="00B06E70">
        <w:rPr>
          <w:sz w:val="24"/>
          <w:szCs w:val="24"/>
        </w:rPr>
        <w:fldChar w:fldCharType="end"/>
      </w:r>
      <w:r w:rsidRPr="00D05EBD">
        <w:rPr>
          <w:sz w:val="24"/>
          <w:szCs w:val="24"/>
        </w:rPr>
        <w:t>, to name some examples. But one question that still needs an answer is whether people use IER in an automatic way.</w:t>
      </w:r>
    </w:p>
    <w:p w:rsidR="00FB1389" w:rsidRPr="00D05EBD" w:rsidRDefault="00FB1389" w:rsidP="00AE640B">
      <w:pPr>
        <w:spacing w:line="480" w:lineRule="auto"/>
        <w:jc w:val="both"/>
        <w:rPr>
          <w:b/>
          <w:sz w:val="24"/>
          <w:szCs w:val="24"/>
        </w:rPr>
      </w:pPr>
      <w:r w:rsidRPr="00D05EBD">
        <w:rPr>
          <w:b/>
          <w:sz w:val="24"/>
          <w:szCs w:val="24"/>
        </w:rPr>
        <w:t>1.5 Automatic interpersonal emotion regulation</w:t>
      </w:r>
    </w:p>
    <w:p w:rsidR="00FB1389" w:rsidRPr="00D05EBD" w:rsidRDefault="00FB1389" w:rsidP="00AE640B">
      <w:pPr>
        <w:spacing w:line="480" w:lineRule="auto"/>
        <w:ind w:firstLine="720"/>
        <w:jc w:val="both"/>
        <w:rPr>
          <w:sz w:val="24"/>
          <w:szCs w:val="24"/>
        </w:rPr>
      </w:pPr>
      <w:r w:rsidRPr="00D05EBD">
        <w:rPr>
          <w:sz w:val="24"/>
          <w:szCs w:val="24"/>
        </w:rPr>
        <w:t xml:space="preserve">So far, it has been explained that ER shapes people’s behaviours. It can be intended to improve or worsen emotions, either at an intrapersonal level (the individual’s own emotions) or at an interpersonal level (someone else’s emotions), that the number of ER strategies is as numerous as the situations in which emotions can be regulated, that ER can be beneficial of harmful for the individual and that ER can be performed automatically or under the individual’s control. One last feature that still remains to be explained, and the one that forms the focus of this thesis, is the potential for ER to occur both interpersonally and at an automatic level, which will be named as automatic interpersonal emotion regulation (AIER). </w:t>
      </w:r>
    </w:p>
    <w:p w:rsidR="00FB1389" w:rsidRPr="00D05EBD" w:rsidRDefault="00FB1389" w:rsidP="00AE640B">
      <w:pPr>
        <w:spacing w:line="480" w:lineRule="auto"/>
        <w:ind w:firstLine="720"/>
        <w:jc w:val="both"/>
        <w:rPr>
          <w:sz w:val="24"/>
          <w:szCs w:val="24"/>
        </w:rPr>
      </w:pPr>
      <w:r w:rsidRPr="00D05EBD">
        <w:rPr>
          <w:sz w:val="24"/>
          <w:szCs w:val="24"/>
        </w:rPr>
        <w:t xml:space="preserve">Some of the first evidence of emotions occurring automatically in a social context can be seen in research about </w:t>
      </w:r>
      <w:r w:rsidR="00E039D0">
        <w:rPr>
          <w:sz w:val="24"/>
          <w:szCs w:val="24"/>
        </w:rPr>
        <w:t xml:space="preserve">motor </w:t>
      </w:r>
      <w:r w:rsidRPr="00D05EBD">
        <w:rPr>
          <w:sz w:val="24"/>
          <w:szCs w:val="24"/>
        </w:rPr>
        <w:t xml:space="preserve">mimicry and emotional contagion. </w:t>
      </w:r>
      <w:r w:rsidR="00B06E70">
        <w:rPr>
          <w:sz w:val="24"/>
          <w:szCs w:val="24"/>
        </w:rPr>
        <w:fldChar w:fldCharType="begin" w:fldLock="1"/>
      </w:r>
      <w:r w:rsidR="00715735">
        <w:rPr>
          <w:sz w:val="24"/>
          <w:szCs w:val="24"/>
        </w:rPr>
        <w:instrText>ADDIN CSL_CITATION { "citationItems" : [ { "id" : "ITEM-1", "itemData" : { "DOI" : "10.1037/0022-3514.76.6.893", "ISBN" : "0022-3514, 0022-3514", "ISSN" : "0022-3514", "PMID" : "10402679", "abstract" : "The chameleon effect refers to nonconscious mimicry of the postures, mannerisms, facial expressions, and other behaviors of one's interaction partners, such that one's behavior passively and unintentionally changes to match that of others in one's current social environment. The authors suggest that the mechanism involved is the perception-behavior link, the recently documented finding (e.g., J. A. Bargh, M. Chen, &amp; L. Burrows, 1996) that the mere perception of another's behavior automatically increases the likelihood of engaging in that behavior oneself. Experiment 1 showed that the motor behavior of participants unintentionally matched that of strangers with whom they worked on a task. Experiment 2 had confederates mimic the posture and movements of participants and showed that mimicry facilitates the smoothness of interactions and increases liking between interaction partners. Experiment 3 showed that dispositionally empathic individuals exhibit the chameleon effect to a greater extent than do other people.", "author" : [ { "dropping-particle" : "", "family" : "Chartrand", "given" : "Tanya L.", "non-dropping-particle" : "", "parse-names" : false, "suffix" : "" }, { "dropping-particle" : "", "family" : "Bargh", "given" : "John a.", "non-dropping-particle" : "", "parse-names" : false, "suffix" : "" } ], "container-title" : "Journal of personality and social psychology", "id" : "ITEM-1", "issue" : "6", "issued" : { "date-parts" : [ [ "1999" ] ] }, "page" : "893-910", "title" : "The chameleon effect: the perception-behavior link and social interaction.", "type" : "article-journal", "volume" : "76" }, "uris" : [ "http://www.mendeley.com/documents/?uuid=d0a44891-6a1b-3645-abc0-02807af82e53" ] } ], "mendeley" : { "formattedCitation" : "(T. L. Chartrand &amp; Bargh, 1999)", "manualFormatting" : "Chartrand and Bargh (1999)", "plainTextFormattedCitation" : "(T. L. Chartrand &amp; Bargh, 1999)", "previouslyFormattedCitation" : "(T. L. Chartrand &amp; Bargh, 1999)" }, "properties" : { "noteIndex" : 0 }, "schema" : "https://github.com/citation-style-language/schema/raw/master/csl-citation.json" }</w:instrText>
      </w:r>
      <w:r w:rsidR="00B06E70">
        <w:rPr>
          <w:sz w:val="24"/>
          <w:szCs w:val="24"/>
        </w:rPr>
        <w:fldChar w:fldCharType="separate"/>
      </w:r>
      <w:r w:rsidR="00CD4EAE">
        <w:rPr>
          <w:noProof/>
          <w:sz w:val="24"/>
          <w:szCs w:val="24"/>
        </w:rPr>
        <w:t>Chartrand and Bargh</w:t>
      </w:r>
      <w:r w:rsidR="00CD4EAE" w:rsidRPr="00CD4EAE">
        <w:rPr>
          <w:noProof/>
          <w:sz w:val="24"/>
          <w:szCs w:val="24"/>
        </w:rPr>
        <w:t xml:space="preserve"> </w:t>
      </w:r>
      <w:r w:rsidR="00CD4EAE">
        <w:rPr>
          <w:noProof/>
          <w:sz w:val="24"/>
          <w:szCs w:val="24"/>
        </w:rPr>
        <w:t>(</w:t>
      </w:r>
      <w:r w:rsidR="00CD4EAE" w:rsidRPr="00CD4EAE">
        <w:rPr>
          <w:noProof/>
          <w:sz w:val="24"/>
          <w:szCs w:val="24"/>
        </w:rPr>
        <w:t>1999)</w:t>
      </w:r>
      <w:r w:rsidR="00B06E70">
        <w:rPr>
          <w:sz w:val="24"/>
          <w:szCs w:val="24"/>
        </w:rPr>
        <w:fldChar w:fldCharType="end"/>
      </w:r>
      <w:r w:rsidRPr="00D05EBD">
        <w:rPr>
          <w:sz w:val="24"/>
          <w:szCs w:val="24"/>
        </w:rPr>
        <w:t xml:space="preserve"> coined the term “the chameleon effect” to refer to the nonconscious </w:t>
      </w:r>
      <w:r w:rsidRPr="00D05EBD">
        <w:rPr>
          <w:sz w:val="24"/>
          <w:szCs w:val="24"/>
        </w:rPr>
        <w:lastRenderedPageBreak/>
        <w:t xml:space="preserve">mimicry of the postures, mannerisms, facial expressions, and other behaviours of interaction partners. </w:t>
      </w:r>
      <w:r w:rsidRPr="00020C8D">
        <w:rPr>
          <w:sz w:val="24"/>
          <w:szCs w:val="24"/>
        </w:rPr>
        <w:t>Chartrand and Bargh</w:t>
      </w:r>
      <w:r w:rsidRPr="00D05EBD">
        <w:rPr>
          <w:sz w:val="24"/>
          <w:szCs w:val="24"/>
        </w:rPr>
        <w:t xml:space="preserve"> suggested that this nonconscious mimicry facilitated social interactions without intention or awareness. They also observed that people whose mannerisms are mimicked by others report liking these others more (even if they are strangers) and give a more positive evaluation of the interaction than when not mimicked. </w:t>
      </w:r>
      <w:r w:rsidRPr="00D05EBD">
        <w:rPr>
          <w:rFonts w:cs="Times New Roman"/>
          <w:bCs/>
          <w:iCs/>
          <w:sz w:val="24"/>
          <w:szCs w:val="24"/>
        </w:rPr>
        <w:t>The phenomenon of mood contagion is similar but focuses on mimicking the mood (e.g., the behaviours expressed by that mood, like smiling and frowning) of the person that one is interacting with. This mimicking occurs without conscious awareness and later causes a congruent mood state in the person that is mimicking the behaviour</w:t>
      </w:r>
      <w:r w:rsidR="005E7990">
        <w:rPr>
          <w:rFonts w:cs="Times New Roman"/>
          <w:bCs/>
          <w:iCs/>
          <w:sz w:val="24"/>
          <w:szCs w:val="24"/>
        </w:rPr>
        <w:t xml:space="preserve"> </w:t>
      </w:r>
      <w:r w:rsidR="00B06E70">
        <w:rPr>
          <w:rFonts w:cs="Times New Roman"/>
          <w:bCs/>
          <w:iCs/>
          <w:sz w:val="24"/>
          <w:szCs w:val="24"/>
        </w:rPr>
        <w:fldChar w:fldCharType="begin" w:fldLock="1"/>
      </w:r>
      <w:r w:rsidR="005E7990">
        <w:rPr>
          <w:rFonts w:cs="Times New Roman"/>
          <w:bCs/>
          <w:iCs/>
          <w:sz w:val="24"/>
          <w:szCs w:val="24"/>
        </w:rPr>
        <w:instrText>ADDIN CSL_CITATION { "citationItems" : [ { "id" : "ITEM-1", "itemData" : { "DOI" : "10.1037//0022-3514.79.2.211", "abstract" : "The current studies aimed to find out whether a nonintentional form of mood contagion exists and which mechanisms can account for it. In these experiments participants who expected to be tested for text comprehension listened to an affectively neutral speech that was spoken in a slightly sad or happy voice. The authors found that (a) the emotional expression induced a congruent mood state in the listeners, (b) inferential accounts to emotional sharing were not easily reconciled with the findings, (c) different affective experiences emerged from intentional and nonintentional forms of emotional sharing, and (d) findings suggest that a perception-behavior link (T. L. Chartrand &amp; J. A. Bargh, 1999) can account for these findings, because participants who were required to repeat the philosophical speech spontaneously imitated the target person's vocal expression of emotion.", "author" : [ { "dropping-particle" : "", "family" : "Neumann", "given" : "Roland", "non-dropping-particle" : "", "parse-names" : false, "suffix" : "" }, { "dropping-particle" : "", "family" : "Strack", "given" : "Fritz", "non-dropping-particle" : "", "parse-names" : false, "suffix" : "" } ], "container-title" : "Journal of Personality and Social Psychology", "id" : "ITEM-1", "issue" : "2", "issued" : { "date-parts" : [ [ "2000" ] ] }, "page" : "211-223", "title" : "\" Mood Contagion \": The Automatic Transfer of Mood Between Persons", "type" : "article-journal", "volume" : "79" }, "uris" : [ "http://www.mendeley.com/documents/?uuid=4216a78e-c199-3125-bd46-950c22f05cb0" ] } ], "mendeley" : { "formattedCitation" : "(Neumann &amp; Strack, 2000)", "plainTextFormattedCitation" : "(Neumann &amp; Strack, 2000)", "previouslyFormattedCitation" : "(Neumann &amp; Strack, 2000)" }, "properties" : { "noteIndex" : 0 }, "schema" : "https://github.com/citation-style-language/schema/raw/master/csl-citation.json" }</w:instrText>
      </w:r>
      <w:r w:rsidR="00B06E70">
        <w:rPr>
          <w:rFonts w:cs="Times New Roman"/>
          <w:bCs/>
          <w:iCs/>
          <w:sz w:val="24"/>
          <w:szCs w:val="24"/>
        </w:rPr>
        <w:fldChar w:fldCharType="separate"/>
      </w:r>
      <w:r w:rsidR="005E7990" w:rsidRPr="005E7990">
        <w:rPr>
          <w:rFonts w:cs="Times New Roman"/>
          <w:bCs/>
          <w:iCs/>
          <w:noProof/>
          <w:sz w:val="24"/>
          <w:szCs w:val="24"/>
        </w:rPr>
        <w:t>(Neumann &amp; Strack, 2000)</w:t>
      </w:r>
      <w:r w:rsidR="00B06E70">
        <w:rPr>
          <w:rFonts w:cs="Times New Roman"/>
          <w:bCs/>
          <w:iCs/>
          <w:sz w:val="24"/>
          <w:szCs w:val="24"/>
        </w:rPr>
        <w:fldChar w:fldCharType="end"/>
      </w:r>
      <w:r w:rsidRPr="00D05EBD">
        <w:rPr>
          <w:rFonts w:cs="Times New Roman"/>
          <w:bCs/>
          <w:iCs/>
          <w:sz w:val="24"/>
          <w:szCs w:val="24"/>
        </w:rPr>
        <w:t xml:space="preserve">. </w:t>
      </w:r>
      <w:r w:rsidRPr="00D05EBD">
        <w:rPr>
          <w:sz w:val="24"/>
          <w:szCs w:val="24"/>
        </w:rPr>
        <w:t xml:space="preserve">For example, researchers have argued that people can regulate the emotions of someone else by influencing the other person directly (e.g. by complimenting the other person), but also by regulating or modifying their own emotions which, in turn, are thought to influence other people’s emotions, perhaps via mood contagion </w:t>
      </w:r>
      <w:r w:rsidR="00B06E70">
        <w:rPr>
          <w:sz w:val="24"/>
          <w:szCs w:val="24"/>
        </w:rPr>
        <w:fldChar w:fldCharType="begin" w:fldLock="1"/>
      </w:r>
      <w:r w:rsidR="00FB2F49">
        <w:rPr>
          <w:sz w:val="24"/>
          <w:szCs w:val="24"/>
        </w:rPr>
        <w:instrText>ADDIN CSL_CITATION { "citationItems" : [ { "id" : "ITEM-1", "itemData" : { "DOI" : "10.1111/j.1467-6494.2010.00689.x", "ISBN" : "1467-6494 (Electronic)\\n0022-3506 (Linking)", "ISSN" : "00223506", "PMID" : "21395594", "abstract" : "We examined self and friends' ratings of social relationship quality and everyday social interactions in 3 studies involving 544 college students in Germany, Spain, and the United States. Scores on a situational judgment test measuring strategic emotion regulation ability (SERA) were negatively related to conflict with others. SERA was more consistently and strongly related to conflict with others than to the positive dimension of relationship quality (support, companionship, and nurturance). The relationship between SERA and conflict was generally not mediated by trait positive or negative affect, and it remained significant or marginally significant controlling for the Big Five personality traits. These findings highlight the importance of the ability to evaluate emotional situations and identify effective responses to these in interpersonal emotion regulation. Furthermore, they suggest that situational judgment and flexible response selection may help people to manage conflicts more than to bond with others.", "author" : [ { "dropping-particle" : "", "family" : "Lopes", "given" : "Paulo N.", "non-dropping-particle" : "", "parse-names" : false, "suffix" : "" }, { "dropping-particle" : "", "family" : "Nezlek", "given" : "John B.", "non-dropping-particle" : "", "parse-names" : false, "suffix" : "" }, { "dropping-particle" : "", "family" : "Extremera", "given" : "Natalio", "non-dropping-particle" : "", "parse-names" : false, "suffix" : "" }, { "dropping-particle" : "", "family" : "Hertel", "given" : "Janine", "non-dropping-particle" : "", "parse-names" : false, "suffix" : "" }, { "dropping-particle" : "", "family" : "Fern??ndez-Berrocal", "given" : "Pablo", "non-dropping-particle" : "", "parse-names" : false, "suffix" : "" }, { "dropping-particle" : "", "family" : "Sch??tz", "given" : "Astrid", "non-dropping-particle" : "", "parse-names" : false, "suffix" : "" }, { "dropping-particle" : "", "family" : "Salovey", "given" : "Peter", "non-dropping-particle" : "", "parse-names" : false, "suffix" : "" } ], "container-title" : "Journal of Personality", "id" : "ITEM-1", "issue" : "2", "issued" : { "date-parts" : [ [ "2011" ] ] }, "page" : "429-467", "title" : "Emotion Regulation and the Quality of Social Interaction: Does the Ability to Evaluate Emotional Situations and Identify Effective Responses Matter?", "type" : "article-journal", "volume" : "79" }, "uris" : [ "http://www.mendeley.com/documents/?uuid=12948878-95f2-33f5-a63f-a53938808230" ] } ], "mendeley" : { "formattedCitation" : "(Lopes et al., 2011)", "plainTextFormattedCitation" : "(Lopes et al., 2011)", "previouslyFormattedCitation" : "(Lopes et al., 2011)" }, "properties" : { "noteIndex" : 0 }, "schema" : "https://github.com/citation-style-language/schema/raw/master/csl-citation.json" }</w:instrText>
      </w:r>
      <w:r w:rsidR="00B06E70">
        <w:rPr>
          <w:sz w:val="24"/>
          <w:szCs w:val="24"/>
        </w:rPr>
        <w:fldChar w:fldCharType="separate"/>
      </w:r>
      <w:r w:rsidR="005E7990" w:rsidRPr="005E7990">
        <w:rPr>
          <w:noProof/>
          <w:sz w:val="24"/>
          <w:szCs w:val="24"/>
        </w:rPr>
        <w:t>(Lopes et al., 2011)</w:t>
      </w:r>
      <w:r w:rsidR="00B06E70">
        <w:rPr>
          <w:sz w:val="24"/>
          <w:szCs w:val="24"/>
        </w:rPr>
        <w:fldChar w:fldCharType="end"/>
      </w:r>
      <w:r w:rsidRPr="00D05EBD">
        <w:rPr>
          <w:sz w:val="24"/>
          <w:szCs w:val="24"/>
        </w:rPr>
        <w:t>.</w:t>
      </w:r>
    </w:p>
    <w:p w:rsidR="00FB1389" w:rsidRPr="00D05EBD" w:rsidRDefault="00FB1389" w:rsidP="00AE640B">
      <w:pPr>
        <w:spacing w:line="480" w:lineRule="auto"/>
        <w:ind w:firstLine="709"/>
        <w:jc w:val="both"/>
        <w:rPr>
          <w:rFonts w:cs="Times New Roman"/>
          <w:color w:val="000000" w:themeColor="text1"/>
          <w:sz w:val="24"/>
          <w:szCs w:val="24"/>
        </w:rPr>
      </w:pPr>
      <w:r w:rsidRPr="00D05EBD">
        <w:rPr>
          <w:rFonts w:cs="Times New Roman"/>
          <w:color w:val="000000" w:themeColor="text1"/>
          <w:sz w:val="24"/>
          <w:szCs w:val="24"/>
        </w:rPr>
        <w:t>Although the previous paragraph provides evidence of emotions occurring interpersonally and to some extent automatically, it does not clearly refer</w:t>
      </w:r>
      <w:r w:rsidR="00E039D0">
        <w:rPr>
          <w:rFonts w:cs="Times New Roman"/>
          <w:color w:val="000000" w:themeColor="text1"/>
          <w:sz w:val="24"/>
          <w:szCs w:val="24"/>
        </w:rPr>
        <w:t>s</w:t>
      </w:r>
      <w:r w:rsidRPr="00D05EBD">
        <w:rPr>
          <w:rFonts w:cs="Times New Roman"/>
          <w:color w:val="000000" w:themeColor="text1"/>
          <w:sz w:val="24"/>
          <w:szCs w:val="24"/>
        </w:rPr>
        <w:t xml:space="preserve"> to AIER, as the changes in the emotions of one person seem to occur at an intrapersonal level to then be transferred passively to another individual by simple mimicry or contagion, which does not reflect an intention to change the emotions of someone else. There is evidence of research where AIER seems to occur in a more active fashion. For example,</w:t>
      </w:r>
      <w:r w:rsidR="00FB2F49">
        <w:rPr>
          <w:rFonts w:cs="Times New Roman"/>
          <w:color w:val="000000" w:themeColor="text1"/>
          <w:sz w:val="24"/>
          <w:szCs w:val="24"/>
        </w:rPr>
        <w:t xml:space="preserve"> </w:t>
      </w:r>
      <w:r w:rsidR="00B06E70">
        <w:rPr>
          <w:rFonts w:cs="Times New Roman"/>
          <w:color w:val="000000" w:themeColor="text1"/>
          <w:sz w:val="24"/>
          <w:szCs w:val="24"/>
        </w:rPr>
        <w:fldChar w:fldCharType="begin" w:fldLock="1"/>
      </w:r>
      <w:r w:rsidR="00F91F83">
        <w:rPr>
          <w:rFonts w:cs="Times New Roman"/>
          <w:color w:val="000000" w:themeColor="text1"/>
          <w:sz w:val="24"/>
          <w:szCs w:val="24"/>
        </w:rPr>
        <w:instrText>ADDIN CSL_CITATION { "citationItems" : [ { "id" : "ITEM-1", "itemData" : { "DOI" : "10.1177/0146167211415629", "ISBN" : "1552-7433 (Electronic)\\n0146-1672 (Linking)", "ISSN" : "0146-1672", "PMID" : "21778468", "abstract" : "The present research investigated whether accommodation, typically formulated as the tendency to deliberately inhibit a destructive reaction in response to a partner's destructive behavior, could also occur spontaneously. Supporting this notion, results of the first study revealed that participants respond to their partner's angry face with a spontaneous smile, whereas strangers' angry faces are mimicked and thus lead to a spontaneous frown. Importantly, the facial EMG data are moderated by participants' daily interaction styles: People perceiving themselves in a communal relationship show spontaneous acts of accommodation, whereas this is not the case for people in exchange relationships. The moderation occurred in our first (spontaneous) and third (forced accommodation) studies. The results of the second study replicated the first study in that participants in communal relationships frowned less toward partner's subliminally presented angry faces but more to their sad faces. The authors discuss their findings as spontaneous social emotion regulation.", "author" : [ { "dropping-particle" : "", "family" : "Hafner", "given" : "M.", "non-dropping-particle" : "", "parse-names" : false, "suffix" : "" }, { "dropping-particle" : "", "family" : "IJzerman", "given" : "H.", "non-dropping-particle" : "", "parse-names" : false, "suffix" : "" } ], "container-title" : "Personality and Social Psychology Bulletin", "id" : "ITEM-1", "issue" : "12", "issued" : { "date-parts" : [ [ "2011" ] ] }, "page" : "1551-1563", "title" : "The Face of Love: Spontaneous Accommodation as Social Emotion Regulation", "type" : "article-journal", "volume" : "37" }, "uris" : [ "http://www.mendeley.com/documents/?uuid=d8441312-f5ce-3917-9524-4faebf9aa0a8" ] } ], "mendeley" : { "formattedCitation" : "(Hafner &amp; IJzerman, 2011)", "manualFormatting" : "H\u00e4fner and IJzerman (2011)", "plainTextFormattedCitation" : "(Hafner &amp; IJzerman, 2011)", "previouslyFormattedCitation" : "(Hafner &amp; IJzerman, 2011)" }, "properties" : { "noteIndex" : 0 }, "schema" : "https://github.com/citation-style-language/schema/raw/master/csl-citation.json" }</w:instrText>
      </w:r>
      <w:r w:rsidR="00B06E70">
        <w:rPr>
          <w:rFonts w:cs="Times New Roman"/>
          <w:color w:val="000000" w:themeColor="text1"/>
          <w:sz w:val="24"/>
          <w:szCs w:val="24"/>
        </w:rPr>
        <w:fldChar w:fldCharType="separate"/>
      </w:r>
      <w:r w:rsidR="00F91F83">
        <w:rPr>
          <w:rFonts w:cs="Times New Roman"/>
          <w:noProof/>
          <w:color w:val="000000" w:themeColor="text1"/>
          <w:sz w:val="24"/>
          <w:szCs w:val="24"/>
        </w:rPr>
        <w:t>Hä</w:t>
      </w:r>
      <w:r w:rsidR="00FB2F49">
        <w:rPr>
          <w:rFonts w:cs="Times New Roman"/>
          <w:noProof/>
          <w:color w:val="000000" w:themeColor="text1"/>
          <w:sz w:val="24"/>
          <w:szCs w:val="24"/>
        </w:rPr>
        <w:t>fner and IJzerman</w:t>
      </w:r>
      <w:r w:rsidR="00FB2F49" w:rsidRPr="00FB2F49">
        <w:rPr>
          <w:rFonts w:cs="Times New Roman"/>
          <w:noProof/>
          <w:color w:val="000000" w:themeColor="text1"/>
          <w:sz w:val="24"/>
          <w:szCs w:val="24"/>
        </w:rPr>
        <w:t xml:space="preserve"> </w:t>
      </w:r>
      <w:r w:rsidR="00FB2F49">
        <w:rPr>
          <w:rFonts w:cs="Times New Roman"/>
          <w:noProof/>
          <w:color w:val="000000" w:themeColor="text1"/>
          <w:sz w:val="24"/>
          <w:szCs w:val="24"/>
        </w:rPr>
        <w:t>(</w:t>
      </w:r>
      <w:r w:rsidR="00FB2F49" w:rsidRPr="00FB2F49">
        <w:rPr>
          <w:rFonts w:cs="Times New Roman"/>
          <w:noProof/>
          <w:color w:val="000000" w:themeColor="text1"/>
          <w:sz w:val="24"/>
          <w:szCs w:val="24"/>
        </w:rPr>
        <w:t>2011)</w:t>
      </w:r>
      <w:r w:rsidR="00B06E70">
        <w:rPr>
          <w:rFonts w:cs="Times New Roman"/>
          <w:color w:val="000000" w:themeColor="text1"/>
          <w:sz w:val="24"/>
          <w:szCs w:val="24"/>
        </w:rPr>
        <w:fldChar w:fldCharType="end"/>
      </w:r>
      <w:r w:rsidRPr="00D05EBD">
        <w:rPr>
          <w:rFonts w:cs="Times New Roman"/>
          <w:color w:val="000000" w:themeColor="text1"/>
          <w:sz w:val="24"/>
          <w:szCs w:val="24"/>
        </w:rPr>
        <w:t xml:space="preserve"> explored the spontaneous occurrence of ‘accommodation’ (the tendency to deliberately inhibit a destructive reaction in response to a partner’s destructive behaviour) in romantic couples. The researchers showed participants an </w:t>
      </w:r>
      <w:r w:rsidRPr="00D05EBD">
        <w:rPr>
          <w:rFonts w:cs="Times New Roman"/>
          <w:color w:val="000000" w:themeColor="text1"/>
          <w:sz w:val="24"/>
          <w:szCs w:val="24"/>
        </w:rPr>
        <w:lastRenderedPageBreak/>
        <w:t>angry picture of their romantic partner and observed that those in communal relationships (interacting on the basis of a special obligation to the other’s needs) smiled at it, as measured by an EMG (</w:t>
      </w:r>
      <w:proofErr w:type="spellStart"/>
      <w:r w:rsidRPr="00D05EBD">
        <w:rPr>
          <w:rFonts w:cs="Times New Roman"/>
          <w:color w:val="000000" w:themeColor="text1"/>
          <w:sz w:val="24"/>
          <w:szCs w:val="24"/>
        </w:rPr>
        <w:t>electromyogram</w:t>
      </w:r>
      <w:proofErr w:type="spellEnd"/>
      <w:r w:rsidRPr="00D05EBD">
        <w:rPr>
          <w:rFonts w:cs="Times New Roman"/>
          <w:color w:val="000000" w:themeColor="text1"/>
          <w:sz w:val="24"/>
          <w:szCs w:val="24"/>
        </w:rPr>
        <w:t>). The smiling reaction occurred within the first second after the angry face was presented, which suggests that the accommodation strategy occurred outside the participant’s awareness</w:t>
      </w:r>
      <w:r w:rsidRPr="00FB2F49">
        <w:rPr>
          <w:rFonts w:cs="Times New Roman"/>
          <w:color w:val="000000" w:themeColor="text1"/>
          <w:sz w:val="24"/>
          <w:szCs w:val="24"/>
        </w:rPr>
        <w:t xml:space="preserve">. </w:t>
      </w:r>
      <w:proofErr w:type="spellStart"/>
      <w:r w:rsidRPr="00FB2F49">
        <w:rPr>
          <w:rFonts w:cs="Times New Roman"/>
          <w:color w:val="000000" w:themeColor="text1"/>
          <w:sz w:val="24"/>
          <w:szCs w:val="24"/>
        </w:rPr>
        <w:t>Häfner</w:t>
      </w:r>
      <w:proofErr w:type="spellEnd"/>
      <w:r w:rsidRPr="00FB2F49">
        <w:rPr>
          <w:rFonts w:cs="Times New Roman"/>
          <w:color w:val="000000" w:themeColor="text1"/>
          <w:sz w:val="24"/>
          <w:szCs w:val="24"/>
        </w:rPr>
        <w:t xml:space="preserve"> and </w:t>
      </w:r>
      <w:proofErr w:type="spellStart"/>
      <w:r w:rsidRPr="00FB2F49">
        <w:rPr>
          <w:rFonts w:cs="Times New Roman"/>
          <w:color w:val="000000" w:themeColor="text1"/>
          <w:sz w:val="24"/>
          <w:szCs w:val="24"/>
        </w:rPr>
        <w:t>IJzerman</w:t>
      </w:r>
      <w:proofErr w:type="spellEnd"/>
      <w:r w:rsidRPr="00D05EBD">
        <w:rPr>
          <w:rFonts w:cs="Times New Roman"/>
          <w:color w:val="000000" w:themeColor="text1"/>
          <w:sz w:val="24"/>
          <w:szCs w:val="24"/>
        </w:rPr>
        <w:t xml:space="preserve"> study is important evidence of ER occurring in an interpersonal relationship and in </w:t>
      </w:r>
      <w:r w:rsidR="00FB2F49">
        <w:rPr>
          <w:rFonts w:cs="Times New Roman"/>
          <w:color w:val="000000" w:themeColor="text1"/>
          <w:sz w:val="24"/>
          <w:szCs w:val="24"/>
        </w:rPr>
        <w:t xml:space="preserve">an automatic way, nevertheless </w:t>
      </w:r>
      <w:proofErr w:type="spellStart"/>
      <w:r w:rsidRPr="00D05EBD">
        <w:rPr>
          <w:rFonts w:cs="Times New Roman"/>
          <w:color w:val="000000" w:themeColor="text1"/>
          <w:sz w:val="24"/>
          <w:szCs w:val="24"/>
        </w:rPr>
        <w:t>H</w:t>
      </w:r>
      <w:r w:rsidR="00FB2F49">
        <w:rPr>
          <w:rFonts w:cs="Times New Roman"/>
          <w:color w:val="000000" w:themeColor="text1"/>
          <w:sz w:val="24"/>
          <w:szCs w:val="24"/>
        </w:rPr>
        <w:t>äfner</w:t>
      </w:r>
      <w:proofErr w:type="spellEnd"/>
      <w:r w:rsidR="00FB2F49">
        <w:rPr>
          <w:rFonts w:cs="Times New Roman"/>
          <w:color w:val="000000" w:themeColor="text1"/>
          <w:sz w:val="24"/>
          <w:szCs w:val="24"/>
        </w:rPr>
        <w:t xml:space="preserve"> and </w:t>
      </w:r>
      <w:proofErr w:type="spellStart"/>
      <w:r w:rsidR="00FB2F49">
        <w:rPr>
          <w:rFonts w:cs="Times New Roman"/>
          <w:color w:val="000000" w:themeColor="text1"/>
          <w:sz w:val="24"/>
          <w:szCs w:val="24"/>
        </w:rPr>
        <w:t>IJzerman</w:t>
      </w:r>
      <w:proofErr w:type="spellEnd"/>
      <w:r w:rsidRPr="00D05EBD">
        <w:rPr>
          <w:rFonts w:cs="Times New Roman"/>
          <w:color w:val="000000" w:themeColor="text1"/>
          <w:sz w:val="24"/>
          <w:szCs w:val="24"/>
        </w:rPr>
        <w:t xml:space="preserve"> do not make clear </w:t>
      </w:r>
      <w:r w:rsidR="00FB2F49">
        <w:rPr>
          <w:rFonts w:cs="Times New Roman"/>
          <w:color w:val="000000" w:themeColor="text1"/>
          <w:sz w:val="24"/>
          <w:szCs w:val="24"/>
        </w:rPr>
        <w:t>whether the participant’s smile</w:t>
      </w:r>
      <w:r w:rsidRPr="00D05EBD">
        <w:rPr>
          <w:rFonts w:cs="Times New Roman"/>
          <w:color w:val="000000" w:themeColor="text1"/>
          <w:sz w:val="24"/>
          <w:szCs w:val="24"/>
        </w:rPr>
        <w:t xml:space="preserve"> was aimed at modifying their partner’s emotions. Another example constitutes t</w:t>
      </w:r>
      <w:r w:rsidRPr="00E14363">
        <w:rPr>
          <w:rFonts w:cs="Times New Roman"/>
          <w:color w:val="000000" w:themeColor="text1"/>
          <w:sz w:val="24"/>
          <w:szCs w:val="24"/>
        </w:rPr>
        <w:t xml:space="preserve">he work of </w:t>
      </w:r>
      <w:r w:rsidR="00B06E70" w:rsidRPr="00E14363">
        <w:rPr>
          <w:rFonts w:cs="Times New Roman"/>
          <w:color w:val="000000" w:themeColor="text1"/>
          <w:sz w:val="24"/>
          <w:szCs w:val="24"/>
        </w:rPr>
        <w:fldChar w:fldCharType="begin" w:fldLock="1"/>
      </w:r>
      <w:r w:rsidR="00E14363">
        <w:rPr>
          <w:rFonts w:cs="Times New Roman"/>
          <w:color w:val="000000" w:themeColor="text1"/>
          <w:sz w:val="24"/>
          <w:szCs w:val="24"/>
        </w:rPr>
        <w:instrText>ADDIN CSL_CITATION { "citationItems" : [ { "id" : "ITEM-1", "itemData" : { "DOI" : "10.1111/j.1467-9280.2006.01832.x", "ISBN" : "0956-7976 (Print)\\n0956-7976 (Linking)", "ISSN" : "0956-7976", "PMID" : "17201784", "abstract" : "ABSTRACT - Social contact promotes enhanced health and well-being, likely as a function of the social regulation of emotional responding in the face of various life stressors. For this functional magnetic resonance imaging (JMRI) study, 16 married women were subjected to the threat of electric shock while holding their husband's hand, the hand of an anonymous male experimenter, or no hand at all. Results indicated a pervasive attenuation of activation in the neural systems supporting emotional and behavioral threat responses when the women held their husband's hand. A more limited attenuation of activation in these systems occurred when they held the hand of a stranger. Most strikingly, the effects of spousal hand-holding on neural threat responses varied as a function of marital quality, with higher marital quality predicting less threat- related neural activation in the right anterior insula, su- perior frontal gyrus, and hypothalamus during spousal, but not stranger, hand-holding.", "author" : [ { "dropping-particle" : "", "family" : "Coan", "given" : "James A", "non-dropping-particle" : "", "parse-names" : false, "suffix" : "" }, { "dropping-particle" : "", "family" : "Schaefer", "given" : "Hillary S", "non-dropping-particle" : "", "parse-names" : false, "suffix" : "" }, { "dropping-particle" : "", "family" : "Davidson", "given" : "Richard J", "non-dropping-particle" : "", "parse-names" : false, "suffix" : "" } ], "container-title" : "Psychological Science", "id" : "ITEM-1", "issue" : "12", "issued" : { "date-parts" : [ [ "2006" ] ] }, "page" : "1032-1039", "title" : "Lending a Hand of the Neural Response to Threat", "type" : "article-journal", "volume" : "17" }, "uris" : [ "http://www.mendeley.com/documents/?uuid=fb49fff1-0081-3839-9e76-e854af63eef8" ] } ], "mendeley" : { "formattedCitation" : "(Coan et al., 2006)", "manualFormatting" : "Coan et al. (2006)", "plainTextFormattedCitation" : "(Coan et al., 2006)", "previouslyFormattedCitation" : "(Coan et al., 2006)" }, "properties" : { "noteIndex" : 0 }, "schema" : "https://github.com/citation-style-language/schema/raw/master/csl-citation.json" }</w:instrText>
      </w:r>
      <w:r w:rsidR="00B06E70" w:rsidRPr="00E14363">
        <w:rPr>
          <w:rFonts w:cs="Times New Roman"/>
          <w:color w:val="000000" w:themeColor="text1"/>
          <w:sz w:val="24"/>
          <w:szCs w:val="24"/>
        </w:rPr>
        <w:fldChar w:fldCharType="separate"/>
      </w:r>
      <w:r w:rsidR="00E14363">
        <w:rPr>
          <w:rFonts w:cs="Times New Roman"/>
          <w:noProof/>
          <w:color w:val="000000" w:themeColor="text1"/>
          <w:sz w:val="24"/>
          <w:szCs w:val="24"/>
        </w:rPr>
        <w:t>Coan et al.</w:t>
      </w:r>
      <w:r w:rsidR="00E14363" w:rsidRPr="00E14363">
        <w:rPr>
          <w:rFonts w:cs="Times New Roman"/>
          <w:noProof/>
          <w:color w:val="000000" w:themeColor="text1"/>
          <w:sz w:val="24"/>
          <w:szCs w:val="24"/>
        </w:rPr>
        <w:t xml:space="preserve"> </w:t>
      </w:r>
      <w:r w:rsidR="00E14363">
        <w:rPr>
          <w:rFonts w:cs="Times New Roman"/>
          <w:noProof/>
          <w:color w:val="000000" w:themeColor="text1"/>
          <w:sz w:val="24"/>
          <w:szCs w:val="24"/>
        </w:rPr>
        <w:t>(</w:t>
      </w:r>
      <w:r w:rsidR="00E14363" w:rsidRPr="00E14363">
        <w:rPr>
          <w:rFonts w:cs="Times New Roman"/>
          <w:noProof/>
          <w:color w:val="000000" w:themeColor="text1"/>
          <w:sz w:val="24"/>
          <w:szCs w:val="24"/>
        </w:rPr>
        <w:t>2006)</w:t>
      </w:r>
      <w:r w:rsidR="00B06E70" w:rsidRPr="00E14363">
        <w:rPr>
          <w:rFonts w:cs="Times New Roman"/>
          <w:color w:val="000000" w:themeColor="text1"/>
          <w:sz w:val="24"/>
          <w:szCs w:val="24"/>
        </w:rPr>
        <w:fldChar w:fldCharType="end"/>
      </w:r>
      <w:r w:rsidR="00E14363" w:rsidRPr="00E14363">
        <w:rPr>
          <w:rFonts w:cs="Times New Roman"/>
          <w:color w:val="000000" w:themeColor="text1"/>
          <w:sz w:val="24"/>
          <w:szCs w:val="24"/>
        </w:rPr>
        <w:t xml:space="preserve"> </w:t>
      </w:r>
      <w:r w:rsidRPr="00D05EBD">
        <w:rPr>
          <w:rFonts w:cs="Times New Roman"/>
          <w:color w:val="000000" w:themeColor="text1"/>
          <w:sz w:val="24"/>
          <w:szCs w:val="24"/>
        </w:rPr>
        <w:t xml:space="preserve">on social contact as a way to promote health in the face of life stressors. In their research, they exposed different groups of women to a stressor (the threat of an electric shock), while holding the hand of their husbands, the hand of a male experimenter or no hand at all, and they observed that the hand of their husbands and the hand of a male experimenter attenuated the women’s neural activation to threat (as measured in an </w:t>
      </w:r>
      <w:proofErr w:type="spellStart"/>
      <w:r w:rsidRPr="00D05EBD">
        <w:rPr>
          <w:rFonts w:cs="Times New Roman"/>
          <w:color w:val="000000" w:themeColor="text1"/>
          <w:sz w:val="24"/>
          <w:szCs w:val="24"/>
        </w:rPr>
        <w:t>fMRI</w:t>
      </w:r>
      <w:proofErr w:type="spellEnd"/>
      <w:r w:rsidRPr="00D05EBD">
        <w:rPr>
          <w:rFonts w:cs="Times New Roman"/>
          <w:color w:val="000000" w:themeColor="text1"/>
          <w:sz w:val="24"/>
          <w:szCs w:val="24"/>
        </w:rPr>
        <w:t>), more in the case of the husband’s hand than in the case of the experimenter’s hand. This study shows that holding the hand of someone can diminish stress responses, nevertheless, this research was conducted from the point of view of women who regulated their own threat response by holding the hand of someone else. To be able to say that this was AIER, it would have been necessary to explore this regulation from the point of view of the people who held the hand of the women participants. A final piece of evidence that suggests the existence of AIER lays in the work of</w:t>
      </w:r>
      <w:r w:rsidR="00E14363">
        <w:rPr>
          <w:rFonts w:cs="Times New Roman"/>
          <w:color w:val="000000" w:themeColor="text1"/>
          <w:sz w:val="24"/>
          <w:szCs w:val="24"/>
        </w:rPr>
        <w:t xml:space="preserve"> </w:t>
      </w:r>
      <w:r w:rsidR="00B06E70">
        <w:rPr>
          <w:rFonts w:cs="Times New Roman"/>
          <w:color w:val="000000" w:themeColor="text1"/>
          <w:sz w:val="24"/>
          <w:szCs w:val="24"/>
        </w:rPr>
        <w:fldChar w:fldCharType="begin" w:fldLock="1"/>
      </w:r>
      <w:r w:rsidR="00254188">
        <w:rPr>
          <w:rFonts w:cs="Times New Roman"/>
          <w:color w:val="000000" w:themeColor="text1"/>
          <w:sz w:val="24"/>
          <w:szCs w:val="24"/>
        </w:rPr>
        <w:instrText>ADDIN CSL_CITATION { "citationItems" : [ { "id" : "ITEM-1", "itemData" : { "DOI" : "10.1037/0022-3514.84.1.148", "ISBN" : "1939-1315(Electronic);0022-3514(Print)", "ISSN" : "0022-3514", "PMID" : "12518976", "abstract" : "The mere psychological presence of relationship partners was hypothesized to trigger interpersonal goals that are then pursued nonconsciously. Qualitative data suggested that people tend to pursue different interpersonal goals within different types of relationships (e.g., mother, best friend, coworker). In several studies, priming participants' relationship representations produced goal-directed behavior (achievement, helping, understanding) in line with the previously assessed goal content of those representations. These findings support the hypothesis that interpersonal goals are component features of relationship representations and that mere activation of those representations, even in the partner's physical absence, causes the goals to become active and to guide behavior nonconsciously within the current situation.", "author" : [ { "dropping-particle" : "", "family" : "Fitzsimons", "given" : "Gr\u00e1inne M", "non-dropping-particle" : "", "parse-names" : false, "suffix" : "" }, { "dropping-particle" : "", "family" : "Bargh", "given" : "John A", "non-dropping-particle" : "", "parse-names" : false, "suffix" : "" } ], "container-title" : "Journal of personality and social psychology", "id" : "ITEM-1", "issue" : "1", "issued" : { "date-parts" : [ [ "2003" ] ] }, "page" : "148-164", "title" : "Thinking of you: nonconscious pursuit of interpersonal goals associated with relationship partners.", "type" : "article-journal", "volume" : "84" }, "uris" : [ "http://www.mendeley.com/documents/?uuid=7137123e-9cd1-39b6-a99a-8b1f20d231aa" ] } ], "mendeley" : { "formattedCitation" : "(Fitzsimons &amp; Bargh, 2003)", "plainTextFormattedCitation" : "(Fitzsimons &amp; Bargh, 2003)", "previouslyFormattedCitation" : "(Fitzsimons &amp; Bargh, 2003)" }, "properties" : { "noteIndex" : 0 }, "schema" : "https://github.com/citation-style-language/schema/raw/master/csl-citation.json" }</w:instrText>
      </w:r>
      <w:r w:rsidR="00B06E70">
        <w:rPr>
          <w:rFonts w:cs="Times New Roman"/>
          <w:color w:val="000000" w:themeColor="text1"/>
          <w:sz w:val="24"/>
          <w:szCs w:val="24"/>
        </w:rPr>
        <w:fldChar w:fldCharType="separate"/>
      </w:r>
      <w:r w:rsidR="00E14363" w:rsidRPr="00E14363">
        <w:rPr>
          <w:rFonts w:cs="Times New Roman"/>
          <w:noProof/>
          <w:color w:val="000000" w:themeColor="text1"/>
          <w:sz w:val="24"/>
          <w:szCs w:val="24"/>
        </w:rPr>
        <w:t>(Fitzsimons &amp; Bargh, 2003)</w:t>
      </w:r>
      <w:r w:rsidR="00B06E70">
        <w:rPr>
          <w:rFonts w:cs="Times New Roman"/>
          <w:color w:val="000000" w:themeColor="text1"/>
          <w:sz w:val="24"/>
          <w:szCs w:val="24"/>
        </w:rPr>
        <w:fldChar w:fldCharType="end"/>
      </w:r>
      <w:r w:rsidRPr="00D05EBD">
        <w:rPr>
          <w:rFonts w:cs="Times New Roman"/>
          <w:color w:val="000000" w:themeColor="text1"/>
          <w:sz w:val="24"/>
          <w:szCs w:val="24"/>
        </w:rPr>
        <w:t>. In a set of studies where the researchers activated interpersonal goals (goals ‘to attain, maintain, or avoid a specific end state for the partner or the relationship’ (p. 150)</w:t>
      </w:r>
      <w:r w:rsidRPr="00973AEB">
        <w:rPr>
          <w:rStyle w:val="Refdenotaalpie"/>
        </w:rPr>
        <w:footnoteReference w:id="6"/>
      </w:r>
      <w:r w:rsidR="00254188">
        <w:rPr>
          <w:rFonts w:cs="Times New Roman"/>
          <w:color w:val="000000" w:themeColor="text1"/>
          <w:sz w:val="24"/>
          <w:szCs w:val="24"/>
        </w:rPr>
        <w:t>)</w:t>
      </w:r>
      <w:r w:rsidRPr="00D05EBD">
        <w:rPr>
          <w:rFonts w:cs="Times New Roman"/>
          <w:color w:val="000000" w:themeColor="text1"/>
          <w:sz w:val="24"/>
          <w:szCs w:val="24"/>
        </w:rPr>
        <w:t xml:space="preserve"> without the </w:t>
      </w:r>
      <w:r w:rsidRPr="00D05EBD">
        <w:rPr>
          <w:rFonts w:cs="Times New Roman"/>
          <w:color w:val="000000" w:themeColor="text1"/>
          <w:sz w:val="24"/>
          <w:szCs w:val="24"/>
        </w:rPr>
        <w:lastRenderedPageBreak/>
        <w:t xml:space="preserve">participant’s awareness (by asking half of participants to think of a friend and the other half, to think of a co-worker), they observed that, when participants had an activated interpersonal goal they tended to be more helpful and understanding towards others. However, Fitzsimons and Bargh do not consider this IER but rather interpersonal goals. Thus, the question of whether AIER occurs still remains as there has not been yet conclusive evidence confirming its existence. One of the possible reasons might be the difficulty of studying automatic processes. The next section summarises some of the most representative methods to study automatic processes, and presents the methods that were used to empirically study AIER in the following chapters. </w:t>
      </w:r>
    </w:p>
    <w:p w:rsidR="00FB1389" w:rsidRPr="00D05EBD" w:rsidRDefault="00FB1389" w:rsidP="00AE640B">
      <w:pPr>
        <w:spacing w:line="480" w:lineRule="auto"/>
        <w:jc w:val="both"/>
        <w:rPr>
          <w:b/>
          <w:sz w:val="24"/>
          <w:szCs w:val="24"/>
        </w:rPr>
      </w:pPr>
      <w:r w:rsidRPr="00D05EBD">
        <w:rPr>
          <w:b/>
          <w:sz w:val="24"/>
          <w:szCs w:val="24"/>
        </w:rPr>
        <w:t xml:space="preserve">1.6 </w:t>
      </w:r>
      <w:r w:rsidRPr="00D05EBD">
        <w:rPr>
          <w:rFonts w:cs="Times New Roman"/>
          <w:b/>
          <w:sz w:val="24"/>
          <w:szCs w:val="24"/>
        </w:rPr>
        <w:t>Methodological approaches for studying AER</w:t>
      </w:r>
    </w:p>
    <w:p w:rsidR="00FB1389" w:rsidRPr="00D05EBD" w:rsidRDefault="00FB1389" w:rsidP="00AE640B">
      <w:pPr>
        <w:spacing w:line="480" w:lineRule="auto"/>
        <w:ind w:firstLine="709"/>
        <w:jc w:val="both"/>
        <w:rPr>
          <w:rFonts w:cs="Times New Roman"/>
          <w:bCs/>
          <w:iCs/>
          <w:sz w:val="24"/>
          <w:szCs w:val="24"/>
        </w:rPr>
      </w:pPr>
      <w:r w:rsidRPr="00D05EBD">
        <w:rPr>
          <w:rFonts w:cs="Times New Roman"/>
          <w:sz w:val="24"/>
          <w:szCs w:val="24"/>
        </w:rPr>
        <w:t xml:space="preserve">AER in psychology can be studied in many different ways. For example, some researchers have used </w:t>
      </w:r>
      <w:proofErr w:type="spellStart"/>
      <w:r w:rsidRPr="00D05EBD">
        <w:rPr>
          <w:rFonts w:cs="Times New Roman"/>
          <w:sz w:val="24"/>
          <w:szCs w:val="24"/>
        </w:rPr>
        <w:t>neuroimaging</w:t>
      </w:r>
      <w:proofErr w:type="spellEnd"/>
      <w:r w:rsidRPr="00D05EBD">
        <w:rPr>
          <w:rFonts w:cs="Times New Roman"/>
          <w:sz w:val="24"/>
          <w:szCs w:val="24"/>
        </w:rPr>
        <w:t xml:space="preserve"> procedures, such as the </w:t>
      </w:r>
      <w:proofErr w:type="spellStart"/>
      <w:r w:rsidRPr="00D05EBD">
        <w:rPr>
          <w:rFonts w:cs="Times New Roman"/>
          <w:sz w:val="24"/>
          <w:szCs w:val="24"/>
        </w:rPr>
        <w:t>fMRI</w:t>
      </w:r>
      <w:proofErr w:type="spellEnd"/>
      <w:r w:rsidRPr="00D05EBD">
        <w:rPr>
          <w:rFonts w:cs="Times New Roman"/>
          <w:sz w:val="24"/>
          <w:szCs w:val="24"/>
        </w:rPr>
        <w:t xml:space="preserve">, that </w:t>
      </w:r>
      <w:r w:rsidRPr="00D05EBD">
        <w:rPr>
          <w:rFonts w:cs="Times New Roman"/>
          <w:bCs/>
          <w:iCs/>
          <w:sz w:val="24"/>
          <w:szCs w:val="24"/>
        </w:rPr>
        <w:t>aim to identify which parts of the brain become active while people allegedly engage</w:t>
      </w:r>
      <w:r w:rsidR="00E039D0">
        <w:rPr>
          <w:rFonts w:cs="Times New Roman"/>
          <w:bCs/>
          <w:iCs/>
          <w:sz w:val="24"/>
          <w:szCs w:val="24"/>
        </w:rPr>
        <w:t xml:space="preserve"> in</w:t>
      </w:r>
      <w:r w:rsidRPr="00D05EBD">
        <w:rPr>
          <w:rFonts w:cs="Times New Roman"/>
          <w:bCs/>
          <w:iCs/>
          <w:sz w:val="24"/>
          <w:szCs w:val="24"/>
        </w:rPr>
        <w:t xml:space="preserve"> AER.</w:t>
      </w:r>
      <w:r w:rsidR="00E039D0">
        <w:rPr>
          <w:rFonts w:cs="Times New Roman"/>
          <w:bCs/>
          <w:iCs/>
          <w:sz w:val="24"/>
          <w:szCs w:val="24"/>
        </w:rPr>
        <w:t xml:space="preserve"> Research by</w:t>
      </w:r>
      <w:r w:rsidR="00254188">
        <w:rPr>
          <w:rFonts w:cs="Times New Roman"/>
          <w:bCs/>
          <w:iCs/>
          <w:sz w:val="24"/>
          <w:szCs w:val="24"/>
        </w:rPr>
        <w:t xml:space="preserve"> </w:t>
      </w:r>
      <w:r w:rsidR="00B06E70">
        <w:rPr>
          <w:rFonts w:cs="Times New Roman"/>
          <w:bCs/>
          <w:iCs/>
          <w:sz w:val="24"/>
          <w:szCs w:val="24"/>
        </w:rPr>
        <w:fldChar w:fldCharType="begin" w:fldLock="1"/>
      </w:r>
      <w:r w:rsidR="00254188">
        <w:rPr>
          <w:rFonts w:cs="Times New Roman"/>
          <w:bCs/>
          <w:iCs/>
          <w:sz w:val="24"/>
          <w:szCs w:val="24"/>
        </w:rPr>
        <w:instrText>ADDIN CSL_CITATION { "citationItems" : [ { "id" : "ITEM-1", "itemData" : { "DOI" : "10.1016/j.neuroimage.2005.06.048", "ISBN" : "1053-8119 (Print)\\n1053-8119 (Linking)", "ISSN" : "10538119", "PMID" : "16087352", "abstract" : "Beginning in infancy, people can be characterized in terms of two dimensions of attachment insecurity: attachment anxiety (i.e., fear of rejection and abandonment) and attachment avoidance (distancing oneself from close others, shunning dependency; Bowlby, J., 1969/1982. Attachment and loss: Vol. 1. Attachment, 2nd ed., Basic Books, New York). The capacity for emotion regulation varies with attachment style, such that attachment-anxious individuals become highly emotional when threatened with social rejection or relationship loss, whereas avoidant individuals tend to distance themselves or disengage from emotional situations. In the present study, 20 women participated in an fMRI experiment in which they thought about-and were asked to stop thinking about-various relationship scenarios. When they thought about negative ones (conflict, breakup, death of partner), their level of attachment anxiety was positively correlated with activation in emotion-related areas of the brain (e.g., the anterior temporal pole, implicated in sadness) and inversely correlated with activation in a region associated with emotion regulation (orbitofrontal cortex). This suggests that anxious people react more strongly than non-anxious people to thoughts of loss while under-recruiting brain regions normally used to down-regulate negative emotions. Participants high on avoidance failed to show as much deactivation as less avoidant participants in two brain regions (subcallosal cingulate cortex; lateral prefrontal cortex). This suggests that the avoidant peoples' suppression was less complete or less efficient, in line with results from previous behavioral experiments. These are among the first findings to identify some of the neural processes underlying adult attachment orientations and emotion regulation. ?? 2005 Elsevier Inc. All rights reserved.", "author" : [ { "dropping-particle" : "", "family" : "Gillath", "given" : "Omri", "non-dropping-particle" : "", "parse-names" : false, "suffix" : "" }, { "dropping-particle" : "", "family" : "Bunge", "given" : "Silvia A.", "non-dropping-particle" : "", "parse-names" : false, "suffix" : "" }, { "dropping-particle" : "", "family" : "Shaver", "given" : "Phillip R.", "non-dropping-particle" : "", "parse-names" : false, "suffix" : "" }, { "dropping-particle" : "", "family" : "Wendelken", "given" : "Carter", "non-dropping-particle" : "", "parse-names" : false, "suffix" : "" }, { "dropping-particle" : "", "family" : "Mikulincer", "given" : "Mario", "non-dropping-particle" : "", "parse-names" : false, "suffix" : "" } ], "container-title" : "NeuroImage", "id" : "ITEM-1", "issue" : "4", "issued" : { "date-parts" : [ [ "2005" ] ] }, "page" : "835-847", "title" : "Attachment-style differences in the ability to suppress negative thoughts: Exploring the neural correlates", "type" : "article-journal", "volume" : "28" }, "uris" : [ "http://www.mendeley.com/documents/?uuid=eaefd1dc-3eab-3ae1-9d84-2b3cde7a7aaa" ] } ], "mendeley" : { "formattedCitation" : "(Gillath, Bunge, Shaver, Wendelken, &amp; Mikulincer, 2005)", "manualFormatting" : "Gillath, Bunge, Shaver, Wendelken, and Mikulincer (2005)", "plainTextFormattedCitation" : "(Gillath, Bunge, Shaver, Wendelken, &amp; Mikulincer, 2005)", "previouslyFormattedCitation" : "(Gillath, Bunge, Shaver, Wendelken, &amp; Mikulincer, 2005)" }, "properties" : { "noteIndex" : 0 }, "schema" : "https://github.com/citation-style-language/schema/raw/master/csl-citation.json" }</w:instrText>
      </w:r>
      <w:r w:rsidR="00B06E70">
        <w:rPr>
          <w:rFonts w:cs="Times New Roman"/>
          <w:bCs/>
          <w:iCs/>
          <w:sz w:val="24"/>
          <w:szCs w:val="24"/>
        </w:rPr>
        <w:fldChar w:fldCharType="separate"/>
      </w:r>
      <w:r w:rsidR="00254188" w:rsidRPr="00254188">
        <w:rPr>
          <w:rFonts w:cs="Times New Roman"/>
          <w:bCs/>
          <w:iCs/>
          <w:noProof/>
          <w:sz w:val="24"/>
          <w:szCs w:val="24"/>
        </w:rPr>
        <w:t xml:space="preserve">Gillath, Bunge, </w:t>
      </w:r>
      <w:r w:rsidR="00254188">
        <w:rPr>
          <w:rFonts w:cs="Times New Roman"/>
          <w:bCs/>
          <w:iCs/>
          <w:noProof/>
          <w:sz w:val="24"/>
          <w:szCs w:val="24"/>
        </w:rPr>
        <w:t>Shaver, Wendelken, and Mikulincer</w:t>
      </w:r>
      <w:r w:rsidR="00254188" w:rsidRPr="00254188">
        <w:rPr>
          <w:rFonts w:cs="Times New Roman"/>
          <w:bCs/>
          <w:iCs/>
          <w:noProof/>
          <w:sz w:val="24"/>
          <w:szCs w:val="24"/>
        </w:rPr>
        <w:t xml:space="preserve"> </w:t>
      </w:r>
      <w:r w:rsidR="00254188">
        <w:rPr>
          <w:rFonts w:cs="Times New Roman"/>
          <w:bCs/>
          <w:iCs/>
          <w:noProof/>
          <w:sz w:val="24"/>
          <w:szCs w:val="24"/>
        </w:rPr>
        <w:t>(</w:t>
      </w:r>
      <w:r w:rsidR="00254188" w:rsidRPr="00254188">
        <w:rPr>
          <w:rFonts w:cs="Times New Roman"/>
          <w:bCs/>
          <w:iCs/>
          <w:noProof/>
          <w:sz w:val="24"/>
          <w:szCs w:val="24"/>
        </w:rPr>
        <w:t>2005)</w:t>
      </w:r>
      <w:r w:rsidR="00B06E70">
        <w:rPr>
          <w:rFonts w:cs="Times New Roman"/>
          <w:bCs/>
          <w:iCs/>
          <w:sz w:val="24"/>
          <w:szCs w:val="24"/>
        </w:rPr>
        <w:fldChar w:fldCharType="end"/>
      </w:r>
      <w:r w:rsidRPr="00D05EBD">
        <w:rPr>
          <w:rFonts w:cs="Times New Roman"/>
          <w:bCs/>
          <w:iCs/>
          <w:sz w:val="24"/>
          <w:szCs w:val="24"/>
        </w:rPr>
        <w:t xml:space="preserve">, for example, explored the neural correlates of women with different attachment styles using the </w:t>
      </w:r>
      <w:proofErr w:type="spellStart"/>
      <w:r w:rsidRPr="00D05EBD">
        <w:rPr>
          <w:rFonts w:cs="Times New Roman"/>
          <w:bCs/>
          <w:iCs/>
          <w:sz w:val="24"/>
          <w:szCs w:val="24"/>
        </w:rPr>
        <w:t>fMRI</w:t>
      </w:r>
      <w:proofErr w:type="spellEnd"/>
      <w:r w:rsidRPr="00D05EBD">
        <w:rPr>
          <w:rFonts w:cs="Times New Roman"/>
          <w:bCs/>
          <w:iCs/>
          <w:sz w:val="24"/>
          <w:szCs w:val="24"/>
        </w:rPr>
        <w:t xml:space="preserve">. They asked their participants to imagine negative scenarios (i.e. break-up, death of a partner, conflict) and then to try to stop thinking of them while the researchers measured which areas on the brain became active. They found that women low in attachment avoidance exhibited suppression of the subcallosal cingulate cortex (a brain area involved in autonomic functions, i.e. heart rate, breathing), which suggests that low attachment avoidance participants may use AER. Electrophysiological techniques, like the electroencephalogram (EEG) and </w:t>
      </w:r>
      <w:r w:rsidR="00D544AA" w:rsidRPr="00D05EBD">
        <w:rPr>
          <w:rFonts w:cs="Times New Roman"/>
          <w:bCs/>
          <w:iCs/>
          <w:sz w:val="24"/>
          <w:szCs w:val="24"/>
        </w:rPr>
        <w:t>electrocardiogram</w:t>
      </w:r>
      <w:r w:rsidRPr="00D05EBD">
        <w:rPr>
          <w:rFonts w:cs="Times New Roman"/>
          <w:bCs/>
          <w:iCs/>
          <w:sz w:val="24"/>
          <w:szCs w:val="24"/>
        </w:rPr>
        <w:t>, have also been used to study AER.</w:t>
      </w:r>
      <w:r w:rsidR="00254188">
        <w:rPr>
          <w:rFonts w:cs="Times New Roman"/>
          <w:bCs/>
          <w:iCs/>
          <w:sz w:val="24"/>
          <w:szCs w:val="24"/>
        </w:rPr>
        <w:t xml:space="preserve"> </w:t>
      </w:r>
      <w:r w:rsidR="00B06E70">
        <w:rPr>
          <w:rFonts w:cs="Times New Roman"/>
          <w:bCs/>
          <w:iCs/>
          <w:sz w:val="24"/>
          <w:szCs w:val="24"/>
        </w:rPr>
        <w:fldChar w:fldCharType="begin" w:fldLock="1"/>
      </w:r>
      <w:r w:rsidR="00E92C1B">
        <w:rPr>
          <w:rFonts w:cs="Times New Roman"/>
          <w:bCs/>
          <w:iCs/>
          <w:sz w:val="24"/>
          <w:szCs w:val="24"/>
        </w:rPr>
        <w:instrText>ADDIN CSL_CITATION { "citationItems" : [ { "id" : "ITEM-1", "itemData" : { "DOI" : "10.1046/j.0956-7976.2003.psci_1473.x", "ISSN" : "0956-7976", "PMID" : "14629694", "abstract" : "Recent theoretical accounts of emotion regulation assign an important\\nrole in this process to the prefrontal cortex, yet there is little\\nrelevant data available to support this hypothesis. The current study\\nassessed the relation between individual differences in asymmetric\\nprefrontal activation and an objective measure of uninstructed emotion\\nregulation. Forty-seven participants 57 to 60 years old viewed emotionally\\narousing and neutral visual stimuli while eyeblink startle data were\\ncollected. Startle probes were also presented after picture presentation\\nto capture the persistence or attenuation of affect following the\\noffset of an emotional stimulus. Subjects with greater relative left-sided\\nanterior activation in scalp-recorded brain electrical signals displayed\\nattenuated startle magnitude after the offset of negative stimuli.\\nThis relation between resting frontal activation and recovery following\\nan aversive event supports the idea of a frontally mediated mechanism\\ninvolved in one form of automatic emotion regulation.", "author" : [ { "dropping-particle" : "", "family" : "Jackson", "given" : "Daren C", "non-dropping-particle" : "", "parse-names" : false, "suffix" : "" }, { "dropping-particle" : "", "family" : "Mueller", "given" : "Corrina J", "non-dropping-particle" : "", "parse-names" : false, "suffix" : "" }, { "dropping-particle" : "", "family" : "Dolski", "given" : "Isa", "non-dropping-particle" : "", "parse-names" : false, "suffix" : "" }, { "dropping-particle" : "", "family" : "Dalton", "given" : "Kim M", "non-dropping-particle" : "", "parse-names" : false, "suffix" : "" }, { "dropping-particle" : "", "family" : "Nitschke", "given" : "Jack B", "non-dropping-particle" : "", "parse-names" : false, "suffix" : "" }, { "dropping-particle" : "", "family" : "Urry", "given" : "Heather L", "non-dropping-particle" : "", "parse-names" : false, "suffix" : "" }, { "dropping-particle" : "", "family" : "Rosenkranz", "given" : "Melissa A", "non-dropping-particle" : "", "parse-names" : false, "suffix" : "" }, { "dropping-particle" : "", "family" : "Ryff", "given" : "Carol D", "non-dropping-particle" : "", "parse-names" : false, "suffix" : "" }, { "dropping-particle" : "", "family" : "Singer", "given" : "Burton H", "non-dropping-particle" : "", "parse-names" : false, "suffix" : "" }, { "dropping-particle" : "", "family" : "Davidson", "given" : "Richard J", "non-dropping-particle" : "", "parse-names" : false, "suffix" : "" } ], "container-title" : "Psychological Science", "id" : "ITEM-1", "issue" : "6", "issued" : { "date-parts" : [ [ "2003" ] ] }, "page" : "612-617", "title" : "Now you feel it, now you don't: Front brain electrical assymetry and individual differences in emotion regulation.", "type" : "article-journal", "volume" : "14" }, "uris" : [ "http://www.mendeley.com/documents/?uuid=bf91747a-def1-3802-939a-ba440fccdae4" ] } ], "mendeley" : { "formattedCitation" : "(Jackson et al., 2003)", "manualFormatting" : "Jackson et al. (2003)", "plainTextFormattedCitation" : "(Jackson et al., 2003)", "previouslyFormattedCitation" : "(Jackson et al., 2003)" }, "properties" : { "noteIndex" : 0 }, "schema" : "https://github.com/citation-style-language/schema/raw/master/csl-citation.json" }</w:instrText>
      </w:r>
      <w:r w:rsidR="00B06E70">
        <w:rPr>
          <w:rFonts w:cs="Times New Roman"/>
          <w:bCs/>
          <w:iCs/>
          <w:sz w:val="24"/>
          <w:szCs w:val="24"/>
        </w:rPr>
        <w:fldChar w:fldCharType="separate"/>
      </w:r>
      <w:r w:rsidR="00254188" w:rsidRPr="00254188">
        <w:rPr>
          <w:rFonts w:cs="Times New Roman"/>
          <w:bCs/>
          <w:iCs/>
          <w:noProof/>
          <w:sz w:val="24"/>
          <w:szCs w:val="24"/>
        </w:rPr>
        <w:t>Jackson et</w:t>
      </w:r>
      <w:r w:rsidR="00254188">
        <w:rPr>
          <w:rFonts w:cs="Times New Roman"/>
          <w:bCs/>
          <w:iCs/>
          <w:noProof/>
          <w:sz w:val="24"/>
          <w:szCs w:val="24"/>
        </w:rPr>
        <w:t xml:space="preserve"> </w:t>
      </w:r>
      <w:r w:rsidR="00E92C1B">
        <w:rPr>
          <w:rFonts w:cs="Times New Roman"/>
          <w:bCs/>
          <w:iCs/>
          <w:noProof/>
          <w:sz w:val="24"/>
          <w:szCs w:val="24"/>
        </w:rPr>
        <w:t>al.</w:t>
      </w:r>
      <w:r w:rsidR="00254188">
        <w:rPr>
          <w:rFonts w:cs="Times New Roman"/>
          <w:bCs/>
          <w:iCs/>
          <w:noProof/>
          <w:sz w:val="24"/>
          <w:szCs w:val="24"/>
        </w:rPr>
        <w:t xml:space="preserve"> (</w:t>
      </w:r>
      <w:r w:rsidR="00254188" w:rsidRPr="00254188">
        <w:rPr>
          <w:rFonts w:cs="Times New Roman"/>
          <w:bCs/>
          <w:iCs/>
          <w:noProof/>
          <w:sz w:val="24"/>
          <w:szCs w:val="24"/>
        </w:rPr>
        <w:t>2003)</w:t>
      </w:r>
      <w:r w:rsidR="00B06E70">
        <w:rPr>
          <w:rFonts w:cs="Times New Roman"/>
          <w:bCs/>
          <w:iCs/>
          <w:sz w:val="24"/>
          <w:szCs w:val="24"/>
        </w:rPr>
        <w:fldChar w:fldCharType="end"/>
      </w:r>
      <w:r w:rsidRPr="00D05EBD">
        <w:rPr>
          <w:rFonts w:cs="Times New Roman"/>
          <w:bCs/>
          <w:iCs/>
          <w:sz w:val="24"/>
          <w:szCs w:val="24"/>
        </w:rPr>
        <w:t xml:space="preserve"> found that participants who were presented with unpleasant </w:t>
      </w:r>
      <w:r w:rsidRPr="00D05EBD">
        <w:rPr>
          <w:rFonts w:cs="Times New Roman"/>
          <w:bCs/>
          <w:iCs/>
          <w:sz w:val="24"/>
          <w:szCs w:val="24"/>
        </w:rPr>
        <w:lastRenderedPageBreak/>
        <w:t>photographs showed an activation in the prefrontal cortex, (an area that has been previously associated to CER,</w:t>
      </w:r>
      <w:r w:rsidR="00E92C1B">
        <w:rPr>
          <w:rFonts w:cs="Times New Roman"/>
          <w:bCs/>
          <w:iCs/>
          <w:sz w:val="24"/>
          <w:szCs w:val="24"/>
        </w:rPr>
        <w:t xml:space="preserve"> </w:t>
      </w:r>
      <w:r w:rsidR="00B06E70">
        <w:rPr>
          <w:rFonts w:cs="Times New Roman"/>
          <w:bCs/>
          <w:iCs/>
          <w:sz w:val="24"/>
          <w:szCs w:val="24"/>
        </w:rPr>
        <w:fldChar w:fldCharType="begin" w:fldLock="1"/>
      </w:r>
      <w:r w:rsidR="00E92C1B">
        <w:rPr>
          <w:rFonts w:cs="Times New Roman"/>
          <w:bCs/>
          <w:iCs/>
          <w:sz w:val="24"/>
          <w:szCs w:val="24"/>
        </w:rPr>
        <w:instrText>ADDIN CSL_CITATION { "citationItems" : [ { "id" : "ITEM-1", "itemData" : { "DOI" : "10.1162/089892902760807212", "ISBN" : "0898-929X (Print) 0898-929X (Linking)", "ISSN" : "0898-929X", "PMID" : "12495527", "abstract" : "The ability to cognitively regulate emotional responses to aversive events is important for mental and physical health. Little is known, however, about neural bases of the cognitive control of emotion. The present study employed functional magnetic resonance imaging to examine the neural systems used to reappraise highly negative scenes in unemotional terms. Reappraisal of highly negative scenes reduced subjective experience of negative affect. Neural correlates of reappraisal were increased activation of the lateral and medial prefrontal regions and decreased activation of the amygdala and medial orbito-frontal cortex. These findings support the hypothesis that prefrontal cortex is involved in constructing reappraisal strategies that can modulate activity in multiple emotion-processing systems.", "author" : [ { "dropping-particle" : "", "family" : "Ochsner", "given" : "Kevin N", "non-dropping-particle" : "", "parse-names" : false, "suffix" : "" }, { "dropping-particle" : "", "family" : "Bunge", "given" : "Silvia A", "non-dropping-particle" : "", "parse-names" : false, "suffix" : "" }, { "dropping-particle" : "", "family" : "Gross", "given" : "James J", "non-dropping-particle" : "", "parse-names" : false, "suffix" : "" }, { "dropping-particle" : "", "family" : "Gabrieli", "given" : "John D E", "non-dropping-particle" : "", "parse-names" : false, "suffix" : "" } ], "container-title" : "Journal of cognitive neuroscience", "id" : "ITEM-1", "issue" : "8", "issued" : { "date-parts" : [ [ "2002" ] ] }, "page" : "1215-1229", "title" : "Rethinking feelings: an FMRI study of the cognitive regulation of emotion.", "type" : "article-journal", "volume" : "14" }, "uris" : [ "http://www.mendeley.com/documents/?uuid=3b9f751b-3278-30df-8e4a-9cb3a1436b94" ] } ], "mendeley" : { "formattedCitation" : "(Ochsner et al., 2002)", "manualFormatting" : "Ochsner et al., 2002)", "plainTextFormattedCitation" : "(Ochsner et al., 2002)", "previouslyFormattedCitation" : "(Ochsner et al., 2002)" }, "properties" : { "noteIndex" : 0 }, "schema" : "https://github.com/citation-style-language/schema/raw/master/csl-citation.json" }</w:instrText>
      </w:r>
      <w:r w:rsidR="00B06E70">
        <w:rPr>
          <w:rFonts w:cs="Times New Roman"/>
          <w:bCs/>
          <w:iCs/>
          <w:sz w:val="24"/>
          <w:szCs w:val="24"/>
        </w:rPr>
        <w:fldChar w:fldCharType="separate"/>
      </w:r>
      <w:r w:rsidR="00E92C1B" w:rsidRPr="00E92C1B">
        <w:rPr>
          <w:rFonts w:cs="Times New Roman"/>
          <w:bCs/>
          <w:iCs/>
          <w:noProof/>
          <w:sz w:val="24"/>
          <w:szCs w:val="24"/>
        </w:rPr>
        <w:t>Ochsner et al., 2002)</w:t>
      </w:r>
      <w:r w:rsidR="00B06E70">
        <w:rPr>
          <w:rFonts w:cs="Times New Roman"/>
          <w:bCs/>
          <w:iCs/>
          <w:sz w:val="24"/>
          <w:szCs w:val="24"/>
        </w:rPr>
        <w:fldChar w:fldCharType="end"/>
      </w:r>
      <w:r w:rsidRPr="00D05EBD">
        <w:rPr>
          <w:rFonts w:cs="Times New Roman"/>
          <w:bCs/>
          <w:iCs/>
          <w:sz w:val="24"/>
          <w:szCs w:val="24"/>
        </w:rPr>
        <w:t>. They suggested participants may have engaged in AER because they were not explicitly instructed to regulate their emotions but that area became active.</w:t>
      </w:r>
      <w:r w:rsidR="00E92C1B">
        <w:rPr>
          <w:rFonts w:cs="Times New Roman"/>
          <w:bCs/>
          <w:iCs/>
          <w:sz w:val="24"/>
          <w:szCs w:val="24"/>
        </w:rPr>
        <w:t xml:space="preserve"> </w:t>
      </w:r>
      <w:r w:rsidR="00B06E70">
        <w:rPr>
          <w:rFonts w:cs="Times New Roman"/>
          <w:bCs/>
          <w:iCs/>
          <w:sz w:val="24"/>
          <w:szCs w:val="24"/>
        </w:rPr>
        <w:fldChar w:fldCharType="begin" w:fldLock="1"/>
      </w:r>
      <w:r w:rsidR="001548F3">
        <w:rPr>
          <w:rFonts w:cs="Times New Roman"/>
          <w:bCs/>
          <w:iCs/>
          <w:sz w:val="24"/>
          <w:szCs w:val="24"/>
        </w:rPr>
        <w:instrText>ADDIN CSL_CITATION { "citationItems" : [ { "id" : "ITEM-1", "itemData" : { "DOI" : "10.1037/a0017745", "ISBN" : "1931-1516 (Electronic)\\n1528-3542 (Linking)", "ISSN" : "1528-3542", "PMID" : "20001127", "abstract" : "People often encounter difficulty when making conscious attempts to regulate their emotions. We propose that nonconscious self-regulatory processes may be of help in these difficult circumstances because nonconscious processes are not subject to the same set of limitations as are conscious processes. Two experiments examined the effects of nonconsciously operating goals on people\u2019s emotion regulatory success. In Experiment 1, participants engaged in an anxiety-eliciting task. Participants who had a reappraisal emotion control goal primed and operating nonconsciously achieved the same decrease in physiological reactivity as those explicitly instructed to reappraise. In Experiment 2, the effect of nonconscious reappraisal priming on physiological reactivity was shown to be most pronounced for those who do not habitually use reappraisal strategies. The findings highlight the potential importance of nonconscious goals for facilitating emotional control in complex real-world environments and have implications for contemporary models of emotion regulation. (PsycINFO Database Record (c) 2013 APA, all rights reserved). (journal abstract)", "author" : [ { "dropping-particle" : "", "family" : "Williams", "given" : "Lawrence E", "non-dropping-particle" : "", "parse-names" : false, "suffix" : "" }, { "dropping-particle" : "", "family" : "Bargh", "given" : "John A", "non-dropping-particle" : "", "parse-names" : false, "suffix" : "" }, { "dropping-particle" : "", "family" : "Nocera", "given" : "Christopher C", "non-dropping-particle" : "", "parse-names" : false, "suffix" : "" }, { "dropping-particle" : "", "family" : "Gray", "given" : "Jeremy R", "non-dropping-particle" : "", "parse-names" : false, "suffix" : "" } ], "container-title" : "Emotion", "id" : "ITEM-1", "issue" : "6", "issued" : { "date-parts" : [ [ "2009" ] ] }, "page" : "847-854", "title" : "The unconscious regulation of emotion: Nonconscious reappraisal goals modulate emotional reactivity.", "type" : "article-journal", "volume" : "9" }, "uris" : [ "http://www.mendeley.com/documents/?uuid=9e8eb5d9-0eec-37a9-9082-4a601649d12d" ] } ], "mendeley" : { "formattedCitation" : "(Williams et al., 2009)", "manualFormatting" : "Williams et al.  (2009)", "plainTextFormattedCitation" : "(Williams et al., 2009)", "previouslyFormattedCitation" : "(Williams et al., 2009)" }, "properties" : { "noteIndex" : 0 }, "schema" : "https://github.com/citation-style-language/schema/raw/master/csl-citation.json" }</w:instrText>
      </w:r>
      <w:r w:rsidR="00B06E70">
        <w:rPr>
          <w:rFonts w:cs="Times New Roman"/>
          <w:bCs/>
          <w:iCs/>
          <w:sz w:val="24"/>
          <w:szCs w:val="24"/>
        </w:rPr>
        <w:fldChar w:fldCharType="separate"/>
      </w:r>
      <w:r w:rsidR="00E92C1B" w:rsidRPr="00E92C1B">
        <w:rPr>
          <w:rFonts w:cs="Times New Roman"/>
          <w:bCs/>
          <w:iCs/>
          <w:noProof/>
          <w:sz w:val="24"/>
          <w:szCs w:val="24"/>
        </w:rPr>
        <w:t>Williams et</w:t>
      </w:r>
      <w:r w:rsidR="00E92C1B">
        <w:rPr>
          <w:rFonts w:cs="Times New Roman"/>
          <w:bCs/>
          <w:iCs/>
          <w:noProof/>
          <w:sz w:val="24"/>
          <w:szCs w:val="24"/>
        </w:rPr>
        <w:t xml:space="preserve"> al.</w:t>
      </w:r>
      <w:r w:rsidR="001548F3">
        <w:rPr>
          <w:rFonts w:cs="Times New Roman"/>
          <w:bCs/>
          <w:iCs/>
          <w:noProof/>
          <w:sz w:val="24"/>
          <w:szCs w:val="24"/>
        </w:rPr>
        <w:t xml:space="preserve"> </w:t>
      </w:r>
      <w:r w:rsidR="00E92C1B" w:rsidRPr="00E92C1B">
        <w:rPr>
          <w:rFonts w:cs="Times New Roman"/>
          <w:bCs/>
          <w:iCs/>
          <w:noProof/>
          <w:sz w:val="24"/>
          <w:szCs w:val="24"/>
        </w:rPr>
        <w:t xml:space="preserve"> </w:t>
      </w:r>
      <w:r w:rsidR="00E92C1B">
        <w:rPr>
          <w:rFonts w:cs="Times New Roman"/>
          <w:bCs/>
          <w:iCs/>
          <w:noProof/>
          <w:sz w:val="24"/>
          <w:szCs w:val="24"/>
        </w:rPr>
        <w:t>(</w:t>
      </w:r>
      <w:r w:rsidR="00E92C1B" w:rsidRPr="00E92C1B">
        <w:rPr>
          <w:rFonts w:cs="Times New Roman"/>
          <w:bCs/>
          <w:iCs/>
          <w:noProof/>
          <w:sz w:val="24"/>
          <w:szCs w:val="24"/>
        </w:rPr>
        <w:t>2009)</w:t>
      </w:r>
      <w:r w:rsidR="00B06E70">
        <w:rPr>
          <w:rFonts w:cs="Times New Roman"/>
          <w:bCs/>
          <w:iCs/>
          <w:sz w:val="24"/>
          <w:szCs w:val="24"/>
        </w:rPr>
        <w:fldChar w:fldCharType="end"/>
      </w:r>
      <w:r w:rsidRPr="00D05EBD">
        <w:rPr>
          <w:rFonts w:cs="Times New Roman"/>
          <w:bCs/>
          <w:iCs/>
          <w:sz w:val="24"/>
          <w:szCs w:val="24"/>
        </w:rPr>
        <w:t xml:space="preserve"> exposed their participants to a stressful situation (prepare a speech they were allegedly going to present publicly) and compared the heart rate of participants explicitly asked to reappraise the situation</w:t>
      </w:r>
      <w:r w:rsidR="00E039D0">
        <w:rPr>
          <w:rFonts w:cs="Times New Roman"/>
          <w:bCs/>
          <w:iCs/>
          <w:sz w:val="24"/>
          <w:szCs w:val="24"/>
        </w:rPr>
        <w:t xml:space="preserve"> </w:t>
      </w:r>
      <w:r w:rsidRPr="00D05EBD">
        <w:rPr>
          <w:rFonts w:cs="Times New Roman"/>
          <w:bCs/>
          <w:iCs/>
          <w:sz w:val="24"/>
          <w:szCs w:val="24"/>
        </w:rPr>
        <w:t xml:space="preserve">(asked to think of this situation in a not threatening way) to the heart rate of participants primed to reappraise (using the Scrambled Sentence Task and including words such as </w:t>
      </w:r>
      <w:r w:rsidRPr="00D05EBD">
        <w:rPr>
          <w:rFonts w:cs="Times New Roman"/>
          <w:bCs/>
          <w:i/>
          <w:iCs/>
          <w:sz w:val="24"/>
          <w:szCs w:val="24"/>
        </w:rPr>
        <w:t>reassessed perspective, carefully analysed</w:t>
      </w:r>
      <w:r w:rsidRPr="00D05EBD">
        <w:rPr>
          <w:rFonts w:cs="Times New Roman"/>
          <w:bCs/>
          <w:iCs/>
          <w:sz w:val="24"/>
          <w:szCs w:val="24"/>
        </w:rPr>
        <w:t xml:space="preserve">) and participants who were given no instructions to reappraise nor were primed. Williams and colleagues observed that participants explicitly asked to reappraise and participants primed to reappraise, had less heart reactivity than participants who were given no further instructions. </w:t>
      </w:r>
    </w:p>
    <w:p w:rsidR="001548F3" w:rsidRDefault="00FB1389" w:rsidP="00AE640B">
      <w:pPr>
        <w:spacing w:line="480" w:lineRule="auto"/>
        <w:ind w:firstLine="709"/>
        <w:jc w:val="both"/>
        <w:rPr>
          <w:rFonts w:cs="Times New Roman"/>
          <w:sz w:val="24"/>
          <w:szCs w:val="24"/>
        </w:rPr>
      </w:pPr>
      <w:r w:rsidRPr="00D05EBD">
        <w:rPr>
          <w:rFonts w:cs="Times New Roman"/>
          <w:sz w:val="24"/>
          <w:szCs w:val="24"/>
        </w:rPr>
        <w:t xml:space="preserve">Although the abovementioned physiological techniques have provided useful information about automaticity in ER most of them have weak points when approaching it. When using </w:t>
      </w:r>
      <w:proofErr w:type="spellStart"/>
      <w:r w:rsidRPr="00D05EBD">
        <w:rPr>
          <w:rFonts w:cs="Times New Roman"/>
          <w:sz w:val="24"/>
          <w:szCs w:val="24"/>
        </w:rPr>
        <w:t>neuroimaging</w:t>
      </w:r>
      <w:proofErr w:type="spellEnd"/>
      <w:r w:rsidRPr="00D05EBD">
        <w:rPr>
          <w:rFonts w:cs="Times New Roman"/>
          <w:sz w:val="24"/>
          <w:szCs w:val="24"/>
        </w:rPr>
        <w:t xml:space="preserve"> measures, certain brain areas might become active for both automatic and controlled processes, so one cannot associate a specific brain area with an AER process or a CER process. For example the </w:t>
      </w:r>
      <w:proofErr w:type="spellStart"/>
      <w:r w:rsidRPr="00D05EBD">
        <w:rPr>
          <w:rFonts w:cs="Times New Roman"/>
          <w:sz w:val="24"/>
          <w:szCs w:val="24"/>
        </w:rPr>
        <w:t>prefrontral</w:t>
      </w:r>
      <w:proofErr w:type="spellEnd"/>
      <w:r w:rsidRPr="00D05EBD">
        <w:rPr>
          <w:rFonts w:cs="Times New Roman"/>
          <w:sz w:val="24"/>
          <w:szCs w:val="24"/>
        </w:rPr>
        <w:t xml:space="preserve"> cortex seems to be implicated in both automatic and controlled ER </w:t>
      </w:r>
      <w:r w:rsidR="00B06E70">
        <w:rPr>
          <w:rFonts w:cs="Times New Roman"/>
          <w:sz w:val="24"/>
          <w:szCs w:val="24"/>
        </w:rPr>
        <w:fldChar w:fldCharType="begin" w:fldLock="1"/>
      </w:r>
      <w:r w:rsidR="00F758A0">
        <w:rPr>
          <w:rFonts w:cs="Times New Roman"/>
          <w:sz w:val="24"/>
          <w:szCs w:val="24"/>
        </w:rPr>
        <w:instrText>ADDIN CSL_CITATION { "citationItems" : [ { "id" : "ITEM-1", "itemData" : { "DOI" : "10.1176/appi.ajp.2009.09070931", "ISBN" : "1535-7228", "ISSN" : "0002953X", "PMID" : "20123913", "abstract" : "OBJECTIVE: Clinical data suggest that abnormalities in the regulation of emotional processing contribute to the pathophysiology of generalized anxiety disorder, yet these abnormalities remain poorly understood at the neurobiological level. The authors recently reported that in healthy volunteers the pregenual anterior cingulate regulates emotional conflict on a trial-by-trial basis by dampening activity in the amygdala. The authors also showed that this process is specific to the regulation of emotional, compared to nonemotional, conflict. Here the authors examined whether this form of noninstructed emotion regulation is perturbed in generalized anxiety disorder. METHOD: Seventeen patients with generalized anxiety disorder and 24 healthy comparison subjects underwent functional MRI while performing an emotional conflict task that involved categorizing facial affect while ignoring overlaid affect label words. Behavioral and neural measures were used to compare trial-by-trial changes in conflict regulation. RESULTS: Comparison subjects effectively regulated emotional conflict from trial to trial, even though they were unaware of having done so. By contrast, patients with generalized anxiety disorder were completely unable to regulate emotional conflict and failed to engage the pregenual anterior cingulate in ways that would dampen amygdalar activity. Moreover, performance and brain activation were correlated with symptoms and could be used to accurately classify the two groups. CONCLUSIONS: These data demonstrate that patients with generalized anxiety disorder show significant deficits in the noninstructed and spontaneous regulation of emotional processing. Conceptualization of anxiety as importantly involving abnormalities in emotion regulation, particularly a type occurring outside of awareness, may open up avenues for novel treatments, such as by targeting the medial prefrontal cortex.", "author" : [ { "dropping-particle" : "", "family" : "Etkin", "given" : "Amit", "non-dropping-particle" : "", "parse-names" : false, "suffix" : "" }, { "dropping-particle" : "", "family" : "Prater", "given" : "Katherine E.", "non-dropping-particle" : "", "parse-names" : false, "suffix" : "" }, { "dropping-particle" : "", "family" : "Hoeft", "given" : "Fumiko", "non-dropping-particle" : "", "parse-names" : false, "suffix" : "" }, { "dropping-particle" : "", "family" : "Menon", "given" : "Vinod", "non-dropping-particle" : "", "parse-names" : false, "suffix" : "" }, { "dropping-particle" : "", "family" : "Schatzberg", "given" : "Alan F.", "non-dropping-particle" : "", "parse-names" : false, "suffix" : "" } ], "container-title" : "American Journal of Psychiatry", "id" : "ITEM-1", "issue" : "5", "issued" : { "date-parts" : [ [ "2010" ] ] }, "page" : "545-554", "title" : "Failure of anterior cingulate activation and connectivity with the amygdala during implicit regulation of emotional processing in generalized anxiety disorder", "type" : "article-journal", "volume" : "167" }, "uris" : [ "http://www.mendeley.com/documents/?uuid=047bd044-e84d-4a27-920d-aedf22eb2459" ] }, { "id" : "ITEM-2", "itemData" : { "DOI" : "10.1162/089892902760807212", "ISBN" : "0898-929X (Print) 0898-929X (Linking)", "ISSN" : "0898-929X", "PMID" : "12495527", "abstract" : "The ability to cognitively regulate emotional responses to aversive events is important for mental and physical health. Little is known, however, about neural bases of the cognitive control of emotion. The present study employed functional magnetic resonance imaging to examine the neural systems used to reappraise highly negative scenes in unemotional terms. Reappraisal of highly negative scenes reduced subjective experience of negative affect. Neural correlates of reappraisal were increased activation of the lateral and medial prefrontal regions and decreased activation of the amygdala and medial orbito-frontal cortex. These findings support the hypothesis that prefrontal cortex is involved in constructing reappraisal strategies that can modulate activity in multiple emotion-processing systems.", "author" : [ { "dropping-particle" : "", "family" : "Ochsner", "given" : "Kevin N", "non-dropping-particle" : "", "parse-names" : false, "suffix" : "" }, { "dropping-particle" : "", "family" : "Bunge", "given" : "Silvia A", "non-dropping-particle" : "", "parse-names" : false, "suffix" : "" }, { "dropping-particle" : "", "family" : "Gross", "given" : "James J", "non-dropping-particle" : "", "parse-names" : false, "suffix" : "" }, { "dropping-particle" : "", "family" : "Gabrieli", "given" : "John D E", "non-dropping-particle" : "", "parse-names" : false, "suffix" : "" } ], "container-title" : "Journal of cognitive neuroscience", "id" : "ITEM-2", "issue" : "8", "issued" : { "date-parts" : [ [ "2002" ] ] }, "page" : "1215-1229", "title" : "Rethinking feelings: an FMRI study of the cognitive regulation of emotion.", "type" : "article-journal", "volume" : "14" }, "uris" : [ "http://www.mendeley.com/documents/?uuid=3b9f751b-3278-30df-8e4a-9cb3a1436b94" ] } ], "mendeley" : { "formattedCitation" : "(Etkin, Prater, Hoeft, Menon, &amp; Schatzberg, 2010; Ochsner et al., 2002)", "plainTextFormattedCitation" : "(Etkin, Prater, Hoeft, Menon, &amp; Schatzberg, 2010; Ochsner et al., 2002)", "previouslyFormattedCitation" : "(Etkin, Prater, Hoeft, Menon, &amp; Schatzberg, 2010; Ochsner et al., 2002)" }, "properties" : { "noteIndex" : 0 }, "schema" : "https://github.com/citation-style-language/schema/raw/master/csl-citation.json" }</w:instrText>
      </w:r>
      <w:r w:rsidR="00B06E70">
        <w:rPr>
          <w:rFonts w:cs="Times New Roman"/>
          <w:sz w:val="24"/>
          <w:szCs w:val="24"/>
        </w:rPr>
        <w:fldChar w:fldCharType="separate"/>
      </w:r>
      <w:r w:rsidR="001548F3" w:rsidRPr="001548F3">
        <w:rPr>
          <w:rFonts w:cs="Times New Roman"/>
          <w:noProof/>
          <w:sz w:val="24"/>
          <w:szCs w:val="24"/>
        </w:rPr>
        <w:t>(Etkin, Prater, Hoeft, Menon, &amp; Schatzberg, 2010; Ochsner et al., 2002)</w:t>
      </w:r>
      <w:r w:rsidR="00B06E70">
        <w:rPr>
          <w:rFonts w:cs="Times New Roman"/>
          <w:sz w:val="24"/>
          <w:szCs w:val="24"/>
        </w:rPr>
        <w:fldChar w:fldCharType="end"/>
      </w:r>
      <w:r w:rsidR="001548F3" w:rsidRPr="001548F3">
        <w:rPr>
          <w:rFonts w:cs="Times New Roman"/>
          <w:sz w:val="24"/>
          <w:szCs w:val="24"/>
        </w:rPr>
        <w:t>.</w:t>
      </w:r>
    </w:p>
    <w:p w:rsidR="00FB1389" w:rsidRPr="00D05EBD" w:rsidRDefault="001548F3" w:rsidP="00AE640B">
      <w:pPr>
        <w:spacing w:line="480" w:lineRule="auto"/>
        <w:ind w:firstLine="709"/>
        <w:jc w:val="both"/>
        <w:rPr>
          <w:rFonts w:cs="Times New Roman"/>
          <w:bCs/>
          <w:iCs/>
          <w:sz w:val="24"/>
          <w:szCs w:val="24"/>
        </w:rPr>
      </w:pPr>
      <w:r w:rsidRPr="00D05EBD">
        <w:rPr>
          <w:rFonts w:cs="Times New Roman"/>
          <w:sz w:val="24"/>
          <w:szCs w:val="24"/>
        </w:rPr>
        <w:t xml:space="preserve"> </w:t>
      </w:r>
      <w:r w:rsidR="00FB1389" w:rsidRPr="00D05EBD">
        <w:rPr>
          <w:rFonts w:cs="Times New Roman"/>
          <w:sz w:val="24"/>
          <w:szCs w:val="24"/>
        </w:rPr>
        <w:t xml:space="preserve">Self-report measures, where participants are simply asked to reflect and report on their behaviour, have also been used to study AER (e.g. </w:t>
      </w:r>
      <w:r w:rsidR="00B06E70">
        <w:rPr>
          <w:rFonts w:cs="Times New Roman"/>
          <w:sz w:val="24"/>
          <w:szCs w:val="24"/>
        </w:rPr>
        <w:fldChar w:fldCharType="begin" w:fldLock="1"/>
      </w:r>
      <w:r w:rsidR="0089549E">
        <w:rPr>
          <w:rFonts w:cs="Times New Roman"/>
          <w:sz w:val="24"/>
          <w:szCs w:val="24"/>
        </w:rPr>
        <w:instrText>ADDIN CSL_CITATION { "citationItems" : [ { "id" : "ITEM-1", "itemData" : { "DOI" : "10.1037/0022-3514.85.2.348", "ISBN" : "0022-3514\\r1939-1315", "ISSN" : "0022-3514", "PMID" : "12916575", "abstract" : "Five studies tested two general hypotheses: Individuals differ in their use of emotion regulation strategies such as reappraisal and suppression, and these individual differences have implications for affect, well-being, and social relationships. Study 1 presents new measures of the habitual use of reappraisal and suppression. Study 2 examines convergent and discriminant validity. Study 3 shows that reappraisers experience and express greater positive emotion and lesser negative emotion, whereas suppressors experience and express lesser positive emotion, yet experience greater negative emotion. Study 4 indicates that using reappraisal is associated with better interpersonal functioning, whereas using suppression is associated with worse interpersonal functioning. Study 5 shows that using reappraisal is related positively to well-being, whereas using suppression is related negatively.", "author" : [ { "dropping-particle" : "", "family" : "Gross", "given" : "James J", "non-dropping-particle" : "", "parse-names" : false, "suffix" : "" }, { "dropping-particle" : "", "family" : "John", "given" : "Oliver P", "non-dropping-particle" : "", "parse-names" : false, "suffix" : "" } ], "container-title" : "Journal of personality and social psychology", "id" : "ITEM-1", "issue" : "2", "issued" : { "date-parts" : [ [ "2003" ] ] }, "page" : "348-362", "title" : "Individual differences in two emotion regulation processes: implications for affect, relationships, and well-being.", "type" : "article-journal", "volume" : "85" }, "uris" : [ "http://www.mendeley.com/documents/?uuid=7e997c56-1c76-416c-9e20-cb6be3789ff7" ] }, { "id" : "ITEM-2", "itemData" : { "DOI" : "10.1177/0146167205283841", "ISBN" : "0146-1672 (Print) 0146-1672 (Linking)", "ISSN" : "0146-1672", "PMID" : "16702153", "abstract" : "People frequently have to control their emotions to function in life. However, mounting evidence suggests that deliberate emotion regulation often is costly. This presents a dilemma: Is it better to let emotions go or to pay the price of exerting costly control? In two studies, the authors explore whether emotion regulatory processes associated with implicit positive evaluation of emotion regulation might provide the benefits of successful emotion regulation without the costs. In Study 1, the authors introduce a measure of implicit evaluation of emotion regulation (ER-IAT). Study 2 examined whether this measure is associated with actual emotional responses to an anger provocation. It was found that greater ER-IAT scores were associated with lesser anger experience, fewer negative thoughts, lessened self-reported effortful emotion regulation, and an adaptive pattern of cardiovascular responding. These findings suggest that implicit positive evaluation of emotion regulation is associated with successful, automatic, and physiologically adaptive down-regulation of anger.", "author" : [ { "dropping-particle" : "", "family" : "Mauss", "given" : "Iris B.", "non-dropping-particle" : "", "parse-names" : false, "suffix" : "" }, { "dropping-particle" : "", "family" : "Evers", "given" : "Catharine", "non-dropping-particle" : "", "parse-names" : false, "suffix" : "" }, { "dropping-particle" : "", "family" : "Wilhelm", "given" : "frank h.", "non-dropping-particle" : "", "parse-names" : false, "suffix" : "" }, { "dropping-particle" : "", "family" : "Gross", "given" : "James J.", "non-dropping-particle" : "", "parse-names" : false, "suffix" : "" } ], "container-title" : "Personality &amp; social psychology bulletin", "id" : "ITEM-2", "issue" : "5", "issued" : { "date-parts" : [ [ "2006" ] ] }, "page" : "589-602", "title" : "How to bite your tongue without blowing your top: implicit evaluation of emotion regulation predicts affective responding to anger provocation.", "type" : "article-journal", "volume" : "32" }, "uris" : [ "http://www.mendeley.com/documents/?uuid=4ee473a5-e87a-3da6-9bc4-76789298eae0" ] }, { "id" : "ITEM-3", "itemData" : { "DOI" : "10.1037/a0017745", "ISBN" : "1931-1516 (Electronic)\\n1528-3542 (Linking)", "ISSN" : "1528-3542", "PMID" : "20001127", "abstract" : "People often encounter difficulty when making conscious attempts to regulate their emotions. We propose that nonconscious self-regulatory processes may be of help in these difficult circumstances because nonconscious processes are not subject to the same set of limitations as are conscious processes. Two experiments examined the effects of nonconsciously operating goals on people\u2019s emotion regulatory success. In Experiment 1, participants engaged in an anxiety-eliciting task. Participants who had a reappraisal emotion control goal primed and operating nonconsciously achieved the same decrease in physiological reactivity as those explicitly instructed to reappraise. In Experiment 2, the effect of nonconscious reappraisal priming on physiological reactivity was shown to be most pronounced for those who do not habitually use reappraisal strategies. The findings highlight the potential importance of nonconscious goals for facilitating emotional control in complex real-world environments and have implications for contemporary models of emotion regulation. (PsycINFO Database Record (c) 2013 APA, all rights reserved). (journal abstract)", "author" : [ { "dropping-particle" : "", "family" : "Williams", "given" : "Lawrence E", "non-dropping-particle" : "", "parse-names" : false, "suffix" : "" }, { "dropping-particle" : "", "family" : "Bargh", "given" : "John A", "non-dropping-particle" : "", "parse-names" : false, "suffix" : "" }, { "dropping-particle" : "", "family" : "Nocera", "given" : "Christopher C", "non-dropping-particle" : "", "parse-names" : false, "suffix" : "" }, { "dropping-particle" : "", "family" : "Gray", "given" : "Jeremy R", "non-dropping-particle" : "", "parse-names" : false, "suffix" : "" } ], "container-title" : "Emotion", "id" : "ITEM-3", "issue" : "6", "issued" : { "date-parts" : [ [ "2009" ] ] }, "page" : "847-854", "title" : "The unconscious regulation of emotion: Nonconscious reappraisal goals modulate emotional reactivity.", "type" : "article-journal", "volume" : "9" }, "uris" : [ "http://www.mendeley.com/documents/?uuid=9e8eb5d9-0eec-37a9-9082-4a601649d12d" ] } ], "mendeley" : { "formattedCitation" : "(Gross &amp; John, 2003b; Mauss, Evers, Wilhelm, &amp; Gross, 2006; Williams et al., 2009)", "manualFormatting" : "Gross &amp; John, 2003; Mauss, Evers, Wilhelm, &amp; Gross, 2006; Williams et al., 2009)", "plainTextFormattedCitation" : "(Gross &amp; John, 2003b; Mauss, Evers, Wilhelm, &amp; Gross, 2006; Williams et al., 2009)", "previouslyFormattedCitation" : "(Gross &amp; John, 2003b; Mauss, Evers, Wilhelm, &amp; Gross, 2006; Williams et al., 2009)" }, "properties" : { "noteIndex" : 0 }, "schema" : "https://github.com/citation-style-language/schema/raw/master/csl-citation.json" }</w:instrText>
      </w:r>
      <w:r w:rsidR="00B06E70">
        <w:rPr>
          <w:rFonts w:cs="Times New Roman"/>
          <w:sz w:val="24"/>
          <w:szCs w:val="24"/>
        </w:rPr>
        <w:fldChar w:fldCharType="separate"/>
      </w:r>
      <w:r w:rsidR="00F758A0" w:rsidRPr="00F758A0">
        <w:rPr>
          <w:rFonts w:cs="Times New Roman"/>
          <w:noProof/>
          <w:sz w:val="24"/>
          <w:szCs w:val="24"/>
        </w:rPr>
        <w:t>Gross &amp; John, 2003; Mauss, Evers, Wilhelm, &amp; Gross, 2006; Williams et al., 2009)</w:t>
      </w:r>
      <w:r w:rsidR="00B06E70">
        <w:rPr>
          <w:rFonts w:cs="Times New Roman"/>
          <w:sz w:val="24"/>
          <w:szCs w:val="24"/>
        </w:rPr>
        <w:fldChar w:fldCharType="end"/>
      </w:r>
      <w:r w:rsidR="00FB1389" w:rsidRPr="00D05EBD">
        <w:rPr>
          <w:rFonts w:cs="Times New Roman"/>
          <w:sz w:val="24"/>
          <w:szCs w:val="24"/>
        </w:rPr>
        <w:t xml:space="preserve">. They provide a fast, economic and easy way to gather information about AER but they have some important limitations. </w:t>
      </w:r>
      <w:r w:rsidR="00FB1389" w:rsidRPr="00D05EBD">
        <w:rPr>
          <w:rFonts w:cs="Times New Roman"/>
          <w:sz w:val="24"/>
          <w:szCs w:val="24"/>
        </w:rPr>
        <w:lastRenderedPageBreak/>
        <w:t xml:space="preserve">One of them, is that they present the disadvantage that one can only infer AER to be happening or to have happened, as asking participants requires their awareness on the concept being explored. Also, the </w:t>
      </w:r>
      <w:proofErr w:type="spellStart"/>
      <w:r w:rsidR="00FB1389" w:rsidRPr="00D05EBD">
        <w:rPr>
          <w:rFonts w:cs="Times New Roman"/>
          <w:sz w:val="24"/>
          <w:szCs w:val="24"/>
        </w:rPr>
        <w:t>metacognitive</w:t>
      </w:r>
      <w:proofErr w:type="spellEnd"/>
      <w:r w:rsidR="00FB1389" w:rsidRPr="00D05EBD">
        <w:rPr>
          <w:rFonts w:cs="Times New Roman"/>
          <w:sz w:val="24"/>
          <w:szCs w:val="24"/>
        </w:rPr>
        <w:t xml:space="preserve"> nature of self-report </w:t>
      </w:r>
      <w:r w:rsidR="00BE29B8" w:rsidRPr="00D05EBD">
        <w:rPr>
          <w:rFonts w:cs="Times New Roman"/>
          <w:sz w:val="24"/>
          <w:szCs w:val="24"/>
        </w:rPr>
        <w:t>measure</w:t>
      </w:r>
      <w:r w:rsidR="00FB1389" w:rsidRPr="00D05EBD">
        <w:rPr>
          <w:rFonts w:cs="Times New Roman"/>
          <w:sz w:val="24"/>
          <w:szCs w:val="24"/>
        </w:rPr>
        <w:t>s implies that the person has good insight into their own thought processes, which may not always be true.  Furthermore, self-report measures are subject to social desirability, it is then possible that, when touching delicate topics, participants present themselves in a socially desirable manner</w:t>
      </w:r>
      <w:r w:rsidR="00F758A0">
        <w:rPr>
          <w:rFonts w:cs="Times New Roman"/>
          <w:sz w:val="24"/>
          <w:szCs w:val="24"/>
        </w:rPr>
        <w:t xml:space="preserve"> </w:t>
      </w:r>
      <w:r w:rsidR="00B06E70">
        <w:rPr>
          <w:rFonts w:cs="Times New Roman"/>
          <w:sz w:val="24"/>
          <w:szCs w:val="24"/>
        </w:rPr>
        <w:fldChar w:fldCharType="begin" w:fldLock="1"/>
      </w:r>
      <w:r w:rsidR="00F758A0">
        <w:rPr>
          <w:rFonts w:cs="Times New Roman"/>
          <w:sz w:val="24"/>
          <w:szCs w:val="24"/>
        </w:rPr>
        <w:instrText>ADDIN CSL_CITATION { "citationItems" : [ { "id" : "ITEM-1", "itemData" : { "DOI" : "10.1111/j.1467-8721.2007.00477.x", "ISBN" : "0963-7214", "ISSN" : "0963-7214", "PMID" : "24719563", "abstract" : "Mental process and mental experience are not the same thing.The former is the operation of the mind; the latter is the subjective life that emerges from that operation. In social evaluation, implicit and explicit attitudes express this distinction. Although it is clear that they are not the same, how they differ is not. Across content domains, implicit and explicit attitude measures show substantial variability in the strength of correspondence, ranging from near zero to strongly positive. Variation in controllability, intentionality, awareness, or efficiency is thought to differentiate implicit and explicit attitudes. Dual-process theories and empirical evidence for moderating influences of implicit\u2013explicit attitude relations provide aframework for comprehending relations between the operation and the experience of the mind.", "author" : [ { "dropping-particle" : "", "family" : "Nosek", "given" : "Brian a", "non-dropping-particle" : "", "parse-names" : false, "suffix" : "" } ], "container-title" : "Current Directions in Psychological Science", "id" : "ITEM-1", "issue" : "2", "issued" : { "date-parts" : [ [ "2007" ] ] }, "page" : "65-69", "title" : "Implicit \u2013 Explicit Relations", "type" : "article-journal", "volume" : "16" }, "uris" : [ "http://www.mendeley.com/documents/?uuid=af0f988e-d523-4d26-b974-1213a8bbfcbc" ] } ], "mendeley" : { "formattedCitation" : "(Nosek, 2007)", "plainTextFormattedCitation" : "(Nosek, 2007)", "previouslyFormattedCitation" : "(Nosek, 2007)" }, "properties" : { "noteIndex" : 0 }, "schema" : "https://github.com/citation-style-language/schema/raw/master/csl-citation.json" }</w:instrText>
      </w:r>
      <w:r w:rsidR="00B06E70">
        <w:rPr>
          <w:rFonts w:cs="Times New Roman"/>
          <w:sz w:val="24"/>
          <w:szCs w:val="24"/>
        </w:rPr>
        <w:fldChar w:fldCharType="separate"/>
      </w:r>
      <w:r w:rsidR="00F758A0" w:rsidRPr="00F758A0">
        <w:rPr>
          <w:rFonts w:cs="Times New Roman"/>
          <w:noProof/>
          <w:sz w:val="24"/>
          <w:szCs w:val="24"/>
        </w:rPr>
        <w:t>(Nosek, 2007)</w:t>
      </w:r>
      <w:r w:rsidR="00B06E70">
        <w:rPr>
          <w:rFonts w:cs="Times New Roman"/>
          <w:sz w:val="24"/>
          <w:szCs w:val="24"/>
        </w:rPr>
        <w:fldChar w:fldCharType="end"/>
      </w:r>
      <w:r w:rsidR="00F758A0">
        <w:rPr>
          <w:rFonts w:cs="Times New Roman"/>
          <w:sz w:val="24"/>
          <w:szCs w:val="24"/>
        </w:rPr>
        <w:t>.</w:t>
      </w:r>
      <w:r w:rsidR="00FB1389" w:rsidRPr="00D05EBD">
        <w:rPr>
          <w:rFonts w:cs="Times New Roman"/>
          <w:sz w:val="24"/>
          <w:szCs w:val="24"/>
        </w:rPr>
        <w:t xml:space="preserve"> Nevertheless, self-report measures are still one of the most widely used methods used in psychological research and an easy introductory way to start exploring a particular concept.</w:t>
      </w:r>
    </w:p>
    <w:p w:rsidR="00FB1389" w:rsidRPr="00E039D0" w:rsidRDefault="00FB1389" w:rsidP="00E039D0">
      <w:pPr>
        <w:spacing w:line="480" w:lineRule="auto"/>
        <w:ind w:firstLine="709"/>
        <w:jc w:val="both"/>
        <w:rPr>
          <w:rFonts w:cs="Times New Roman"/>
          <w:bCs/>
          <w:sz w:val="24"/>
          <w:szCs w:val="24"/>
        </w:rPr>
      </w:pPr>
      <w:r w:rsidRPr="00D05EBD">
        <w:rPr>
          <w:rFonts w:cs="Times New Roman"/>
          <w:sz w:val="24"/>
          <w:szCs w:val="24"/>
        </w:rPr>
        <w:t>Another methodological approach to study automaticity especially in social psychology is priming. Priming consists of</w:t>
      </w:r>
      <w:r w:rsidRPr="00D05EBD">
        <w:rPr>
          <w:sz w:val="24"/>
          <w:szCs w:val="24"/>
        </w:rPr>
        <w:t xml:space="preserve"> using environmental cues (e.g., words, images, sounds) to activate social knowledge structures (e.g., attitudes, beliefs, behaviours) incidentally or unobtrusively in an effort to influence a subsequent response without the person’s awareness of this influence</w:t>
      </w:r>
      <w:r w:rsidR="00F758A0">
        <w:rPr>
          <w:sz w:val="24"/>
          <w:szCs w:val="24"/>
        </w:rPr>
        <w:t xml:space="preserve"> </w:t>
      </w:r>
      <w:r w:rsidR="00B06E70">
        <w:rPr>
          <w:sz w:val="24"/>
          <w:szCs w:val="24"/>
        </w:rPr>
        <w:fldChar w:fldCharType="begin" w:fldLock="1"/>
      </w:r>
      <w:r w:rsidR="00E82714">
        <w:rPr>
          <w:sz w:val="24"/>
          <w:szCs w:val="24"/>
        </w:rPr>
        <w:instrText>ADDIN CSL_CITATION { "citationItems" : [ { "id" : "ITEM-1", "itemData" : { "DOI" : "10.1002/ejsp.336", "ISBN" : "1099-0992", "ISSN" : "00462772", "PMID" : "19844598", "abstract" : "Priming or nonconscious activation of social knowledge structures has produced a plethora of rather amazing findings over the past 25 years: priming a single social concept such as aggressive can have multiple effects across a wide array of psychological systems, such as perception, motivation, behavior, and evaluation. But we may have reached childhood's end, so to speak, and need now to move on to research questions such as how these multiple effects of single primes occur (the generation problem); next, how these multiple simultaneous priming influences in the environment get distilled into nonconscious social action that has to happen serially, in real time (the reduction problem). It is suggested that models of complex conceptual structures (Lakoff &amp; Johnson, 1980), language use in real-life conversational settings (Clark, 1996), and speech production (Dell, 1986) might hold the key for solving these two important 'second-generation' research problems.", "author" : [ { "dropping-particle" : "", "family" : "Bargh", "given" : "John A.", "non-dropping-particle" : "", "parse-names" : false, "suffix" : "" } ], "container-title" : "European Journal of Social Psychology", "id" : "ITEM-1", "issue" : "2", "issued" : { "date-parts" : [ [ "2006" ] ] }, "page" : "147-168", "title" : "What have we been priming all these years? on the development, mechanisms, and ecology of nonconscious social behavior", "type" : "article-journal", "volume" : "36" }, "uris" : [ "http://www.mendeley.com/documents/?uuid=71a29a00-d571-3ed8-b732-447f78adbe4e" ] } ], "mendeley" : { "formattedCitation" : "(J. A. Bargh, 2006)", "plainTextFormattedCitation" : "(J. A. Bargh, 2006)", "previouslyFormattedCitation" : "(J. A. Bargh, 2006)" }, "properties" : { "noteIndex" : 0 }, "schema" : "https://github.com/citation-style-language/schema/raw/master/csl-citation.json" }</w:instrText>
      </w:r>
      <w:r w:rsidR="00B06E70">
        <w:rPr>
          <w:sz w:val="24"/>
          <w:szCs w:val="24"/>
        </w:rPr>
        <w:fldChar w:fldCharType="separate"/>
      </w:r>
      <w:r w:rsidR="00E82714" w:rsidRPr="00E82714">
        <w:rPr>
          <w:noProof/>
          <w:sz w:val="24"/>
          <w:szCs w:val="24"/>
        </w:rPr>
        <w:t>(Bargh, 2006)</w:t>
      </w:r>
      <w:r w:rsidR="00B06E70">
        <w:rPr>
          <w:sz w:val="24"/>
          <w:szCs w:val="24"/>
        </w:rPr>
        <w:fldChar w:fldCharType="end"/>
      </w:r>
      <w:r w:rsidRPr="00D05EBD">
        <w:rPr>
          <w:sz w:val="24"/>
          <w:szCs w:val="24"/>
        </w:rPr>
        <w:t xml:space="preserve">. Priming can be explained through the ‘situated inference model’ </w:t>
      </w:r>
      <w:r w:rsidR="00B06E70">
        <w:rPr>
          <w:sz w:val="24"/>
          <w:szCs w:val="24"/>
        </w:rPr>
        <w:fldChar w:fldCharType="begin" w:fldLock="1"/>
      </w:r>
      <w:r w:rsidR="00F758A0">
        <w:rPr>
          <w:sz w:val="24"/>
          <w:szCs w:val="24"/>
        </w:rPr>
        <w:instrText>ADDIN CSL_CITATION { "citationItems" : [ { "id" : "ITEM-1", "itemData" : { "DOI" : "10.1177/1745691611406921", "ISBN" : "1745-6916\\n1745-6924", "ISSN" : "1745-6916", "PMID" : "26168515", "abstract" : "The downstream consequences of a priming induction range from changes in the perception of objects in the environment to the initiation of prime-related behavior and goal striving. Although each of these outcomes has been accounted for by separate mechanisms, we argue that a single process could produce all three priming effects. In this article, we introduce the situated infer- ence model of priming, discuss its potential to account for these divergent outcomes with one mechanism, and demonstrate its ability to organize the priming literatures surrounding these effects. According to the model, primes often do not cause direct effects, instead altering only the accessibility of prime-related mental content. This information produces downstream effects on judgment, behavior, or motivation when it is mistakenly viewed as originating from one\u2019s own internal thought processes. When this misattribution occurs, the prime-related mental content becomes a possible source of information for solving what- ever problems are afforded by the current situation. Because different situations afford very different questions and concerns, the inferred meaning of this prime-related content can vary greatly. The use of this information to answer qualitatively different ques- tions can lead a single prime to produce varied effects on judgment, behavior, and motivation.", "author" : [ { "dropping-particle" : "", "family" : "Loersch", "given" : "C.", "non-dropping-particle" : "", "parse-names" : false, "suffix" : "" }, { "dropping-particle" : "", "family" : "Payne", "given" : "B. K.", "non-dropping-particle" : "", "parse-names" : false, "suffix" : "" } ], "container-title" : "Perspectives on Psychological Science", "id" : "ITEM-1", "issue" : "3", "issued" : { "date-parts" : [ [ "2011" ] ] }, "page" : "234-252", "title" : "The Situated Inference Model: An Integrative Account of the Effects of Primes on Perception, Behavior, and Motivation", "type" : "article-journal", "volume" : "6" }, "uris" : [ "http://www.mendeley.com/documents/?uuid=60c24d47-1283-3af2-898a-7aa5e9c8437b" ] } ], "mendeley" : { "formattedCitation" : "(Loersch &amp; Payne, 2011)", "plainTextFormattedCitation" : "(Loersch &amp; Payne, 2011)", "previouslyFormattedCitation" : "(Loersch &amp; Payne, 2011)" }, "properties" : { "noteIndex" : 0 }, "schema" : "https://github.com/citation-style-language/schema/raw/master/csl-citation.json" }</w:instrText>
      </w:r>
      <w:r w:rsidR="00B06E70">
        <w:rPr>
          <w:sz w:val="24"/>
          <w:szCs w:val="24"/>
        </w:rPr>
        <w:fldChar w:fldCharType="separate"/>
      </w:r>
      <w:r w:rsidR="00F758A0" w:rsidRPr="00F758A0">
        <w:rPr>
          <w:noProof/>
          <w:sz w:val="24"/>
          <w:szCs w:val="24"/>
        </w:rPr>
        <w:t>(Loersch &amp; Payne, 2011)</w:t>
      </w:r>
      <w:r w:rsidR="00B06E70">
        <w:rPr>
          <w:sz w:val="24"/>
          <w:szCs w:val="24"/>
        </w:rPr>
        <w:fldChar w:fldCharType="end"/>
      </w:r>
      <w:r w:rsidR="00F758A0">
        <w:rPr>
          <w:sz w:val="24"/>
          <w:szCs w:val="24"/>
        </w:rPr>
        <w:t>,</w:t>
      </w:r>
      <w:r w:rsidRPr="00D05EBD">
        <w:rPr>
          <w:sz w:val="24"/>
          <w:szCs w:val="24"/>
        </w:rPr>
        <w:t xml:space="preserve"> which basically has three steps</w:t>
      </w:r>
      <w:r w:rsidRPr="00D05EBD">
        <w:rPr>
          <w:rFonts w:cs="Times New Roman"/>
          <w:bCs/>
          <w:sz w:val="24"/>
          <w:szCs w:val="24"/>
        </w:rPr>
        <w:t>. In the first step a priming stimulus makes some kind of information ready to be used. On a second step this is information is mistakenly attributed to one’s internal thoughts processes. Finally, on a third step something in the environment provides this misattributed information with an opportunity to become salient.  For example,</w:t>
      </w:r>
      <w:r w:rsidR="00F758A0">
        <w:rPr>
          <w:rFonts w:cs="Times New Roman"/>
          <w:bCs/>
          <w:sz w:val="24"/>
          <w:szCs w:val="24"/>
        </w:rPr>
        <w:t xml:space="preserve"> </w:t>
      </w:r>
      <w:r w:rsidR="00B06E70">
        <w:rPr>
          <w:rFonts w:cs="Times New Roman"/>
          <w:bCs/>
          <w:sz w:val="24"/>
          <w:szCs w:val="24"/>
        </w:rPr>
        <w:fldChar w:fldCharType="begin" w:fldLock="1"/>
      </w:r>
      <w:r w:rsidR="002C1624">
        <w:rPr>
          <w:rFonts w:cs="Times New Roman"/>
          <w:bCs/>
          <w:sz w:val="24"/>
          <w:szCs w:val="24"/>
        </w:rPr>
        <w:instrText>ADDIN CSL_CITATION { "citationItems" : [ { "id" : "ITEM-1", "itemData" : { "DOI" : "10.1016/j.jesp.2006.07.003", "ISBN" : "0022-1031", "ISSN" : "00221031", "PMID" : "17425532", "abstract" : "Individuals frequently have to regulate their emotions, especially negative ones, to function successfully. However, deliberate emotion regulation can have significant costs for the individual. Are there less costly ways to achieve emotion regulatory goals? In two studies, we test the hypothesis that more automatic types of emotion regulation might provide the benefits of deliberate emotion regulation without the costs. Study 1 introduces a priming technique that manipulates automatic emotion regulation. Using this priming technique, we show that relative to priming emotion expression, priming emotion control leads to less anger experience in response to a laboratory anger provocation. Study 2 examines the experiential and physiological consequences of automatic emotion regulation. Results suggest that relative to priming emotion expression, priming emotion control reduces negative emotion experience without maladaptive cardiovascular responding. Together, these findings suggest that automatic emotion regulation may provide an effective means of controlling powerful negative emotions. ?? 2006 Elsevier Inc. All rights reserved.", "author" : [ { "dropping-particle" : "", "family" : "Mauss", "given" : "Iris B.", "non-dropping-particle" : "", "parse-names" : false, "suffix" : "" }, { "dropping-particle" : "", "family" : "Cook", "given" : "Crystal L.", "non-dropping-particle" : "", "parse-names" : false, "suffix" : "" }, { "dropping-particle" : "", "family" : "Gross", "given" : "James J.", "non-dropping-particle" : "", "parse-names" : false, "suffix" : "" } ], "container-title" : "Journal of Experimental Social Psychology", "id" : "ITEM-1", "issue" : "5", "issued" : { "date-parts" : [ [ "2007" ] ] }, "page" : "698-711", "title" : "Automatic emotion regulation during anger provocation", "type" : "article-journal", "volume" : "43" }, "uris" : [ "http://www.mendeley.com/documents/?uuid=051a8d13-f0fd-3ac8-a6bd-b418df76731f" ] } ], "mendeley" : { "formattedCitation" : "(Mauss, Cook, et al., 2007)", "manualFormatting" : "Mauss, et al. (2007", "plainTextFormattedCitation" : "(Mauss, Cook, et al., 2007)", "previouslyFormattedCitation" : "(Mauss, Cook, et al., 2007)" }, "properties" : { "noteIndex" : 0 }, "schema" : "https://github.com/citation-style-language/schema/raw/master/csl-citation.json" }</w:instrText>
      </w:r>
      <w:r w:rsidR="00B06E70">
        <w:rPr>
          <w:rFonts w:cs="Times New Roman"/>
          <w:bCs/>
          <w:sz w:val="24"/>
          <w:szCs w:val="24"/>
        </w:rPr>
        <w:fldChar w:fldCharType="separate"/>
      </w:r>
      <w:r w:rsidR="002C1624">
        <w:rPr>
          <w:rFonts w:cs="Times New Roman"/>
          <w:bCs/>
          <w:noProof/>
          <w:sz w:val="24"/>
          <w:szCs w:val="24"/>
        </w:rPr>
        <w:t>Mauss</w:t>
      </w:r>
      <w:r w:rsidR="002341D1">
        <w:rPr>
          <w:rFonts w:cs="Times New Roman"/>
          <w:bCs/>
          <w:noProof/>
          <w:sz w:val="24"/>
          <w:szCs w:val="24"/>
        </w:rPr>
        <w:t>, et al.</w:t>
      </w:r>
      <w:r w:rsidR="00F758A0" w:rsidRPr="00F758A0">
        <w:rPr>
          <w:rFonts w:cs="Times New Roman"/>
          <w:bCs/>
          <w:noProof/>
          <w:sz w:val="24"/>
          <w:szCs w:val="24"/>
        </w:rPr>
        <w:t xml:space="preserve"> </w:t>
      </w:r>
      <w:r w:rsidR="002341D1">
        <w:rPr>
          <w:rFonts w:cs="Times New Roman"/>
          <w:bCs/>
          <w:noProof/>
          <w:sz w:val="24"/>
          <w:szCs w:val="24"/>
        </w:rPr>
        <w:t>(</w:t>
      </w:r>
      <w:r w:rsidR="00F758A0" w:rsidRPr="00F758A0">
        <w:rPr>
          <w:rFonts w:cs="Times New Roman"/>
          <w:bCs/>
          <w:noProof/>
          <w:sz w:val="24"/>
          <w:szCs w:val="24"/>
        </w:rPr>
        <w:t>2007</w:t>
      </w:r>
      <w:r w:rsidR="00B06E70">
        <w:rPr>
          <w:rFonts w:cs="Times New Roman"/>
          <w:bCs/>
          <w:sz w:val="24"/>
          <w:szCs w:val="24"/>
        </w:rPr>
        <w:fldChar w:fldCharType="end"/>
      </w:r>
      <w:r w:rsidR="002341D1">
        <w:rPr>
          <w:rFonts w:cs="Times New Roman"/>
          <w:bCs/>
          <w:sz w:val="24"/>
          <w:szCs w:val="24"/>
        </w:rPr>
        <w:t>,</w:t>
      </w:r>
      <w:r w:rsidRPr="00D05EBD">
        <w:rPr>
          <w:rFonts w:cs="Times New Roman"/>
          <w:bCs/>
          <w:sz w:val="24"/>
          <w:szCs w:val="24"/>
        </w:rPr>
        <w:t xml:space="preserve"> Study 1) used priming to explore the benefits of regulating one’s anger automatically. As a first step they used the Scrambled Sentence Task </w:t>
      </w:r>
      <w:r w:rsidR="00B06E70">
        <w:rPr>
          <w:rFonts w:cs="Times New Roman"/>
          <w:bCs/>
          <w:sz w:val="24"/>
          <w:szCs w:val="24"/>
        </w:rPr>
        <w:fldChar w:fldCharType="begin" w:fldLock="1"/>
      </w:r>
      <w:r w:rsidR="002C1624">
        <w:rPr>
          <w:rFonts w:cs="Times New Roman"/>
          <w:bCs/>
          <w:sz w:val="24"/>
          <w:szCs w:val="24"/>
        </w:rPr>
        <w:instrText>ADDIN CSL_CITATION { "citationItems" : [ { "id" : "ITEM-1", "itemData" : { "DOI" : "10.1037/0022-3514.37.10.1660", "ISBN" : "0022-3514\\r1939-1315", "ISSN" : "0022-3514", "PMID" : "20090831", "abstract" : "Many personality trait terms can be thought of as summary labels for broad conceptual categories that are used to encode information about an individual's behavior into memory. The likelihood that a behavior is encoded in terms of a particular trait category is postulated to be a function of the relative accessibility of that category in memory. In addition, the trait category used to encode a particular behavior is thought to affect subsequent judgments of the person along dimensions to which it is directly or indirectly related. To test these hypotheses, undergraduates first performed a sentence construction task that activated concepts associated with either hostility (Experiment I) or kindness (Experiment II). As part of an ostensibly unrelated impression formation experiment, subjects later read a description of behaviors that were ambiguous with respect to hostility (kindness) and then rated the target person along a variety of trait dimensions. Ratings of the target along these dimensions increased with the number of times that the test concept had previously been activated in the sentence construction task and decreased with the time interval between these prior activations and presentation of the stimulus information to be encoded. Results suggest that category accessibility is a major determinant of the way in which social information is encoded into memory and subsequently used to make judgments.", "author" : [ { "dropping-particle" : "", "family" : "Srull", "given" : "Thomas K", "non-dropping-particle" : "", "parse-names" : false, "suffix" : "" }, { "dropping-particle" : "", "family" : "Wyer", "given" : "Robert S", "non-dropping-particle" : "", "parse-names" : false, "suffix" : "" } ], "container-title" : "Journal of Personality and Social Psychology", "id" : "ITEM-1", "issue" : "10", "issued" : { "date-parts" : [ [ "1979" ] ] }, "page" : "1660-1672", "title" : "The role of category accessibility in the interpretation of information about persons: Some determinants and implications", "type" : "article-journal", "volume" : "37" }, "uris" : [ "http://www.mendeley.com/documents/?uuid=a6048372-7f81-3ed1-8429-c65f7804111a" ] } ], "mendeley" : { "formattedCitation" : "(Srull &amp; Wyer, 1979)", "plainTextFormattedCitation" : "(Srull &amp; Wyer, 1979)", "previouslyFormattedCitation" : "(Srull &amp; Wyer, 1979)" }, "properties" : { "noteIndex" : 0 }, "schema" : "https://github.com/citation-style-language/schema/raw/master/csl-citation.json" }</w:instrText>
      </w:r>
      <w:r w:rsidR="00B06E70">
        <w:rPr>
          <w:rFonts w:cs="Times New Roman"/>
          <w:bCs/>
          <w:sz w:val="24"/>
          <w:szCs w:val="24"/>
        </w:rPr>
        <w:fldChar w:fldCharType="separate"/>
      </w:r>
      <w:r w:rsidR="002C1624" w:rsidRPr="002C1624">
        <w:rPr>
          <w:rFonts w:cs="Times New Roman"/>
          <w:bCs/>
          <w:noProof/>
          <w:sz w:val="24"/>
          <w:szCs w:val="24"/>
        </w:rPr>
        <w:t>(Srull &amp; Wyer, 1979)</w:t>
      </w:r>
      <w:r w:rsidR="00B06E70">
        <w:rPr>
          <w:rFonts w:cs="Times New Roman"/>
          <w:bCs/>
          <w:sz w:val="24"/>
          <w:szCs w:val="24"/>
        </w:rPr>
        <w:fldChar w:fldCharType="end"/>
      </w:r>
      <w:r w:rsidRPr="00D05EBD">
        <w:rPr>
          <w:rFonts w:cs="Times New Roman"/>
          <w:bCs/>
          <w:sz w:val="24"/>
          <w:szCs w:val="24"/>
        </w:rPr>
        <w:t xml:space="preserve"> to activate the goal of expressing or controlling one’s emotions. One half of participants had to build coherent sentences from a set of 42 jumbled sentences, in </w:t>
      </w:r>
      <w:r w:rsidRPr="00D05EBD">
        <w:rPr>
          <w:rFonts w:cs="Times New Roman"/>
          <w:bCs/>
          <w:sz w:val="24"/>
          <w:szCs w:val="24"/>
        </w:rPr>
        <w:lastRenderedPageBreak/>
        <w:t xml:space="preserve">which 19 contained the ‘emotion control’ </w:t>
      </w:r>
      <w:r w:rsidR="00E039D0">
        <w:rPr>
          <w:rFonts w:cs="Times New Roman"/>
          <w:bCs/>
          <w:sz w:val="24"/>
          <w:szCs w:val="24"/>
        </w:rPr>
        <w:t xml:space="preserve">prime, by including words like </w:t>
      </w:r>
      <w:r w:rsidRPr="00E039D0">
        <w:rPr>
          <w:rFonts w:cs="Times New Roman"/>
          <w:bCs/>
          <w:i/>
          <w:sz w:val="24"/>
          <w:szCs w:val="24"/>
        </w:rPr>
        <w:t>restrains</w:t>
      </w:r>
      <w:r w:rsidRPr="00D05EBD">
        <w:rPr>
          <w:rFonts w:cs="Times New Roman"/>
          <w:bCs/>
          <w:sz w:val="24"/>
          <w:szCs w:val="24"/>
        </w:rPr>
        <w:t>,</w:t>
      </w:r>
      <w:r w:rsidR="00E039D0">
        <w:rPr>
          <w:rFonts w:cs="Times New Roman"/>
          <w:bCs/>
          <w:sz w:val="24"/>
          <w:szCs w:val="24"/>
        </w:rPr>
        <w:t xml:space="preserve"> </w:t>
      </w:r>
      <w:r w:rsidRPr="00E039D0">
        <w:rPr>
          <w:rFonts w:cs="Times New Roman"/>
          <w:bCs/>
          <w:i/>
          <w:sz w:val="24"/>
          <w:szCs w:val="24"/>
        </w:rPr>
        <w:t>stable</w:t>
      </w:r>
      <w:r w:rsidR="00E039D0">
        <w:rPr>
          <w:rFonts w:cs="Times New Roman"/>
          <w:bCs/>
          <w:sz w:val="24"/>
          <w:szCs w:val="24"/>
        </w:rPr>
        <w:t xml:space="preserve">, </w:t>
      </w:r>
      <w:r w:rsidRPr="00E039D0">
        <w:rPr>
          <w:rFonts w:cs="Times New Roman"/>
          <w:bCs/>
          <w:i/>
          <w:sz w:val="24"/>
          <w:szCs w:val="24"/>
        </w:rPr>
        <w:t>covere</w:t>
      </w:r>
      <w:r w:rsidR="00E039D0">
        <w:rPr>
          <w:rFonts w:cs="Times New Roman"/>
          <w:bCs/>
          <w:i/>
          <w:sz w:val="24"/>
          <w:szCs w:val="24"/>
        </w:rPr>
        <w:t>d</w:t>
      </w:r>
      <w:r w:rsidRPr="00D05EBD">
        <w:rPr>
          <w:rFonts w:cs="Times New Roman"/>
          <w:bCs/>
          <w:sz w:val="24"/>
          <w:szCs w:val="24"/>
        </w:rPr>
        <w:t>. The other half of participants unscrambled sentences related to ‘emotion expression</w:t>
      </w:r>
      <w:r w:rsidR="00E039D0">
        <w:rPr>
          <w:rFonts w:cs="Times New Roman"/>
          <w:bCs/>
          <w:sz w:val="24"/>
          <w:szCs w:val="24"/>
        </w:rPr>
        <w:t xml:space="preserve">’ which included words such as </w:t>
      </w:r>
      <w:r w:rsidRPr="00E039D0">
        <w:rPr>
          <w:rFonts w:cs="Times New Roman"/>
          <w:bCs/>
          <w:i/>
          <w:sz w:val="24"/>
          <w:szCs w:val="24"/>
        </w:rPr>
        <w:t>impulsive</w:t>
      </w:r>
      <w:r w:rsidR="00E039D0">
        <w:rPr>
          <w:rFonts w:cs="Times New Roman"/>
          <w:bCs/>
          <w:sz w:val="24"/>
          <w:szCs w:val="24"/>
        </w:rPr>
        <w:t xml:space="preserve">, </w:t>
      </w:r>
      <w:r w:rsidRPr="00E039D0">
        <w:rPr>
          <w:rFonts w:cs="Times New Roman"/>
          <w:bCs/>
          <w:i/>
          <w:sz w:val="24"/>
          <w:szCs w:val="24"/>
        </w:rPr>
        <w:t>volatile</w:t>
      </w:r>
      <w:r w:rsidR="00E039D0">
        <w:rPr>
          <w:rFonts w:cs="Times New Roman"/>
          <w:bCs/>
          <w:sz w:val="24"/>
          <w:szCs w:val="24"/>
        </w:rPr>
        <w:t xml:space="preserve"> and </w:t>
      </w:r>
      <w:r w:rsidRPr="00E039D0">
        <w:rPr>
          <w:rFonts w:cs="Times New Roman"/>
          <w:bCs/>
          <w:i/>
          <w:sz w:val="24"/>
          <w:szCs w:val="24"/>
        </w:rPr>
        <w:t>boiled</w:t>
      </w:r>
      <w:r w:rsidRPr="00D05EBD">
        <w:rPr>
          <w:rFonts w:cs="Times New Roman"/>
          <w:bCs/>
          <w:sz w:val="24"/>
          <w:szCs w:val="24"/>
        </w:rPr>
        <w:t xml:space="preserve">. Once the ‘emotion control’ and ‘emotion expression’ primes were activated, as a second step, this information should have been interpreted by the participant as something ingrained in them, and not attributed to the task (the SST) they had just solved (this interpretation occurs without the person’s awareness). As a third step, </w:t>
      </w:r>
      <w:proofErr w:type="spellStart"/>
      <w:r w:rsidRPr="00D05EBD">
        <w:rPr>
          <w:rFonts w:cs="Times New Roman"/>
          <w:bCs/>
          <w:sz w:val="24"/>
          <w:szCs w:val="24"/>
        </w:rPr>
        <w:t>Mauss</w:t>
      </w:r>
      <w:proofErr w:type="spellEnd"/>
      <w:r w:rsidRPr="00D05EBD">
        <w:rPr>
          <w:rFonts w:cs="Times New Roman"/>
          <w:bCs/>
          <w:sz w:val="24"/>
          <w:szCs w:val="24"/>
        </w:rPr>
        <w:t xml:space="preserve"> and colleagues provided the appropriate environment to see the effect of the prime on the participants behaviour: they asked participants to quickly count letters on a blurry copy while at the same time the experimenter interrupted them with negative feedback about their performance. Later, participants answered an anger experience questionnaire. The researchers found that participants primed with ‘emotion control’ reported less anger than participants primed with ‘emotion expression’. Thus, the effect of the prime became salient on the third stage of this study.  </w:t>
      </w:r>
      <w:proofErr w:type="spellStart"/>
      <w:r w:rsidRPr="00D05EBD">
        <w:rPr>
          <w:sz w:val="24"/>
          <w:szCs w:val="24"/>
        </w:rPr>
        <w:t>Mauss</w:t>
      </w:r>
      <w:proofErr w:type="spellEnd"/>
      <w:r w:rsidRPr="00D05EBD">
        <w:rPr>
          <w:sz w:val="24"/>
          <w:szCs w:val="24"/>
        </w:rPr>
        <w:t xml:space="preserve"> et al. research</w:t>
      </w:r>
      <w:r w:rsidRPr="00D05EBD">
        <w:rPr>
          <w:rFonts w:cs="Times New Roman"/>
          <w:sz w:val="24"/>
          <w:szCs w:val="24"/>
        </w:rPr>
        <w:t xml:space="preserve"> illustrates the suitability of priming techniques to study AIER, as they work in harmony with</w:t>
      </w:r>
      <w:r w:rsidR="002C1624">
        <w:rPr>
          <w:rFonts w:cs="Times New Roman"/>
          <w:sz w:val="24"/>
          <w:szCs w:val="24"/>
        </w:rPr>
        <w:t xml:space="preserve"> </w:t>
      </w:r>
      <w:r w:rsidR="00B06E70">
        <w:rPr>
          <w:rFonts w:cs="Times New Roman"/>
          <w:sz w:val="24"/>
          <w:szCs w:val="24"/>
        </w:rPr>
        <w:fldChar w:fldCharType="begin" w:fldLock="1"/>
      </w:r>
      <w:r w:rsidR="00242A0C">
        <w:rPr>
          <w:rFonts w:cs="Times New Roman"/>
          <w:sz w:val="24"/>
          <w:szCs w:val="24"/>
        </w:rPr>
        <w:instrText>ADDIN CSL_CITATION { "citationItems" : [ { "id" : "ITEM-1", "itemData" : { "author" : [ { "dropping-particle" : "", "family" : "Bargh", "given" : "John A.", "non-dropping-particle" : "", "parse-names" : false, "suffix" : "" } ], "chapter-number" : "1", "container-title" : "Handbook of Social Cognition:", "editor" : [ { "dropping-particle" : "", "family" : "Wyer, Robert S.", "given" : "Jr", "non-dropping-particle" : "", "parse-names" : false, "suffix" : "" }, { "dropping-particle" : "", "family" : "Srull", "given" : "Thomas K", "non-dropping-particle" : "", "parse-names" : false, "suffix" : "" } ], "id" : "ITEM-1", "issued" : { "date-parts" : [ [ "1994" ] ] }, "page" : "1-40", "publisher" : "Lawrence Erlbaum Associates", "publisher-place" : "Hillsdale,NJ, US", "title" : "The four horsemen of automaticity: Awareness, intention, efficiency, and control in social cognition", "type" : "chapter" }, "uris" : [ "http://www.mendeley.com/documents/?uuid=35fd2c30-517b-3ec6-9ecc-41a72bd35578" ] } ], "mendeley" : { "formattedCitation" : "(J. A. Bargh, 1994)", "manualFormatting" : "Bargh's (1994)", "plainTextFormattedCitation" : "(J. A. Bargh, 1994)", "previouslyFormattedCitation" : "(J. A. Bargh, 1994)" }, "properties" : { "noteIndex" : 0 }, "schema" : "https://github.com/citation-style-language/schema/raw/master/csl-citation.json" }</w:instrText>
      </w:r>
      <w:r w:rsidR="00B06E70">
        <w:rPr>
          <w:rFonts w:cs="Times New Roman"/>
          <w:sz w:val="24"/>
          <w:szCs w:val="24"/>
        </w:rPr>
        <w:fldChar w:fldCharType="separate"/>
      </w:r>
      <w:r w:rsidR="002C1624">
        <w:rPr>
          <w:rFonts w:cs="Times New Roman"/>
          <w:noProof/>
          <w:sz w:val="24"/>
          <w:szCs w:val="24"/>
        </w:rPr>
        <w:t>Bargh's</w:t>
      </w:r>
      <w:r w:rsidR="002C1624" w:rsidRPr="002C1624">
        <w:rPr>
          <w:rFonts w:cs="Times New Roman"/>
          <w:noProof/>
          <w:sz w:val="24"/>
          <w:szCs w:val="24"/>
        </w:rPr>
        <w:t xml:space="preserve"> </w:t>
      </w:r>
      <w:r w:rsidR="002C1624">
        <w:rPr>
          <w:rFonts w:cs="Times New Roman"/>
          <w:noProof/>
          <w:sz w:val="24"/>
          <w:szCs w:val="24"/>
        </w:rPr>
        <w:t>(</w:t>
      </w:r>
      <w:r w:rsidR="002C1624" w:rsidRPr="002C1624">
        <w:rPr>
          <w:rFonts w:cs="Times New Roman"/>
          <w:noProof/>
          <w:sz w:val="24"/>
          <w:szCs w:val="24"/>
        </w:rPr>
        <w:t>1994)</w:t>
      </w:r>
      <w:r w:rsidR="00B06E70">
        <w:rPr>
          <w:rFonts w:cs="Times New Roman"/>
          <w:sz w:val="24"/>
          <w:szCs w:val="24"/>
        </w:rPr>
        <w:fldChar w:fldCharType="end"/>
      </w:r>
      <w:r w:rsidRPr="00D05EBD">
        <w:rPr>
          <w:rFonts w:cs="Times New Roman"/>
          <w:sz w:val="24"/>
          <w:szCs w:val="24"/>
        </w:rPr>
        <w:t xml:space="preserve"> features of automatic processes (little or no awareness, intention, effort, and/or control).</w:t>
      </w:r>
      <w:r w:rsidRPr="00973AEB">
        <w:rPr>
          <w:rStyle w:val="Refdenotaalpie"/>
        </w:rPr>
        <w:footnoteReference w:id="7"/>
      </w:r>
    </w:p>
    <w:p w:rsidR="00D04317" w:rsidRPr="00012752" w:rsidRDefault="00370136" w:rsidP="00012752">
      <w:pPr>
        <w:spacing w:line="480" w:lineRule="auto"/>
        <w:ind w:firstLine="709"/>
        <w:jc w:val="both"/>
        <w:rPr>
          <w:rFonts w:cs="Times New Roman"/>
          <w:sz w:val="24"/>
          <w:szCs w:val="24"/>
        </w:rPr>
      </w:pPr>
      <w:r>
        <w:rPr>
          <w:rFonts w:cs="Times New Roman"/>
          <w:sz w:val="24"/>
          <w:szCs w:val="24"/>
        </w:rPr>
        <w:t>Ano</w:t>
      </w:r>
      <w:r w:rsidR="00890A9E">
        <w:rPr>
          <w:rFonts w:cs="Times New Roman"/>
          <w:sz w:val="24"/>
          <w:szCs w:val="24"/>
        </w:rPr>
        <w:t xml:space="preserve">ther form of studying automatic processes is to create a situation in which automaticity is likely to happen. </w:t>
      </w:r>
      <w:r w:rsidR="009B1DAB">
        <w:rPr>
          <w:rFonts w:cs="Times New Roman"/>
          <w:sz w:val="24"/>
          <w:szCs w:val="24"/>
        </w:rPr>
        <w:t xml:space="preserve">Research has shown that when people are under cognitive load </w:t>
      </w:r>
      <w:r w:rsidR="00B06E70">
        <w:rPr>
          <w:rFonts w:cs="Times New Roman"/>
          <w:sz w:val="24"/>
          <w:szCs w:val="24"/>
        </w:rPr>
        <w:fldChar w:fldCharType="begin" w:fldLock="1"/>
      </w:r>
      <w:r w:rsidR="00FB4774">
        <w:rPr>
          <w:rFonts w:cs="Times New Roman"/>
          <w:sz w:val="24"/>
          <w:szCs w:val="24"/>
        </w:rPr>
        <w:instrText>ADDIN CSL_CITATION { "citationItems" : [ { "id" : "ITEM-1", "itemData" : { "DOI" : "10.1037/a0019486", "ISBN" : "0033-2909\\r1939-1455", "ISSN" : "0033-2909", "PMID" : "20565167", "abstract" : "According to the strength model, self-control is a finite resource that determines capacity for effortful control over dominant responses and, once expended, leads to impaired self-control task performance, known as ego depletion. A meta-analysis of 83 studies tested the effect of ego depletion on task performance and related outcomes, alternative explanations and moderators of the effect, and additional strength model hypotheses. Results revealed a significant effect of ego depletion on self-control task performance. Significant effect sizes were found for ego depletion on effort, perceived difficulty, negative affect, subjective fatigue, and blood glucose levels. Small, nonsignificant effects were found for positive affect and self-efficacy. Moderator analyses indicated minimal variation in the effect across sphere of depleting and dependent task, frequently used depleting and dependent tasks, presentation of tasks as single or separate experiments, type of dependent measure and control condition task, and source laboratory. The effect size was moderated by depleting task duration, task presentation by the same or different experimenters, intertask interim period, dependent task complexity, and use of dependent tasks in the choice and volition and cognitive spheres. Motivational incentives, training on self-control tasks, and glucose supplementation promoted better self-control in ego-depleted samples. Expecting further acts of self-control exacerbated the effect. Findings provide preliminary support for the ego-depletion effect and strength model hypotheses. Support for motivation and fatigue as alternative explanations for ego depletion indicate a need to integrate the strength model with other theories. Findings provide impetus for future investigation testing additional hypotheses and mechanisms of the ego-depletion effect.", "author" : [ { "dropping-particle" : "", "family" : "Hagger", "given" : "Martin S", "non-dropping-particle" : "", "parse-names" : false, "suffix" : "" }, { "dropping-particle" : "", "family" : "Wood", "given" : "Chantelle", "non-dropping-particle" : "", "parse-names" : false, "suffix" : "" }, { "dropping-particle" : "", "family" : "Stiff", "given" : "Chris", "non-dropping-particle" : "", "parse-names" : false, "suffix" : "" }, { "dropping-particle" : "", "family" : "Chatzisarantis", "given" : "Nikos L D", "non-dropping-particle" : "", "parse-names" : false, "suffix" : "" } ], "container-title" : "Psychological bulletin", "id" : "ITEM-1", "issue" : "4", "issued" : { "date-parts" : [ [ "2010" ] ] }, "page" : "495-525", "title" : "Ego depletion and the strength model of self-control: a meta-analysis.", "type" : "article-journal", "volume" : "136" }, "uris" : [ "http://www.mendeley.com/documents/?uuid=e3caf5e6-4d25-30b4-8d05-82b39ff0f4af" ] } ], "mendeley" : { "formattedCitation" : "(Hagger, Wood, Stiff, &amp; Chatzisarantis, 2010)", "plainTextFormattedCitation" : "(Hagger, Wood, Stiff, &amp; Chatzisarantis, 2010)", "previouslyFormattedCitation" : "(Hagger, Wood, Stiff, &amp; Chatzisarantis, 2010)" }, "properties" : { "noteIndex" : 0 }, "schema" : "https://github.com/citation-style-language/schema/raw/master/csl-citation.json" }</w:instrText>
      </w:r>
      <w:r w:rsidR="00B06E70">
        <w:rPr>
          <w:rFonts w:cs="Times New Roman"/>
          <w:sz w:val="24"/>
          <w:szCs w:val="24"/>
        </w:rPr>
        <w:fldChar w:fldCharType="separate"/>
      </w:r>
      <w:r w:rsidR="00FB4774" w:rsidRPr="00FB4774">
        <w:rPr>
          <w:rFonts w:cs="Times New Roman"/>
          <w:noProof/>
          <w:sz w:val="24"/>
          <w:szCs w:val="24"/>
        </w:rPr>
        <w:t>(Hagger, Wood, Stiff, &amp; Chatzisarantis, 2010)</w:t>
      </w:r>
      <w:r w:rsidR="00B06E70">
        <w:rPr>
          <w:rFonts w:cs="Times New Roman"/>
          <w:sz w:val="24"/>
          <w:szCs w:val="24"/>
        </w:rPr>
        <w:fldChar w:fldCharType="end"/>
      </w:r>
      <w:r w:rsidR="00D77964">
        <w:rPr>
          <w:sz w:val="24"/>
          <w:szCs w:val="24"/>
        </w:rPr>
        <w:t xml:space="preserve"> </w:t>
      </w:r>
      <w:r w:rsidR="0048079B">
        <w:rPr>
          <w:rFonts w:cs="Times New Roman"/>
          <w:sz w:val="24"/>
          <w:szCs w:val="24"/>
        </w:rPr>
        <w:t>and when they are depleted of their self-control resources</w:t>
      </w:r>
      <w:r w:rsidR="00FB4774">
        <w:rPr>
          <w:rFonts w:cs="Times New Roman"/>
          <w:sz w:val="24"/>
          <w:szCs w:val="24"/>
        </w:rPr>
        <w:t xml:space="preserve"> </w:t>
      </w:r>
      <w:r w:rsidR="00B06E70">
        <w:rPr>
          <w:rFonts w:cs="Times New Roman"/>
          <w:sz w:val="24"/>
          <w:szCs w:val="24"/>
        </w:rPr>
        <w:fldChar w:fldCharType="begin" w:fldLock="1"/>
      </w:r>
      <w:r w:rsidR="00644C99">
        <w:rPr>
          <w:rFonts w:cs="Times New Roman"/>
          <w:sz w:val="24"/>
          <w:szCs w:val="24"/>
        </w:rPr>
        <w:instrText>ADDIN CSL_CITATION { "citationItems" : [ { "id" : "ITEM-1", "itemData" : { "DOI" : "10.1111/j.1745-6924.2009.01116.x", "PMID" : "26158943", "abstract" : "Though human beings embody a unique ability for planned behavior, they also often act impulsively. This insight may be important for the study of self-control situations in which people are torn between their long-term goals to restrain behavior and their immediate impulses that promise hedonic fulfillment. In the present article, we outline a dual-systems perspective of impulse and self-control and suggest a framework for the prediction of self-control outcomes. This framework combines three elements that, considered jointly, may enable a more precise prediction of self-control outcomes than they do when studied in isolation: impulsive precursors of behavior, reflective precursors, and situational or dispositional boundary conditions. The theoretical and practical utility of such an approach is demonstrated by drawing on recent evidence from several domains of self-control such as eating, drinking, and sexual behavior.\u00a9 2009 Association for Psychological Science.", "author" : [ { "dropping-particle" : "", "family" : "Hofmann", "given" : "Wilhelm", "non-dropping-particle" : "", "parse-names" : false, "suffix" : "" }, { "dropping-particle" : "", "family" : "Friese", "given" : "Malte", "non-dropping-particle" : "", "parse-names" : false, "suffix" : "" }, { "dropping-particle" : "", "family" : "Strack", "given" : "Fritz", "non-dropping-particle" : "", "parse-names" : false, "suffix" : "" } ], "container-title" : "Perspectives on psychological science : a journal of the Association for Psychological Science", "id" : "ITEM-1", "issue" : "2", "issued" : { "date-parts" : [ [ "2009" ] ] }, "page" : "162-176", "title" : "Impulse and Self-Control From a Dual-Systems Perspective.", "type" : "article-journal", "volume" : "4" }, "uris" : [ "http://www.mendeley.com/documents/?uuid=12a652a2-59d6-329d-9043-6f5aca92d192" ] } ], "mendeley" : { "formattedCitation" : "(W. Hofmann et al., 2009)", "manualFormatting" : "(Hofmann et al., 2009)", "plainTextFormattedCitation" : "(W. Hofmann et al., 2009)", "previouslyFormattedCitation" : "(W. Hofmann et al., 2009)" }, "properties" : { "noteIndex" : 0 }, "schema" : "https://github.com/citation-style-language/schema/raw/master/csl-citation.json" }</w:instrText>
      </w:r>
      <w:r w:rsidR="00B06E70">
        <w:rPr>
          <w:rFonts w:cs="Times New Roman"/>
          <w:sz w:val="24"/>
          <w:szCs w:val="24"/>
        </w:rPr>
        <w:fldChar w:fldCharType="separate"/>
      </w:r>
      <w:r w:rsidR="00FB4774">
        <w:rPr>
          <w:rFonts w:cs="Times New Roman"/>
          <w:noProof/>
          <w:sz w:val="24"/>
          <w:szCs w:val="24"/>
        </w:rPr>
        <w:t>(</w:t>
      </w:r>
      <w:r w:rsidR="00FB4774" w:rsidRPr="00FB4774">
        <w:rPr>
          <w:rFonts w:cs="Times New Roman"/>
          <w:noProof/>
          <w:sz w:val="24"/>
          <w:szCs w:val="24"/>
        </w:rPr>
        <w:t>Hofmann et al., 2009)</w:t>
      </w:r>
      <w:r w:rsidR="00B06E70">
        <w:rPr>
          <w:rFonts w:cs="Times New Roman"/>
          <w:sz w:val="24"/>
          <w:szCs w:val="24"/>
        </w:rPr>
        <w:fldChar w:fldCharType="end"/>
      </w:r>
      <w:r w:rsidR="00D77964">
        <w:rPr>
          <w:rFonts w:cs="Times New Roman"/>
          <w:sz w:val="24"/>
          <w:szCs w:val="24"/>
        </w:rPr>
        <w:t xml:space="preserve"> </w:t>
      </w:r>
      <w:r w:rsidR="0048079B">
        <w:rPr>
          <w:rFonts w:cs="Times New Roman"/>
          <w:sz w:val="24"/>
          <w:szCs w:val="24"/>
        </w:rPr>
        <w:t>th</w:t>
      </w:r>
      <w:r w:rsidR="00D77964">
        <w:rPr>
          <w:rFonts w:cs="Times New Roman"/>
          <w:sz w:val="24"/>
          <w:szCs w:val="24"/>
        </w:rPr>
        <w:t>ey</w:t>
      </w:r>
      <w:r w:rsidR="0048079B">
        <w:rPr>
          <w:rFonts w:cs="Times New Roman"/>
          <w:sz w:val="24"/>
          <w:szCs w:val="24"/>
        </w:rPr>
        <w:t xml:space="preserve"> are more likely to act automatically</w:t>
      </w:r>
      <w:r w:rsidR="00945A70">
        <w:rPr>
          <w:rFonts w:cs="Times New Roman"/>
          <w:sz w:val="24"/>
          <w:szCs w:val="24"/>
        </w:rPr>
        <w:t xml:space="preserve">. </w:t>
      </w:r>
      <w:r w:rsidR="00890A9E">
        <w:rPr>
          <w:rFonts w:cs="Times New Roman"/>
          <w:sz w:val="24"/>
          <w:szCs w:val="24"/>
        </w:rPr>
        <w:t xml:space="preserve">For example, </w:t>
      </w:r>
      <w:r w:rsidR="00347D7E">
        <w:rPr>
          <w:rFonts w:cs="Times New Roman"/>
          <w:sz w:val="24"/>
          <w:szCs w:val="24"/>
        </w:rPr>
        <w:t xml:space="preserve">some researchers have manipulated the cognitive capacity </w:t>
      </w:r>
      <w:r w:rsidR="00347D7E">
        <w:rPr>
          <w:rFonts w:cs="Times New Roman"/>
          <w:sz w:val="24"/>
          <w:szCs w:val="24"/>
        </w:rPr>
        <w:lastRenderedPageBreak/>
        <w:t>of their participants to facilitate the</w:t>
      </w:r>
      <w:r w:rsidR="00BA0136">
        <w:rPr>
          <w:rFonts w:cs="Times New Roman"/>
          <w:sz w:val="24"/>
          <w:szCs w:val="24"/>
        </w:rPr>
        <w:t xml:space="preserve"> participant</w:t>
      </w:r>
      <w:r w:rsidR="00347D7E">
        <w:rPr>
          <w:rFonts w:cs="Times New Roman"/>
          <w:sz w:val="24"/>
          <w:szCs w:val="24"/>
        </w:rPr>
        <w:t xml:space="preserve"> reliance on automatic processes</w:t>
      </w:r>
      <w:r w:rsidR="00BA0136">
        <w:rPr>
          <w:rFonts w:cs="Times New Roman"/>
          <w:sz w:val="24"/>
          <w:szCs w:val="24"/>
        </w:rPr>
        <w:t xml:space="preserve"> when engaging in some mental or physical task (e.g. </w:t>
      </w:r>
      <w:r w:rsidR="00B06E70">
        <w:rPr>
          <w:rFonts w:cs="Times New Roman"/>
          <w:sz w:val="24"/>
          <w:szCs w:val="24"/>
        </w:rPr>
        <w:fldChar w:fldCharType="begin" w:fldLock="1"/>
      </w:r>
      <w:r w:rsidR="00644C99">
        <w:rPr>
          <w:rFonts w:cs="Times New Roman"/>
          <w:sz w:val="24"/>
          <w:szCs w:val="24"/>
        </w:rPr>
        <w:instrText>ADDIN CSL_CITATION { "citationItems" : [ { "id" : "ITEM-1", "itemData" : { "DOI" : "10.1037/0022-3514.78.4.753", "ISBN" : "0022-3514\\r1939-1315", "ISSN" : "0022-3514", "PMID" : "10794378", "abstract" : "Past research has shown that strong emotional or motivational states can cause normally restrained eaters to overeat. In this article it is argued that simple cognitive load can also disinhibit eating by restrained eaters. Two studies examined this disinhibition effect. In Study 1, restrained and unrestrained eaters were given the opportunity to consume high-calorie food while performing either a high cognitive-load or low cognitive-load task. Restrained eaters consumed more food when under high cognitive load than when under low cognitive load; unrestrained eaters showed the opposite pattern. Study 2 replicated the disinhibition effect and ruled out stress, diminished awareness of food consumption, and ironic rebound as probable mediators. Results suggest that cognitive load may disinhibit consumption by preventing restrained eaters from monitoring the dietary consequences of their eating behavior. Implications for theories of self-regulation are discussed.", "author" : [ { "dropping-particle" : "", "family" : "Ward", "given" : "Andrew", "non-dropping-particle" : "", "parse-names" : false, "suffix" : "" }, { "dropping-particle" : "", "family" : "Mann", "given" : "Traci", "non-dropping-particle" : "", "parse-names" : false, "suffix" : "" } ], "container-title" : "Journal of Personality and Social Psychology", "id" : "ITEM-1", "issue" : "4", "issued" : { "date-parts" : [ [ "2000" ] ] }, "page" : "753-63", "title" : "Don't mind if I do: disinhibited eating under cognitive load.", "type" : "article-journal", "volume" : "78" }, "uris" : [ "http://www.mendeley.com/documents/?uuid=ac9d4653-b365-3643-ac5b-b712cbe23643" ] } ], "mendeley" : { "formattedCitation" : "(Ward &amp; Mann, 2000)", "manualFormatting" : "Ward &amp; Mann, 2000)", "plainTextFormattedCitation" : "(Ward &amp; Mann, 2000)", "previouslyFormattedCitation" : "(Ward &amp; Mann, 2000)" }, "properties" : { "noteIndex" : 0 }, "schema" : "https://github.com/citation-style-language/schema/raw/master/csl-citation.json" }</w:instrText>
      </w:r>
      <w:r w:rsidR="00B06E70">
        <w:rPr>
          <w:rFonts w:cs="Times New Roman"/>
          <w:sz w:val="24"/>
          <w:szCs w:val="24"/>
        </w:rPr>
        <w:fldChar w:fldCharType="separate"/>
      </w:r>
      <w:r w:rsidR="00644C99" w:rsidRPr="00644C99">
        <w:rPr>
          <w:rFonts w:cs="Times New Roman"/>
          <w:noProof/>
          <w:sz w:val="24"/>
          <w:szCs w:val="24"/>
        </w:rPr>
        <w:t>Ward &amp; Mann, 2000)</w:t>
      </w:r>
      <w:r w:rsidR="00B06E70">
        <w:rPr>
          <w:rFonts w:cs="Times New Roman"/>
          <w:sz w:val="24"/>
          <w:szCs w:val="24"/>
        </w:rPr>
        <w:fldChar w:fldCharType="end"/>
      </w:r>
      <w:r w:rsidR="00BA0136">
        <w:rPr>
          <w:rFonts w:cs="Times New Roman"/>
          <w:sz w:val="24"/>
          <w:szCs w:val="24"/>
        </w:rPr>
        <w:t xml:space="preserve">. Other researchers have used </w:t>
      </w:r>
      <w:r w:rsidR="007A5EF8">
        <w:rPr>
          <w:rFonts w:cs="Times New Roman"/>
          <w:sz w:val="24"/>
          <w:szCs w:val="24"/>
        </w:rPr>
        <w:t xml:space="preserve">the </w:t>
      </w:r>
      <w:r w:rsidR="00BA0136">
        <w:rPr>
          <w:rFonts w:cs="Times New Roman"/>
          <w:sz w:val="24"/>
          <w:szCs w:val="24"/>
        </w:rPr>
        <w:t xml:space="preserve">‘dual </w:t>
      </w:r>
      <w:r w:rsidR="007A5EF8">
        <w:rPr>
          <w:rFonts w:cs="Times New Roman"/>
          <w:sz w:val="24"/>
          <w:szCs w:val="24"/>
        </w:rPr>
        <w:t>task paradigm</w:t>
      </w:r>
      <w:r w:rsidR="00BA0136">
        <w:rPr>
          <w:rFonts w:cs="Times New Roman"/>
          <w:sz w:val="24"/>
          <w:szCs w:val="24"/>
        </w:rPr>
        <w:t>’</w:t>
      </w:r>
      <w:r w:rsidR="007A5EF8">
        <w:rPr>
          <w:rFonts w:cs="Times New Roman"/>
          <w:sz w:val="24"/>
          <w:szCs w:val="24"/>
        </w:rPr>
        <w:t xml:space="preserve"> to achieve the same. In the dual task parading participants are asked to solve t</w:t>
      </w:r>
      <w:r>
        <w:rPr>
          <w:rFonts w:cs="Times New Roman"/>
          <w:sz w:val="24"/>
          <w:szCs w:val="24"/>
        </w:rPr>
        <w:t>w</w:t>
      </w:r>
      <w:r w:rsidR="007A5EF8">
        <w:rPr>
          <w:rFonts w:cs="Times New Roman"/>
          <w:sz w:val="24"/>
          <w:szCs w:val="24"/>
        </w:rPr>
        <w:t>o different behav</w:t>
      </w:r>
      <w:r w:rsidR="00E039D0">
        <w:rPr>
          <w:rFonts w:cs="Times New Roman"/>
          <w:sz w:val="24"/>
          <w:szCs w:val="24"/>
        </w:rPr>
        <w:t>ioural tasks at the same time</w:t>
      </w:r>
      <w:r w:rsidR="007A5EF8">
        <w:rPr>
          <w:rFonts w:cs="Times New Roman"/>
          <w:sz w:val="24"/>
          <w:szCs w:val="24"/>
        </w:rPr>
        <w:t xml:space="preserve"> in a very quick succession, as the cognitive resources of the participants are in heavy demand one of the tasks gets affected and may fail to be performed or may be performed automatically </w:t>
      </w:r>
      <w:r w:rsidR="00BA0136">
        <w:rPr>
          <w:rFonts w:cs="Times New Roman"/>
          <w:sz w:val="24"/>
          <w:szCs w:val="24"/>
        </w:rPr>
        <w:t xml:space="preserve">(for a review see </w:t>
      </w:r>
      <w:r w:rsidR="00B06E70">
        <w:rPr>
          <w:rFonts w:cs="Times New Roman"/>
          <w:sz w:val="24"/>
          <w:szCs w:val="24"/>
        </w:rPr>
        <w:fldChar w:fldCharType="begin" w:fldLock="1"/>
      </w:r>
      <w:r w:rsidR="00644C99">
        <w:rPr>
          <w:rFonts w:cs="Times New Roman"/>
          <w:sz w:val="24"/>
          <w:szCs w:val="24"/>
        </w:rPr>
        <w:instrText>ADDIN CSL_CITATION { "citationItems" : [ { "id" : "ITEM-1", "itemData" : { "DOI" : "10.1146/annurev.psych.59.103006.093629", "abstract" : "This article reviews a diverse set of proposals for dual processing in higher cognition within largely disconnected literatures in cog-nitive and social psychology. All these theories have in common the distinction between cognitive processes that are fast, automatic, and unconscious and those that are slow, deliberative, and conscious. A number of authors have recently suggested that there may be two architecturally (and evolutionarily) distinct cognitive systems under-lying these dual-process accounts. However, it emerges that (a) there are multiple kinds of implicit processes described by different the-orists and (b) not all of the proposed attributes of the two kinds of processing can be sensibly mapped on to two systems as currently conceived. It is suggested that while some dual-process theories are concerned with parallel competing processes involving explicit and implicit knowledge systems, others are concerned with the influence of preconscious processes that contextualize and shape deliberative reasoning and decision-making.", "author" : [ { "dropping-particle" : "", "family" : "Evans", "given" : "Jonathan St B T", "non-dropping-particle" : "", "parse-names" : false, "suffix" : "" } ], "container-title" : "Annual Review of Psychology", "id" : "ITEM-1", "issued" : { "date-parts" : [ [ "2008" ] ] }, "page" : "255-78", "title" : "Dual-Processing Accounts of Reasoning, Judgment, and Social Cognition", "type" : "article-journal", "volume" : "59" }, "uris" : [ "http://www.mendeley.com/documents/?uuid=109e725b-f7b5-34ee-85c7-450527d83683" ] } ], "mendeley" : { "formattedCitation" : "(Evans, 2008)", "manualFormatting" : "Evans, 2008)", "plainTextFormattedCitation" : "(Evans, 2008)", "previouslyFormattedCitation" : "(Evans, 2008)" }, "properties" : { "noteIndex" : 0 }, "schema" : "https://github.com/citation-style-language/schema/raw/master/csl-citation.json" }</w:instrText>
      </w:r>
      <w:r w:rsidR="00B06E70">
        <w:rPr>
          <w:rFonts w:cs="Times New Roman"/>
          <w:sz w:val="24"/>
          <w:szCs w:val="24"/>
        </w:rPr>
        <w:fldChar w:fldCharType="separate"/>
      </w:r>
      <w:r w:rsidR="00644C99" w:rsidRPr="00644C99">
        <w:rPr>
          <w:rFonts w:cs="Times New Roman"/>
          <w:noProof/>
          <w:sz w:val="24"/>
          <w:szCs w:val="24"/>
        </w:rPr>
        <w:t>Evans, 2008)</w:t>
      </w:r>
      <w:r w:rsidR="00B06E70">
        <w:rPr>
          <w:rFonts w:cs="Times New Roman"/>
          <w:sz w:val="24"/>
          <w:szCs w:val="24"/>
        </w:rPr>
        <w:fldChar w:fldCharType="end"/>
      </w:r>
      <w:r w:rsidR="002339D3">
        <w:rPr>
          <w:rFonts w:cs="Times New Roman"/>
          <w:sz w:val="24"/>
          <w:szCs w:val="24"/>
        </w:rPr>
        <w:t>.</w:t>
      </w:r>
      <w:r w:rsidR="009B1DAB">
        <w:rPr>
          <w:rFonts w:cs="Times New Roman"/>
          <w:sz w:val="24"/>
          <w:szCs w:val="24"/>
        </w:rPr>
        <w:t xml:space="preserve"> </w:t>
      </w:r>
      <w:r>
        <w:rPr>
          <w:rFonts w:cs="Times New Roman"/>
          <w:sz w:val="24"/>
          <w:szCs w:val="24"/>
        </w:rPr>
        <w:t xml:space="preserve">When people have used lots of self-control (for example, they have avoided to smoke all day despite the heavy wish to do it), this self-control may run out, leaving people to respond automatically to subsequent acts that require self-control (for a review see </w:t>
      </w:r>
      <w:r w:rsidR="00B06E70">
        <w:rPr>
          <w:rFonts w:cs="Times New Roman"/>
          <w:sz w:val="24"/>
          <w:szCs w:val="24"/>
        </w:rPr>
        <w:fldChar w:fldCharType="begin" w:fldLock="1"/>
      </w:r>
      <w:r w:rsidR="00644C99">
        <w:rPr>
          <w:rFonts w:cs="Times New Roman"/>
          <w:sz w:val="24"/>
          <w:szCs w:val="24"/>
        </w:rPr>
        <w:instrText>ADDIN CSL_CITATION { "citationItems" : [ { "id" : "ITEM-1", "itemData" : { "DOI" : "10.1037/a0019486", "ISBN" : "0033-2909\\r1939-1455", "ISSN" : "0033-2909", "PMID" : "20565167", "abstract" : "According to the strength model, self-control is a finite resource that determines capacity for effortful control over dominant responses and, once expended, leads to impaired self-control task performance, known as ego depletion. A meta-analysis of 83 studies tested the effect of ego depletion on task performance and related outcomes, alternative explanations and moderators of the effect, and additional strength model hypotheses. Results revealed a significant effect of ego depletion on self-control task performance. Significant effect sizes were found for ego depletion on effort, perceived difficulty, negative affect, subjective fatigue, and blood glucose levels. Small, nonsignificant effects were found for positive affect and self-efficacy. Moderator analyses indicated minimal variation in the effect across sphere of depleting and dependent task, frequently used depleting and dependent tasks, presentation of tasks as single or separate experiments, type of dependent measure and control condition task, and source laboratory. The effect size was moderated by depleting task duration, task presentation by the same or different experimenters, intertask interim period, dependent task complexity, and use of dependent tasks in the choice and volition and cognitive spheres. Motivational incentives, training on self-control tasks, and glucose supplementation promoted better self-control in ego-depleted samples. Expecting further acts of self-control exacerbated the effect. Findings provide preliminary support for the ego-depletion effect and strength model hypotheses. Support for motivation and fatigue as alternative explanations for ego depletion indicate a need to integrate the strength model with other theories. Findings provide impetus for future investigation testing additional hypotheses and mechanisms of the ego-depletion effect.", "author" : [ { "dropping-particle" : "", "family" : "Hagger", "given" : "Martin S", "non-dropping-particle" : "", "parse-names" : false, "suffix" : "" }, { "dropping-particle" : "", "family" : "Wood", "given" : "Chantelle", "non-dropping-particle" : "", "parse-names" : false, "suffix" : "" }, { "dropping-particle" : "", "family" : "Stiff", "given" : "Chris", "non-dropping-particle" : "", "parse-names" : false, "suffix" : "" }, { "dropping-particle" : "", "family" : "Chatzisarantis", "given" : "Nikos L D", "non-dropping-particle" : "", "parse-names" : false, "suffix" : "" } ], "container-title" : "Psychological bulletin", "id" : "ITEM-1", "issue" : "4", "issued" : { "date-parts" : [ [ "2010" ] ] }, "page" : "495-525", "title" : "Ego depletion and the strength model of self-control: a meta-analysis.", "type" : "article-journal", "volume" : "136" }, "uris" : [ "http://www.mendeley.com/documents/?uuid=e3caf5e6-4d25-30b4-8d05-82b39ff0f4af" ] } ], "mendeley" : { "formattedCitation" : "(Hagger et al., 2010)", "manualFormatting" : "Hagger et al., 2010)", "plainTextFormattedCitation" : "(Hagger et al., 2010)", "previouslyFormattedCitation" : "(Hagger et al., 2010)" }, "properties" : { "noteIndex" : 0 }, "schema" : "https://github.com/citation-style-language/schema/raw/master/csl-citation.json" }</w:instrText>
      </w:r>
      <w:r w:rsidR="00B06E70">
        <w:rPr>
          <w:rFonts w:cs="Times New Roman"/>
          <w:sz w:val="24"/>
          <w:szCs w:val="24"/>
        </w:rPr>
        <w:fldChar w:fldCharType="separate"/>
      </w:r>
      <w:r w:rsidR="00644C99" w:rsidRPr="00644C99">
        <w:rPr>
          <w:rFonts w:cs="Times New Roman"/>
          <w:noProof/>
          <w:sz w:val="24"/>
          <w:szCs w:val="24"/>
        </w:rPr>
        <w:t>Hagger et al., 2010)</w:t>
      </w:r>
      <w:r w:rsidR="00B06E70">
        <w:rPr>
          <w:rFonts w:cs="Times New Roman"/>
          <w:sz w:val="24"/>
          <w:szCs w:val="24"/>
        </w:rPr>
        <w:fldChar w:fldCharType="end"/>
      </w:r>
      <w:r>
        <w:rPr>
          <w:rFonts w:cs="Times New Roman"/>
          <w:sz w:val="24"/>
          <w:szCs w:val="24"/>
        </w:rPr>
        <w:t xml:space="preserve">. </w:t>
      </w:r>
      <w:r w:rsidR="00583147">
        <w:rPr>
          <w:rFonts w:cs="Times New Roman"/>
          <w:sz w:val="24"/>
          <w:szCs w:val="24"/>
        </w:rPr>
        <w:t>I</w:t>
      </w:r>
      <w:r w:rsidR="00E039D0">
        <w:rPr>
          <w:rFonts w:cs="Times New Roman"/>
          <w:sz w:val="24"/>
          <w:szCs w:val="24"/>
        </w:rPr>
        <w:t>n the present thesis some of the</w:t>
      </w:r>
      <w:r w:rsidR="00583147">
        <w:rPr>
          <w:rFonts w:cs="Times New Roman"/>
          <w:sz w:val="24"/>
          <w:szCs w:val="24"/>
        </w:rPr>
        <w:t>s</w:t>
      </w:r>
      <w:r w:rsidR="00E039D0">
        <w:rPr>
          <w:rFonts w:cs="Times New Roman"/>
          <w:sz w:val="24"/>
          <w:szCs w:val="24"/>
        </w:rPr>
        <w:t>e</w:t>
      </w:r>
      <w:r w:rsidR="00583147">
        <w:rPr>
          <w:rFonts w:cs="Times New Roman"/>
          <w:sz w:val="24"/>
          <w:szCs w:val="24"/>
        </w:rPr>
        <w:t xml:space="preserve"> methods, namely, self-report measures, priming, self-control depletion and cognitive load will be used to investigate AIER. </w:t>
      </w:r>
    </w:p>
    <w:p w:rsidR="00FB1389" w:rsidRPr="00D05EBD" w:rsidRDefault="00FB1389" w:rsidP="00AE640B">
      <w:pPr>
        <w:spacing w:line="480" w:lineRule="auto"/>
        <w:jc w:val="both"/>
        <w:rPr>
          <w:rFonts w:cs="Times New Roman"/>
          <w:b/>
          <w:bCs/>
          <w:sz w:val="24"/>
          <w:szCs w:val="24"/>
        </w:rPr>
      </w:pPr>
      <w:r w:rsidRPr="00D05EBD">
        <w:rPr>
          <w:rFonts w:cs="Times New Roman"/>
          <w:b/>
          <w:bCs/>
          <w:sz w:val="24"/>
          <w:szCs w:val="24"/>
        </w:rPr>
        <w:t>1.7 Concluding comment</w:t>
      </w:r>
    </w:p>
    <w:p w:rsidR="00FB1389" w:rsidRDefault="00FB1389" w:rsidP="00AE640B">
      <w:pPr>
        <w:spacing w:line="480" w:lineRule="auto"/>
        <w:ind w:firstLine="709"/>
        <w:jc w:val="both"/>
        <w:rPr>
          <w:sz w:val="24"/>
          <w:szCs w:val="24"/>
        </w:rPr>
      </w:pPr>
      <w:r w:rsidRPr="00D05EBD">
        <w:rPr>
          <w:sz w:val="24"/>
          <w:szCs w:val="24"/>
        </w:rPr>
        <w:t xml:space="preserve">Although research in ER has been increasing rapidly, most of it focuses on controlled and intrapersonal emotion regulation and a smaller part has looked into AER.  The purpose of this thesis is to fill this gap in research by investigating </w:t>
      </w:r>
      <w:r w:rsidRPr="00D05EBD">
        <w:rPr>
          <w:i/>
          <w:sz w:val="24"/>
          <w:szCs w:val="24"/>
        </w:rPr>
        <w:t>automatic interpersonal emotion regulation</w:t>
      </w:r>
      <w:r w:rsidRPr="00D05EBD">
        <w:rPr>
          <w:sz w:val="24"/>
          <w:szCs w:val="24"/>
        </w:rPr>
        <w:t xml:space="preserve"> (AIER) or the things people do to modify the emotions of others without awareness of what they do to generate those changes, for example, smiling at one’s partner to make him/her feel better without planning nor being aware of one’s smile. In particular, this thesis aims to develop a systematic way to identify AIER to then look into the things that predict or are associated to the use of AIER. Studying AIER could provide us with a better understanding of interpersonal relationships which hold the promise of improving relationships and well-being in general.</w:t>
      </w:r>
    </w:p>
    <w:p w:rsidR="00FB1389" w:rsidRPr="00D05EBD" w:rsidRDefault="00FB1389" w:rsidP="00AE640B">
      <w:pPr>
        <w:spacing w:line="480" w:lineRule="auto"/>
        <w:jc w:val="both"/>
        <w:rPr>
          <w:rFonts w:cs="Times New Roman"/>
          <w:b/>
          <w:bCs/>
          <w:sz w:val="24"/>
          <w:szCs w:val="24"/>
        </w:rPr>
      </w:pPr>
      <w:r w:rsidRPr="00D05EBD">
        <w:rPr>
          <w:rFonts w:cs="Times New Roman"/>
          <w:b/>
          <w:bCs/>
          <w:sz w:val="24"/>
          <w:szCs w:val="24"/>
        </w:rPr>
        <w:lastRenderedPageBreak/>
        <w:t>1.8 Broad research questions in the present thesis.</w:t>
      </w:r>
    </w:p>
    <w:p w:rsidR="00FB1389" w:rsidRPr="00D05EBD" w:rsidRDefault="00FB1389" w:rsidP="00AE640B">
      <w:pPr>
        <w:spacing w:line="480" w:lineRule="auto"/>
        <w:jc w:val="both"/>
        <w:rPr>
          <w:rFonts w:cs="Times New Roman"/>
          <w:bCs/>
          <w:sz w:val="24"/>
          <w:szCs w:val="24"/>
        </w:rPr>
      </w:pPr>
      <w:r w:rsidRPr="00D05EBD">
        <w:rPr>
          <w:rFonts w:cs="Times New Roman"/>
          <w:bCs/>
          <w:sz w:val="24"/>
          <w:szCs w:val="24"/>
        </w:rPr>
        <w:tab/>
        <w:t>The present thesis aims to answer two fundamental questions. The first concerns whether it is possible to empirically observe AIER. To achieve this, a self-report questionnaire (Study 1) and a priming methodology (Studies 2a, 2b, and 2c) will be employed. In Study 1, participants are asked to what extent they use AIER with close others and with acquaintances. Besides identifying participants’ use of AIER, Study 1 will also provide preliminary information about the kind of relationship in which AIER is more likely to occur. In Studies 2a, 2b, and 2c, a non-obtrusive technique to explore AIER is used. Specifically, participants are primed with IER and then presented with a social situation where they had the opportunity to regulate someone else’s emotions. Studies 2a, 2b, and 2c will also explore the role that goals have in the expression of AIER.</w:t>
      </w:r>
    </w:p>
    <w:p w:rsidR="00012752" w:rsidRDefault="00FB1389" w:rsidP="00AE640B">
      <w:pPr>
        <w:spacing w:line="480" w:lineRule="auto"/>
        <w:jc w:val="both"/>
        <w:rPr>
          <w:rFonts w:cs="Times New Roman"/>
          <w:bCs/>
          <w:sz w:val="24"/>
          <w:szCs w:val="24"/>
        </w:rPr>
      </w:pPr>
      <w:r w:rsidRPr="00D05EBD">
        <w:rPr>
          <w:rFonts w:cs="Times New Roman"/>
          <w:bCs/>
          <w:sz w:val="24"/>
          <w:szCs w:val="24"/>
        </w:rPr>
        <w:tab/>
        <w:t xml:space="preserve">The second question involves investigating the factors that facilitate or promote the use of AIER. To attain this, an ego-depletion task (Study 3) and a cognitive load (Study 4) task will be used. In Study 3 it was expected that, ego-depleted participants would use more automatic forms of IER when interacting with their romantic partners. In the last study (Study 4) participants were subjected to a cognitive load task while having short dates (at a heterosexual speed dating event). The use of IER was explored via questionnaires at the end of each date. It was expected that participants under cognitive load would report more use of AIER strategies as reported by the levels of intention, effort and awareness they perceived they used while engaging in IER strategies. </w:t>
      </w:r>
    </w:p>
    <w:p w:rsidR="00012752" w:rsidRDefault="00012752" w:rsidP="00AE640B">
      <w:pPr>
        <w:spacing w:line="480" w:lineRule="auto"/>
        <w:jc w:val="both"/>
        <w:rPr>
          <w:rFonts w:cs="Times New Roman"/>
          <w:bCs/>
          <w:sz w:val="24"/>
          <w:szCs w:val="24"/>
        </w:rPr>
      </w:pPr>
    </w:p>
    <w:p w:rsidR="00FB1389" w:rsidRPr="00012752" w:rsidRDefault="00FB1389" w:rsidP="00AE640B">
      <w:pPr>
        <w:spacing w:line="480" w:lineRule="auto"/>
        <w:jc w:val="both"/>
        <w:rPr>
          <w:rFonts w:cs="Times New Roman"/>
          <w:bCs/>
          <w:sz w:val="24"/>
          <w:szCs w:val="24"/>
        </w:rPr>
      </w:pPr>
      <w:r w:rsidRPr="00D05EBD">
        <w:rPr>
          <w:rFonts w:cs="Times New Roman"/>
          <w:b/>
          <w:bCs/>
          <w:sz w:val="24"/>
          <w:szCs w:val="24"/>
        </w:rPr>
        <w:lastRenderedPageBreak/>
        <w:t>1.9 Plan of the thesis</w:t>
      </w:r>
    </w:p>
    <w:p w:rsidR="00FB1389" w:rsidRPr="00D05EBD" w:rsidRDefault="00FB1389" w:rsidP="00AE640B">
      <w:pPr>
        <w:spacing w:line="480" w:lineRule="auto"/>
        <w:jc w:val="both"/>
        <w:rPr>
          <w:rFonts w:cs="Times New Roman"/>
          <w:bCs/>
          <w:sz w:val="24"/>
          <w:szCs w:val="24"/>
        </w:rPr>
      </w:pPr>
      <w:r w:rsidRPr="00D05EBD">
        <w:rPr>
          <w:rFonts w:cs="Times New Roman"/>
          <w:bCs/>
          <w:sz w:val="24"/>
          <w:szCs w:val="24"/>
        </w:rPr>
        <w:tab/>
        <w:t xml:space="preserve">The remainder of the thesis takes the form of five chapters – four describing empirical studies designed to investigate the two questions posed above, followed by a chapter that discusses the findings. An overview of these chapters is provided below. </w:t>
      </w:r>
    </w:p>
    <w:p w:rsidR="00FB1389" w:rsidRPr="00D05EBD" w:rsidRDefault="00FB1389" w:rsidP="00AE640B">
      <w:pPr>
        <w:spacing w:line="480" w:lineRule="auto"/>
        <w:jc w:val="both"/>
        <w:rPr>
          <w:i/>
          <w:sz w:val="24"/>
          <w:szCs w:val="24"/>
        </w:rPr>
      </w:pPr>
      <w:r w:rsidRPr="00D05EBD">
        <w:rPr>
          <w:i/>
          <w:sz w:val="24"/>
          <w:szCs w:val="24"/>
        </w:rPr>
        <w:tab/>
        <w:t xml:space="preserve">Chapter 2. </w:t>
      </w:r>
      <w:r w:rsidRPr="00D05EBD">
        <w:rPr>
          <w:rFonts w:cs="Arial"/>
          <w:i/>
          <w:color w:val="222222"/>
          <w:sz w:val="24"/>
          <w:szCs w:val="24"/>
          <w:shd w:val="clear" w:color="auto" w:fill="FFFFFF"/>
        </w:rPr>
        <w:t>How do people regulate others’ emotions? Measures of frequency and habit.</w:t>
      </w:r>
    </w:p>
    <w:p w:rsidR="00FB1389" w:rsidRPr="00D05EBD" w:rsidRDefault="00FB1389" w:rsidP="00AE640B">
      <w:pPr>
        <w:spacing w:line="480" w:lineRule="auto"/>
        <w:jc w:val="both"/>
        <w:rPr>
          <w:sz w:val="24"/>
          <w:szCs w:val="24"/>
        </w:rPr>
      </w:pPr>
      <w:r w:rsidRPr="00D05EBD">
        <w:rPr>
          <w:sz w:val="24"/>
          <w:szCs w:val="24"/>
        </w:rPr>
        <w:tab/>
        <w:t>Study 1 investigated the strategies that people use to regulate someone else's emotions and the level of awareness they report having over these st</w:t>
      </w:r>
      <w:r w:rsidR="00876384">
        <w:rPr>
          <w:sz w:val="24"/>
          <w:szCs w:val="24"/>
        </w:rPr>
        <w:t>rategies. For the</w:t>
      </w:r>
      <w:r w:rsidRPr="00D05EBD">
        <w:rPr>
          <w:sz w:val="24"/>
          <w:szCs w:val="24"/>
        </w:rPr>
        <w:t>s</w:t>
      </w:r>
      <w:r w:rsidR="00876384">
        <w:rPr>
          <w:sz w:val="24"/>
          <w:szCs w:val="24"/>
        </w:rPr>
        <w:t>e</w:t>
      </w:r>
      <w:r w:rsidRPr="00D05EBD">
        <w:rPr>
          <w:sz w:val="24"/>
          <w:szCs w:val="24"/>
        </w:rPr>
        <w:t xml:space="preserve"> purpose</w:t>
      </w:r>
      <w:r w:rsidR="00876384">
        <w:rPr>
          <w:sz w:val="24"/>
          <w:szCs w:val="24"/>
        </w:rPr>
        <w:t>s</w:t>
      </w:r>
      <w:r w:rsidRPr="00D05EBD">
        <w:rPr>
          <w:sz w:val="24"/>
          <w:szCs w:val="24"/>
        </w:rPr>
        <w:t xml:space="preserve">, a questionnaire asking people to report on the level of awareness they have over the IER strategies that they use to improve (e.g. </w:t>
      </w:r>
      <w:r w:rsidRPr="00D05EBD">
        <w:rPr>
          <w:i/>
          <w:sz w:val="24"/>
          <w:szCs w:val="24"/>
        </w:rPr>
        <w:t>listening to this person’s problems is something I do without thinking</w:t>
      </w:r>
      <w:r w:rsidRPr="00D05EBD">
        <w:rPr>
          <w:sz w:val="24"/>
          <w:szCs w:val="24"/>
        </w:rPr>
        <w:t xml:space="preserve">) and to worsen (e.g. </w:t>
      </w:r>
      <w:r w:rsidRPr="00D05EBD">
        <w:rPr>
          <w:i/>
          <w:sz w:val="24"/>
          <w:szCs w:val="24"/>
        </w:rPr>
        <w:t>acting very annoyed towards this person is something I do automatically</w:t>
      </w:r>
      <w:r w:rsidRPr="00D05EBD">
        <w:rPr>
          <w:sz w:val="24"/>
          <w:szCs w:val="24"/>
        </w:rPr>
        <w:t>) someone else’s emotions was designed. It was expected that participants would regulate the emotions of those close to them in a more automatic fashion than those</w:t>
      </w:r>
      <w:r w:rsidR="00876384">
        <w:rPr>
          <w:sz w:val="24"/>
          <w:szCs w:val="24"/>
        </w:rPr>
        <w:t xml:space="preserve"> of</w:t>
      </w:r>
      <w:r w:rsidRPr="00D05EBD">
        <w:rPr>
          <w:sz w:val="24"/>
          <w:szCs w:val="24"/>
        </w:rPr>
        <w:t xml:space="preserve"> with whom they are less close. Thus, the questionnaire asked participants about the IER strategies that they use with someone close to them (e.g., a best friend, a close relative, a partner) as well as with an acquaintance (e.g., a neighbour, a work colleague). </w:t>
      </w:r>
    </w:p>
    <w:p w:rsidR="00FB1389" w:rsidRPr="00D05EBD" w:rsidRDefault="00FB1389" w:rsidP="00AE640B">
      <w:pPr>
        <w:spacing w:line="480" w:lineRule="auto"/>
        <w:jc w:val="both"/>
        <w:rPr>
          <w:rFonts w:cs="Arial"/>
          <w:i/>
          <w:color w:val="222222"/>
          <w:sz w:val="24"/>
          <w:szCs w:val="24"/>
          <w:shd w:val="clear" w:color="auto" w:fill="FFFFFF"/>
        </w:rPr>
      </w:pPr>
      <w:r w:rsidRPr="00D05EBD">
        <w:rPr>
          <w:i/>
          <w:sz w:val="24"/>
          <w:szCs w:val="24"/>
        </w:rPr>
        <w:tab/>
        <w:t xml:space="preserve">Chapter 3. </w:t>
      </w:r>
      <w:r w:rsidRPr="00D05EBD">
        <w:rPr>
          <w:rFonts w:cs="Arial"/>
          <w:i/>
          <w:color w:val="222222"/>
          <w:sz w:val="24"/>
          <w:szCs w:val="24"/>
          <w:shd w:val="clear" w:color="auto" w:fill="FFFFFF"/>
        </w:rPr>
        <w:t>Is it possible to prime IER? Using the Scrambled Sentence Task to instigate automatic interpersonal emotion regulation</w:t>
      </w:r>
    </w:p>
    <w:p w:rsidR="00FB1389" w:rsidRPr="00D05EBD" w:rsidRDefault="00FB1389" w:rsidP="00AE640B">
      <w:pPr>
        <w:spacing w:line="480" w:lineRule="auto"/>
        <w:jc w:val="both"/>
        <w:rPr>
          <w:rFonts w:cs="Arial"/>
          <w:color w:val="222222"/>
          <w:sz w:val="24"/>
          <w:szCs w:val="24"/>
          <w:shd w:val="clear" w:color="auto" w:fill="FFFFFF"/>
        </w:rPr>
      </w:pPr>
      <w:r w:rsidRPr="00D05EBD">
        <w:rPr>
          <w:rFonts w:cs="Arial"/>
          <w:color w:val="222222"/>
          <w:sz w:val="24"/>
          <w:szCs w:val="24"/>
          <w:shd w:val="clear" w:color="auto" w:fill="FFFFFF"/>
        </w:rPr>
        <w:tab/>
        <w:t xml:space="preserve">Asking people about the way in which they regulate someone else's emotions and their level of awareness over the IER they use provides a starting point but it can be argued that self-report measures may not necessarily reflect reality because people </w:t>
      </w:r>
      <w:r w:rsidRPr="00D05EBD">
        <w:rPr>
          <w:rFonts w:cs="Arial"/>
          <w:color w:val="222222"/>
          <w:sz w:val="24"/>
          <w:szCs w:val="24"/>
          <w:shd w:val="clear" w:color="auto" w:fill="FFFFFF"/>
        </w:rPr>
        <w:lastRenderedPageBreak/>
        <w:t>arguably have to be aware of what IER strategies they use in order to report them. To address this limitation, Studies 2a, 2b, and 2c used a different approach to study AIER – they tested whether it is possible to prime people (outside their awareness) to use IER. Study 2a used the Scrambled Sentence Task to prime participants to up-regulate negative emotions. Participants were later given the opportunity to regulate the emotions of someone else (they were asked to write a script between two characters and to play the part of one of these characters). The script also asked them to choose between two IER goals: either to improve or to worsen the emotions of someone else. Study 2b explored whether the removal of the IER goal option would change the effect of the prime. Study 2c was a</w:t>
      </w:r>
      <w:r w:rsidR="00876384">
        <w:rPr>
          <w:rFonts w:cs="Arial"/>
          <w:color w:val="222222"/>
          <w:sz w:val="24"/>
          <w:szCs w:val="24"/>
          <w:shd w:val="clear" w:color="auto" w:fill="FFFFFF"/>
        </w:rPr>
        <w:t xml:space="preserve"> replication of study 2a and 2b, which in addition</w:t>
      </w:r>
      <w:r w:rsidR="00876384" w:rsidRPr="00D05EBD">
        <w:rPr>
          <w:rFonts w:cs="Arial"/>
          <w:color w:val="222222"/>
          <w:sz w:val="24"/>
          <w:szCs w:val="24"/>
          <w:shd w:val="clear" w:color="auto" w:fill="FFFFFF"/>
        </w:rPr>
        <w:t xml:space="preserve"> explored the use of IER with someone the participant knew very well.</w:t>
      </w:r>
    </w:p>
    <w:p w:rsidR="00FB1389" w:rsidRPr="00D05EBD" w:rsidRDefault="00FB1389" w:rsidP="00AE640B">
      <w:pPr>
        <w:keepNext/>
        <w:spacing w:line="480" w:lineRule="auto"/>
        <w:jc w:val="both"/>
        <w:rPr>
          <w:rFonts w:cs="Arial"/>
          <w:i/>
          <w:color w:val="222222"/>
          <w:sz w:val="24"/>
          <w:szCs w:val="24"/>
          <w:shd w:val="clear" w:color="auto" w:fill="FFFFFF"/>
        </w:rPr>
      </w:pPr>
      <w:r w:rsidRPr="00D05EBD">
        <w:rPr>
          <w:rStyle w:val="il"/>
          <w:rFonts w:cs="Arial"/>
          <w:i/>
          <w:color w:val="222222"/>
          <w:sz w:val="24"/>
          <w:szCs w:val="24"/>
          <w:shd w:val="clear" w:color="auto" w:fill="FFFFFF"/>
        </w:rPr>
        <w:tab/>
        <w:t>Chapter</w:t>
      </w:r>
      <w:r w:rsidRPr="00D05EBD">
        <w:rPr>
          <w:rStyle w:val="apple-converted-space"/>
          <w:rFonts w:cs="Arial"/>
          <w:i/>
          <w:color w:val="222222"/>
          <w:sz w:val="24"/>
          <w:szCs w:val="24"/>
          <w:shd w:val="clear" w:color="auto" w:fill="FFFFFF"/>
        </w:rPr>
        <w:t> </w:t>
      </w:r>
      <w:r w:rsidRPr="00D05EBD">
        <w:rPr>
          <w:rFonts w:cs="Arial"/>
          <w:i/>
          <w:color w:val="222222"/>
          <w:sz w:val="24"/>
          <w:szCs w:val="24"/>
          <w:shd w:val="clear" w:color="auto" w:fill="FFFFFF"/>
        </w:rPr>
        <w:t>4: Does having previously exerted self-control affect the use of interpersonal emotion regulation?</w:t>
      </w:r>
    </w:p>
    <w:p w:rsidR="00FB1389" w:rsidRPr="00D05EBD" w:rsidRDefault="00FB1389" w:rsidP="00AE640B">
      <w:pPr>
        <w:tabs>
          <w:tab w:val="left" w:pos="800"/>
          <w:tab w:val="left" w:pos="1400"/>
          <w:tab w:val="left" w:pos="1800"/>
          <w:tab w:val="left" w:pos="3500"/>
          <w:tab w:val="left" w:pos="7200"/>
          <w:tab w:val="left" w:pos="9599"/>
        </w:tabs>
        <w:spacing w:line="480" w:lineRule="auto"/>
        <w:ind w:right="14"/>
        <w:jc w:val="both"/>
        <w:rPr>
          <w:rFonts w:cs="Times New Roman"/>
          <w:b/>
          <w:sz w:val="24"/>
          <w:szCs w:val="24"/>
        </w:rPr>
      </w:pPr>
      <w:r w:rsidRPr="00D05EBD">
        <w:rPr>
          <w:rFonts w:cs="Arial"/>
          <w:color w:val="222222"/>
          <w:sz w:val="24"/>
          <w:szCs w:val="24"/>
          <w:shd w:val="clear" w:color="auto" w:fill="FFFFFF"/>
        </w:rPr>
        <w:tab/>
        <w:t xml:space="preserve">Evidence suggests that when people exert self-control over something then it is more difficult to exert self-control in a subsequent task (an effect termed “ego-depletion”). The consequence is that depleted people tend to rely on automatic responses, acting impulsively and in accordance with habits. One prediction, therefore, is that people are more likely to use automatic forms of IER when depleted than when not depleted. Following this logic, Study 3 developed a measure of the use of self-control to then be used to investigate the effect of self-control on IER. The measure consisted of </w:t>
      </w:r>
      <w:r w:rsidRPr="00D05EBD">
        <w:rPr>
          <w:rFonts w:cs="Times New Roman"/>
          <w:sz w:val="24"/>
          <w:szCs w:val="24"/>
        </w:rPr>
        <w:t>a self-report questionnaire investigating the extent to which people have used self-control during their working day. It was planned to validate this questionnaire by measuring participant’s self-control capacity using the Stroop task</w:t>
      </w:r>
      <w:r w:rsidRPr="00D05EBD">
        <w:rPr>
          <w:rFonts w:cs="Arial"/>
          <w:sz w:val="24"/>
          <w:szCs w:val="24"/>
          <w:shd w:val="clear" w:color="auto" w:fill="FFFFFF"/>
        </w:rPr>
        <w:t xml:space="preserve">. </w:t>
      </w:r>
      <w:r w:rsidRPr="00D05EBD">
        <w:rPr>
          <w:rFonts w:cs="Times New Roman"/>
          <w:sz w:val="24"/>
          <w:szCs w:val="24"/>
        </w:rPr>
        <w:t xml:space="preserve">It was predicted </w:t>
      </w:r>
      <w:r w:rsidRPr="00D05EBD">
        <w:rPr>
          <w:rFonts w:cs="Times New Roman"/>
          <w:sz w:val="24"/>
          <w:szCs w:val="24"/>
        </w:rPr>
        <w:lastRenderedPageBreak/>
        <w:t xml:space="preserve">that participants who reported having used more self-control during the day would perform worse on the Stroop task than participants who reported having exerted less self-control. In addition, factors that may influence self-control performance including emotional exhaustion, fatigue, quality of sleep and affect were measured. </w:t>
      </w:r>
    </w:p>
    <w:p w:rsidR="00FB1389" w:rsidRPr="00D05EBD" w:rsidRDefault="00FB1389" w:rsidP="00AE640B">
      <w:pPr>
        <w:tabs>
          <w:tab w:val="left" w:pos="800"/>
          <w:tab w:val="left" w:pos="1400"/>
          <w:tab w:val="left" w:pos="1800"/>
          <w:tab w:val="left" w:pos="3500"/>
          <w:tab w:val="left" w:pos="7200"/>
          <w:tab w:val="left" w:pos="9599"/>
        </w:tabs>
        <w:spacing w:line="480" w:lineRule="auto"/>
        <w:ind w:right="14"/>
        <w:jc w:val="both"/>
        <w:rPr>
          <w:rFonts w:cs="Arial"/>
          <w:i/>
          <w:color w:val="222222"/>
          <w:sz w:val="24"/>
          <w:szCs w:val="24"/>
          <w:shd w:val="clear" w:color="auto" w:fill="FFFFFF"/>
        </w:rPr>
      </w:pPr>
      <w:r w:rsidRPr="00D05EBD">
        <w:rPr>
          <w:rStyle w:val="il"/>
          <w:rFonts w:cs="Arial"/>
          <w:i/>
          <w:color w:val="222222"/>
          <w:sz w:val="24"/>
          <w:szCs w:val="24"/>
          <w:shd w:val="clear" w:color="auto" w:fill="FFFFFF"/>
        </w:rPr>
        <w:tab/>
        <w:t>Chapter</w:t>
      </w:r>
      <w:r w:rsidRPr="00D05EBD">
        <w:rPr>
          <w:rStyle w:val="apple-converted-space"/>
          <w:rFonts w:cs="Arial"/>
          <w:i/>
          <w:color w:val="222222"/>
          <w:sz w:val="24"/>
          <w:szCs w:val="24"/>
          <w:shd w:val="clear" w:color="auto" w:fill="FFFFFF"/>
        </w:rPr>
        <w:t> </w:t>
      </w:r>
      <w:r w:rsidRPr="00D05EBD">
        <w:rPr>
          <w:rFonts w:cs="Arial"/>
          <w:i/>
          <w:color w:val="222222"/>
          <w:sz w:val="24"/>
          <w:szCs w:val="24"/>
          <w:shd w:val="clear" w:color="auto" w:fill="FFFFFF"/>
        </w:rPr>
        <w:t xml:space="preserve">5: Are people more likely to use </w:t>
      </w:r>
      <w:r w:rsidR="00FB0DB0">
        <w:rPr>
          <w:rFonts w:cs="Arial"/>
          <w:i/>
          <w:color w:val="222222"/>
          <w:sz w:val="24"/>
          <w:szCs w:val="24"/>
          <w:shd w:val="clear" w:color="auto" w:fill="FFFFFF"/>
        </w:rPr>
        <w:t>automatic interpersonal emotion regulation</w:t>
      </w:r>
      <w:r w:rsidRPr="00D05EBD">
        <w:rPr>
          <w:rFonts w:cs="Arial"/>
          <w:i/>
          <w:color w:val="222222"/>
          <w:sz w:val="24"/>
          <w:szCs w:val="24"/>
          <w:shd w:val="clear" w:color="auto" w:fill="FFFFFF"/>
        </w:rPr>
        <w:t xml:space="preserve"> when experiencing mental load in a social context?</w:t>
      </w:r>
    </w:p>
    <w:p w:rsidR="00FB1389" w:rsidRPr="00D05EBD" w:rsidRDefault="00FB1389" w:rsidP="00AE640B">
      <w:pPr>
        <w:tabs>
          <w:tab w:val="left" w:pos="800"/>
          <w:tab w:val="left" w:pos="1400"/>
          <w:tab w:val="left" w:pos="1800"/>
          <w:tab w:val="left" w:pos="3500"/>
          <w:tab w:val="left" w:pos="7200"/>
          <w:tab w:val="left" w:pos="9599"/>
        </w:tabs>
        <w:spacing w:line="480" w:lineRule="auto"/>
        <w:ind w:right="14"/>
        <w:jc w:val="both"/>
        <w:rPr>
          <w:sz w:val="24"/>
          <w:szCs w:val="24"/>
        </w:rPr>
      </w:pPr>
      <w:r w:rsidRPr="00D05EBD">
        <w:rPr>
          <w:sz w:val="24"/>
          <w:szCs w:val="24"/>
        </w:rPr>
        <w:tab/>
        <w:t xml:space="preserve">ER requires cognitive resources; therefore, having limited or no cognitive resources can lead people to rely more on automatic processes. Study 4 aimed to explore whether cognitive load influenced the way people used IER strategies in a romantic context, at a speed dating event. Variations in three features of IER that have been associated with automaticity were measured: </w:t>
      </w:r>
      <w:proofErr w:type="spellStart"/>
      <w:r w:rsidRPr="00D05EBD">
        <w:rPr>
          <w:sz w:val="24"/>
          <w:szCs w:val="24"/>
        </w:rPr>
        <w:t>i</w:t>
      </w:r>
      <w:proofErr w:type="spellEnd"/>
      <w:r w:rsidRPr="00D05EBD">
        <w:rPr>
          <w:sz w:val="24"/>
          <w:szCs w:val="24"/>
        </w:rPr>
        <w:t xml:space="preserve">) the extent to which people were aware of their use of IER strategies, ii) the effort exerted when using IER strategies and iii) the intention to use IER strategies. Participants attended a speed dating event where they had between 5 and 6 dates of 4 minutes duration. Half of the participants were allocated to a cognitive load condition where they were asked to remember an 11-digit number throughout their dates and then were asked to report it at the end of each date. The other half of the participants were asked to remember a one digit number. At the end of each date participants answered a questionnaire that asked them whether they tried to make their date feel good / bad, whether they intended to do so, and the amount of effort that they put into it. It was predicted that participants in the cognitive load condition in comparison with participants in the no load condition, would report lower levels of intentionality, effort and awareness of use of behaviours aimed at </w:t>
      </w:r>
      <w:r w:rsidRPr="00D05EBD">
        <w:rPr>
          <w:sz w:val="24"/>
          <w:szCs w:val="24"/>
        </w:rPr>
        <w:lastRenderedPageBreak/>
        <w:t xml:space="preserve">improving or worsening the emotions of their dates. These are strong candidates for indicators of AIER. </w:t>
      </w:r>
    </w:p>
    <w:p w:rsidR="00FB1389" w:rsidRPr="00D05EBD" w:rsidRDefault="00FB1389" w:rsidP="00AE640B">
      <w:pPr>
        <w:tabs>
          <w:tab w:val="left" w:pos="800"/>
          <w:tab w:val="left" w:pos="1400"/>
          <w:tab w:val="left" w:pos="1800"/>
          <w:tab w:val="left" w:pos="3500"/>
          <w:tab w:val="left" w:pos="7200"/>
          <w:tab w:val="left" w:pos="9599"/>
        </w:tabs>
        <w:spacing w:line="480" w:lineRule="auto"/>
        <w:ind w:right="14"/>
        <w:jc w:val="both"/>
        <w:rPr>
          <w:rFonts w:cs="Arial"/>
          <w:i/>
          <w:color w:val="222222"/>
          <w:sz w:val="24"/>
          <w:szCs w:val="24"/>
          <w:shd w:val="clear" w:color="auto" w:fill="FFFFFF"/>
        </w:rPr>
      </w:pPr>
      <w:r w:rsidRPr="00D05EBD">
        <w:rPr>
          <w:rStyle w:val="il"/>
          <w:rFonts w:cs="Arial"/>
          <w:i/>
          <w:color w:val="222222"/>
          <w:sz w:val="24"/>
          <w:szCs w:val="24"/>
          <w:shd w:val="clear" w:color="auto" w:fill="FFFFFF"/>
        </w:rPr>
        <w:tab/>
        <w:t>Chapter</w:t>
      </w:r>
      <w:r w:rsidRPr="00D05EBD">
        <w:rPr>
          <w:rStyle w:val="apple-converted-space"/>
          <w:rFonts w:cs="Arial"/>
          <w:i/>
          <w:color w:val="222222"/>
          <w:sz w:val="24"/>
          <w:szCs w:val="24"/>
          <w:shd w:val="clear" w:color="auto" w:fill="FFFFFF"/>
        </w:rPr>
        <w:t> </w:t>
      </w:r>
      <w:r w:rsidRPr="00D05EBD">
        <w:rPr>
          <w:rFonts w:cs="Arial"/>
          <w:i/>
          <w:color w:val="222222"/>
          <w:sz w:val="24"/>
          <w:szCs w:val="24"/>
          <w:shd w:val="clear" w:color="auto" w:fill="FFFFFF"/>
        </w:rPr>
        <w:t>6: General discussion.</w:t>
      </w:r>
    </w:p>
    <w:p w:rsidR="00FB1389" w:rsidRPr="00D05EBD" w:rsidRDefault="00FB1389" w:rsidP="00AE640B">
      <w:pPr>
        <w:tabs>
          <w:tab w:val="left" w:pos="800"/>
          <w:tab w:val="left" w:pos="1400"/>
          <w:tab w:val="left" w:pos="1800"/>
          <w:tab w:val="left" w:pos="3500"/>
          <w:tab w:val="left" w:pos="7200"/>
          <w:tab w:val="left" w:pos="9599"/>
        </w:tabs>
        <w:spacing w:line="480" w:lineRule="auto"/>
        <w:ind w:right="14"/>
        <w:jc w:val="both"/>
        <w:rPr>
          <w:rFonts w:cs="Arial"/>
          <w:b/>
          <w:color w:val="222222"/>
          <w:sz w:val="24"/>
          <w:szCs w:val="24"/>
          <w:shd w:val="clear" w:color="auto" w:fill="FFFFFF"/>
        </w:rPr>
      </w:pPr>
    </w:p>
    <w:p w:rsidR="00FB1389" w:rsidRPr="00D05EBD" w:rsidRDefault="00FB1389" w:rsidP="00AE640B">
      <w:pPr>
        <w:spacing w:line="480" w:lineRule="auto"/>
        <w:jc w:val="both"/>
        <w:rPr>
          <w:rFonts w:cs="Times New Roman"/>
          <w:b/>
          <w:sz w:val="24"/>
          <w:szCs w:val="24"/>
        </w:rPr>
      </w:pPr>
    </w:p>
    <w:p w:rsidR="00FB1389" w:rsidRPr="00D05EBD" w:rsidRDefault="00FB1389" w:rsidP="00AE640B">
      <w:pPr>
        <w:spacing w:line="480" w:lineRule="auto"/>
        <w:jc w:val="both"/>
        <w:rPr>
          <w:rFonts w:cs="Times New Roman"/>
          <w:b/>
          <w:sz w:val="24"/>
          <w:szCs w:val="24"/>
        </w:rPr>
      </w:pPr>
    </w:p>
    <w:p w:rsidR="00FB1389" w:rsidRPr="00D05EBD" w:rsidRDefault="00FB1389" w:rsidP="00AE640B">
      <w:pPr>
        <w:spacing w:line="480" w:lineRule="auto"/>
        <w:jc w:val="both"/>
        <w:rPr>
          <w:rFonts w:cs="Times New Roman"/>
          <w:b/>
          <w:sz w:val="24"/>
          <w:szCs w:val="24"/>
        </w:rPr>
      </w:pPr>
    </w:p>
    <w:p w:rsidR="00FB1389" w:rsidRPr="00D05EBD" w:rsidRDefault="00FB1389" w:rsidP="00AE640B">
      <w:pPr>
        <w:spacing w:line="480" w:lineRule="auto"/>
        <w:jc w:val="both"/>
        <w:rPr>
          <w:rFonts w:cs="Times New Roman"/>
          <w:b/>
          <w:sz w:val="24"/>
          <w:szCs w:val="24"/>
        </w:rPr>
      </w:pPr>
    </w:p>
    <w:p w:rsidR="00FB1389" w:rsidRPr="00D05EBD" w:rsidRDefault="00FB1389" w:rsidP="00AE640B">
      <w:pPr>
        <w:spacing w:line="480" w:lineRule="auto"/>
        <w:jc w:val="both"/>
        <w:rPr>
          <w:rFonts w:cs="Times New Roman"/>
          <w:b/>
          <w:sz w:val="24"/>
          <w:szCs w:val="24"/>
        </w:rPr>
      </w:pPr>
    </w:p>
    <w:p w:rsidR="00FB1389" w:rsidRPr="00D05EBD" w:rsidRDefault="00FB1389" w:rsidP="00AE640B">
      <w:pPr>
        <w:spacing w:line="480" w:lineRule="auto"/>
        <w:jc w:val="both"/>
        <w:rPr>
          <w:rFonts w:cs="Times New Roman"/>
          <w:b/>
          <w:sz w:val="24"/>
          <w:szCs w:val="24"/>
        </w:rPr>
      </w:pPr>
    </w:p>
    <w:p w:rsidR="00FB1389" w:rsidRPr="00D05EBD" w:rsidRDefault="00FB1389" w:rsidP="00AE640B">
      <w:pPr>
        <w:spacing w:line="480" w:lineRule="auto"/>
        <w:jc w:val="both"/>
        <w:rPr>
          <w:rFonts w:cs="Times New Roman"/>
          <w:b/>
          <w:sz w:val="24"/>
          <w:szCs w:val="24"/>
        </w:rPr>
      </w:pPr>
    </w:p>
    <w:p w:rsidR="00FB1389" w:rsidRPr="00D05EBD" w:rsidRDefault="00FB1389" w:rsidP="00AE640B">
      <w:pPr>
        <w:spacing w:line="480" w:lineRule="auto"/>
        <w:jc w:val="both"/>
        <w:rPr>
          <w:rFonts w:cs="Times New Roman"/>
          <w:b/>
          <w:sz w:val="24"/>
          <w:szCs w:val="24"/>
        </w:rPr>
      </w:pPr>
    </w:p>
    <w:p w:rsidR="00FB1389" w:rsidRPr="00D05EBD" w:rsidRDefault="00FB1389" w:rsidP="00AE640B">
      <w:pPr>
        <w:spacing w:line="480" w:lineRule="auto"/>
        <w:jc w:val="both"/>
        <w:rPr>
          <w:rFonts w:cs="Times New Roman"/>
          <w:b/>
          <w:sz w:val="24"/>
          <w:szCs w:val="24"/>
        </w:rPr>
      </w:pPr>
    </w:p>
    <w:p w:rsidR="00FB1389" w:rsidRDefault="00FB1389" w:rsidP="00AE640B">
      <w:pPr>
        <w:spacing w:line="480" w:lineRule="auto"/>
        <w:jc w:val="both"/>
        <w:rPr>
          <w:rFonts w:cs="Times New Roman"/>
          <w:b/>
          <w:sz w:val="24"/>
          <w:szCs w:val="24"/>
        </w:rPr>
      </w:pPr>
    </w:p>
    <w:p w:rsidR="004901CA" w:rsidRDefault="004901CA" w:rsidP="00AE640B">
      <w:pPr>
        <w:spacing w:line="480" w:lineRule="auto"/>
        <w:jc w:val="both"/>
        <w:rPr>
          <w:rFonts w:cs="Times New Roman"/>
          <w:b/>
          <w:sz w:val="24"/>
          <w:szCs w:val="24"/>
        </w:rPr>
      </w:pPr>
    </w:p>
    <w:p w:rsidR="004901CA" w:rsidRPr="00D05EBD" w:rsidRDefault="004901CA" w:rsidP="00AE640B">
      <w:pPr>
        <w:spacing w:line="480" w:lineRule="auto"/>
        <w:jc w:val="both"/>
        <w:rPr>
          <w:rFonts w:cs="Times New Roman"/>
          <w:b/>
          <w:sz w:val="24"/>
          <w:szCs w:val="24"/>
        </w:rPr>
      </w:pPr>
    </w:p>
    <w:p w:rsidR="004901CA" w:rsidRDefault="004901CA" w:rsidP="004901CA">
      <w:pPr>
        <w:spacing w:line="480" w:lineRule="auto"/>
        <w:jc w:val="center"/>
        <w:rPr>
          <w:rFonts w:cs="Times New Roman"/>
          <w:b/>
          <w:sz w:val="72"/>
          <w:szCs w:val="72"/>
        </w:rPr>
      </w:pPr>
    </w:p>
    <w:p w:rsidR="00A46B68" w:rsidRDefault="00A46B68" w:rsidP="004901CA">
      <w:pPr>
        <w:spacing w:line="480" w:lineRule="auto"/>
        <w:jc w:val="center"/>
        <w:rPr>
          <w:rFonts w:cs="Times New Roman"/>
          <w:b/>
          <w:sz w:val="72"/>
          <w:szCs w:val="72"/>
        </w:rPr>
      </w:pPr>
    </w:p>
    <w:p w:rsidR="004901CA" w:rsidRDefault="00FB1389" w:rsidP="004901CA">
      <w:pPr>
        <w:spacing w:line="480" w:lineRule="auto"/>
        <w:jc w:val="center"/>
        <w:rPr>
          <w:rFonts w:cs="Times New Roman"/>
          <w:b/>
          <w:sz w:val="72"/>
          <w:szCs w:val="72"/>
        </w:rPr>
      </w:pPr>
      <w:r w:rsidRPr="004901CA">
        <w:rPr>
          <w:rFonts w:cs="Times New Roman"/>
          <w:b/>
          <w:sz w:val="72"/>
          <w:szCs w:val="72"/>
        </w:rPr>
        <w:t xml:space="preserve">CHAPTER </w:t>
      </w:r>
      <w:r w:rsidR="004901CA" w:rsidRPr="004901CA">
        <w:rPr>
          <w:rFonts w:cs="Times New Roman"/>
          <w:b/>
          <w:sz w:val="72"/>
          <w:szCs w:val="72"/>
        </w:rPr>
        <w:t>2</w:t>
      </w:r>
    </w:p>
    <w:p w:rsidR="00FB1389" w:rsidRPr="004901CA" w:rsidRDefault="00FB1389" w:rsidP="004901CA">
      <w:pPr>
        <w:spacing w:line="480" w:lineRule="auto"/>
        <w:jc w:val="center"/>
        <w:rPr>
          <w:rFonts w:cs="Times New Roman"/>
          <w:b/>
          <w:sz w:val="72"/>
          <w:szCs w:val="72"/>
        </w:rPr>
      </w:pPr>
      <w:r w:rsidRPr="004901CA">
        <w:rPr>
          <w:rFonts w:cs="Arial"/>
          <w:b/>
          <w:color w:val="222222"/>
          <w:sz w:val="40"/>
          <w:szCs w:val="40"/>
          <w:shd w:val="clear" w:color="auto" w:fill="FFFFFF"/>
        </w:rPr>
        <w:t>How do people regulate others’ emotions? Measures of frequency and habit.</w:t>
      </w:r>
    </w:p>
    <w:p w:rsidR="00FB1389" w:rsidRPr="00D05EBD" w:rsidRDefault="00FB1389" w:rsidP="00AE640B">
      <w:pPr>
        <w:spacing w:line="480" w:lineRule="auto"/>
        <w:jc w:val="both"/>
        <w:rPr>
          <w:rFonts w:cs="Times New Roman"/>
          <w:b/>
          <w:sz w:val="24"/>
          <w:szCs w:val="24"/>
        </w:rPr>
      </w:pPr>
    </w:p>
    <w:p w:rsidR="00FB1389" w:rsidRPr="00D05EBD" w:rsidRDefault="00FB1389" w:rsidP="00AE640B">
      <w:pPr>
        <w:spacing w:line="480" w:lineRule="auto"/>
        <w:jc w:val="both"/>
        <w:rPr>
          <w:rFonts w:cs="Times New Roman"/>
          <w:b/>
          <w:sz w:val="24"/>
          <w:szCs w:val="24"/>
        </w:rPr>
      </w:pPr>
    </w:p>
    <w:p w:rsidR="00FB1389" w:rsidRPr="00D05EBD" w:rsidRDefault="00FB1389" w:rsidP="00AE640B">
      <w:pPr>
        <w:spacing w:line="480" w:lineRule="auto"/>
        <w:jc w:val="both"/>
        <w:rPr>
          <w:rFonts w:cs="Times New Roman"/>
          <w:b/>
          <w:sz w:val="24"/>
          <w:szCs w:val="24"/>
        </w:rPr>
      </w:pPr>
    </w:p>
    <w:p w:rsidR="00FB1389" w:rsidRPr="00D05EBD" w:rsidRDefault="00FB1389" w:rsidP="00AE640B">
      <w:pPr>
        <w:spacing w:line="480" w:lineRule="auto"/>
        <w:jc w:val="both"/>
        <w:rPr>
          <w:rFonts w:cs="Times New Roman"/>
          <w:b/>
          <w:sz w:val="24"/>
          <w:szCs w:val="24"/>
        </w:rPr>
      </w:pPr>
    </w:p>
    <w:p w:rsidR="00FB1389" w:rsidRDefault="00FB1389" w:rsidP="00AE640B">
      <w:pPr>
        <w:spacing w:line="480" w:lineRule="auto"/>
        <w:jc w:val="both"/>
        <w:rPr>
          <w:rFonts w:cs="Times New Roman"/>
          <w:b/>
          <w:sz w:val="24"/>
          <w:szCs w:val="24"/>
        </w:rPr>
      </w:pPr>
    </w:p>
    <w:p w:rsidR="004901CA" w:rsidRDefault="004901CA" w:rsidP="00AE640B">
      <w:pPr>
        <w:spacing w:line="480" w:lineRule="auto"/>
        <w:jc w:val="both"/>
        <w:rPr>
          <w:rFonts w:cs="Times New Roman"/>
          <w:b/>
          <w:sz w:val="24"/>
          <w:szCs w:val="24"/>
        </w:rPr>
      </w:pPr>
    </w:p>
    <w:p w:rsidR="004901CA" w:rsidRDefault="004901CA" w:rsidP="00AE640B">
      <w:pPr>
        <w:spacing w:line="480" w:lineRule="auto"/>
        <w:jc w:val="both"/>
        <w:rPr>
          <w:rFonts w:cs="Times New Roman"/>
          <w:b/>
          <w:sz w:val="24"/>
          <w:szCs w:val="24"/>
        </w:rPr>
      </w:pPr>
    </w:p>
    <w:p w:rsidR="004901CA" w:rsidRDefault="004901CA" w:rsidP="00AE640B">
      <w:pPr>
        <w:spacing w:line="480" w:lineRule="auto"/>
        <w:jc w:val="both"/>
        <w:rPr>
          <w:rFonts w:cs="Times New Roman"/>
          <w:b/>
          <w:sz w:val="24"/>
          <w:szCs w:val="24"/>
        </w:rPr>
      </w:pPr>
    </w:p>
    <w:p w:rsidR="004901CA" w:rsidRDefault="004901CA" w:rsidP="00AE640B">
      <w:pPr>
        <w:spacing w:line="480" w:lineRule="auto"/>
        <w:jc w:val="both"/>
        <w:rPr>
          <w:rFonts w:cs="Times New Roman"/>
          <w:b/>
          <w:sz w:val="24"/>
          <w:szCs w:val="24"/>
        </w:rPr>
      </w:pPr>
    </w:p>
    <w:p w:rsidR="00AF175A" w:rsidRDefault="00AF175A" w:rsidP="00AE640B">
      <w:pPr>
        <w:pStyle w:val="Prrafodelista"/>
        <w:spacing w:after="0" w:line="480" w:lineRule="auto"/>
        <w:ind w:left="0"/>
        <w:jc w:val="both"/>
        <w:rPr>
          <w:sz w:val="24"/>
          <w:szCs w:val="24"/>
        </w:rPr>
      </w:pPr>
    </w:p>
    <w:p w:rsidR="00FB1389" w:rsidRPr="00D05EBD" w:rsidRDefault="00FB1389" w:rsidP="00AF175A">
      <w:pPr>
        <w:pStyle w:val="Prrafodelista"/>
        <w:spacing w:after="0" w:line="480" w:lineRule="auto"/>
        <w:ind w:left="0" w:firstLine="720"/>
        <w:jc w:val="both"/>
        <w:rPr>
          <w:sz w:val="24"/>
          <w:szCs w:val="24"/>
        </w:rPr>
      </w:pPr>
      <w:r w:rsidRPr="00D05EBD">
        <w:rPr>
          <w:sz w:val="24"/>
          <w:szCs w:val="24"/>
        </w:rPr>
        <w:lastRenderedPageBreak/>
        <w:t xml:space="preserve">The previous chapter introduced basic concepts to understand automatic interpersonal emotion regulation (AIER) or the things that people do to modify the emotions of others in an automatic way. It also presented a plan for the present thesis along with two fundamental questions this thesis aims to answer: </w:t>
      </w:r>
      <w:proofErr w:type="spellStart"/>
      <w:r w:rsidRPr="00D05EBD">
        <w:rPr>
          <w:sz w:val="24"/>
          <w:szCs w:val="24"/>
        </w:rPr>
        <w:t>i</w:t>
      </w:r>
      <w:proofErr w:type="spellEnd"/>
      <w:r w:rsidRPr="00D05EBD">
        <w:rPr>
          <w:sz w:val="24"/>
          <w:szCs w:val="24"/>
        </w:rPr>
        <w:t>) whether it is possible to empirically observe AIER and ii) which are the factors that facilitate or promote the use of AIER. The current chapter introduces the first empirical study which aims to answer the first fundamental question. The goal of Study 1 is to identify if people report using AIER and, specifically to investigate whether people’s report on their use of AIER varies depending on the purpose of the interpersonal emotion regulation (IER) behaviour (to make others feel better or worse) and on whether the IER takes place with close others or acquaintances.</w:t>
      </w:r>
    </w:p>
    <w:p w:rsidR="00FB1389" w:rsidRPr="00D05EBD" w:rsidRDefault="00FB1389" w:rsidP="00AE640B">
      <w:pPr>
        <w:pStyle w:val="Prrafodelista"/>
        <w:spacing w:after="0" w:line="480" w:lineRule="auto"/>
        <w:ind w:left="0"/>
        <w:jc w:val="both"/>
        <w:rPr>
          <w:sz w:val="24"/>
          <w:szCs w:val="24"/>
        </w:rPr>
      </w:pPr>
    </w:p>
    <w:p w:rsidR="00FB1389" w:rsidRPr="00D05EBD" w:rsidRDefault="00FB1389" w:rsidP="00AE640B">
      <w:pPr>
        <w:pStyle w:val="Prrafodelista"/>
        <w:spacing w:after="0" w:line="480" w:lineRule="auto"/>
        <w:ind w:left="0"/>
        <w:jc w:val="both"/>
        <w:rPr>
          <w:b/>
          <w:sz w:val="24"/>
          <w:szCs w:val="24"/>
        </w:rPr>
      </w:pPr>
      <w:r w:rsidRPr="00D05EBD">
        <w:rPr>
          <w:b/>
          <w:sz w:val="24"/>
          <w:szCs w:val="24"/>
        </w:rPr>
        <w:t>2.1 Automatic emotion regulation with close others and with acquaintances</w:t>
      </w:r>
    </w:p>
    <w:p w:rsidR="00FB1389" w:rsidRPr="00D05EBD" w:rsidRDefault="00FB1389" w:rsidP="00AE640B">
      <w:pPr>
        <w:pStyle w:val="Prrafodelista"/>
        <w:spacing w:after="0" w:line="480" w:lineRule="auto"/>
        <w:ind w:left="0"/>
        <w:jc w:val="both"/>
        <w:rPr>
          <w:sz w:val="24"/>
          <w:szCs w:val="24"/>
        </w:rPr>
      </w:pPr>
      <w:r w:rsidRPr="00D05EBD">
        <w:rPr>
          <w:sz w:val="24"/>
          <w:szCs w:val="24"/>
        </w:rPr>
        <w:tab/>
      </w:r>
    </w:p>
    <w:p w:rsidR="00FB1389" w:rsidRPr="00D05EBD" w:rsidRDefault="00FB1389" w:rsidP="0098118E">
      <w:pPr>
        <w:pStyle w:val="Prrafodelista"/>
        <w:spacing w:after="0" w:line="480" w:lineRule="auto"/>
        <w:ind w:left="0"/>
        <w:jc w:val="both"/>
        <w:rPr>
          <w:sz w:val="24"/>
          <w:szCs w:val="24"/>
        </w:rPr>
      </w:pPr>
      <w:r w:rsidRPr="00D05EBD">
        <w:rPr>
          <w:sz w:val="24"/>
          <w:szCs w:val="24"/>
        </w:rPr>
        <w:tab/>
        <w:t xml:space="preserve">As people move from one social context to another, they also interact with different sorts of people. The way in which people behave towards others depends on the kind of relationship they have with them. The people encountered in a family reunion are not the same as the people encountered in a work meeting. For example, people usually hug and kiss their children when they fall down to make them feel better but they probably would not hug and kiss a stranger's child. Generally speaking, any relationship can be found along a continuum from close relationships on one end to non-close relationships on the opposite end. According to </w:t>
      </w:r>
      <w:r w:rsidR="00B06E70">
        <w:rPr>
          <w:sz w:val="24"/>
          <w:szCs w:val="24"/>
        </w:rPr>
        <w:fldChar w:fldCharType="begin" w:fldLock="1"/>
      </w:r>
      <w:r w:rsidR="00F91F83">
        <w:rPr>
          <w:sz w:val="24"/>
          <w:szCs w:val="24"/>
        </w:rPr>
        <w:instrText>ADDIN CSL_CITATION { "citationItems" : [ { "id" : "ITEM-1", "itemData" : { "abstract" : "A n y layperson or scientist comes to interpersonal relationships with a large set of preexisting ideas, concepts, labels, implicit and explicit theories, beliefs about causes of important phenomena, and expectations about conse-quences of various states or events. The complexity of existing scientific information bearing on interpersonal relationships can be seen by examining a recent propositional inventory of research on the family (Goode, Hopkins, &amp; McClure, 1971). Some 3,000 propositions are listed that bear on the interpersonal relations found within and around the family (dating, husband-wife, parent-chiId, siblings, and so on). Each of these propositions is of the form \"X leads to Y,\" or \"X is associated with Y.\" For example, \"the less the husband and wife depend on each other, the greater are their chances of splitting up\"; \"maternal possessiveness is negatively correlated with edu-cation of the mother\"; \"status differentials in the type of labor will frequently be a source of conflict between siblings.\" The 3,000 two-variable propositions in this fermat could be generated by a cnmbinati~n nf a few as 78 variables (X's and Y's) or by as many as 6,000 variables (if each X and Y in each proposition were unique to it). A rough estimate suggests that the actual total of X and Y variables in Goode et al.'s inventory approximates 700. Thus, in this one encyclopedic source (whose 2,000-item bibliography is hardly complete), the student of interpersonal relationships is confronted with some 700 variables (terms, concepts, factors) and their possible interrelations. A dozen examples will suggest their variety: favoritism, aggression, ordinal ANALYZING CLOSE RELATIONSHIPS 21 position, schizophrenia, discipline, economic security, father absence, pri-vacy, affinal relations, achievement, marital adjustment, and social change. Faced with such a profusion of variables and propositions in the literature on relationships, we have found it necessary to go back to basics. We have adopted the approach of a visitor from outer space, attempting to specify what it is that such an alien, not having the extensive experience with human interpersonal relationships that all earthlings have, would see and hear, and what such an alien would do in the way of analysis, interpretation, and inference in order to make sense of these data. Using this approach, we try to characterize the essentials of what the scientist does in the study of interpersonal relations. We especially\u2026", "author" : [ { "dropping-particle" : "", "family" : "Kelley", "given" : "Harold H", "non-dropping-particle" : "", "parse-names" : false, "suffix" : "" }, { "dropping-particle" : "", "family" : "Berscheid", "given" : "Ellen", "non-dropping-particle" : "", "parse-names" : false, "suffix" : "" }, { "dropping-particle" : "", "family" : "Christensen", "given" : "Andrew", "non-dropping-particle" : "", "parse-names" : false, "suffix" : "" }, { "dropping-particle" : "", "family" : "Harvey", "given" : "John H", "non-dropping-particle" : "", "parse-names" : false, "suffix" : "" }, { "dropping-particle" : "", "family" : "Huston", "given" : "Ted L", "non-dropping-particle" : "", "parse-names" : false, "suffix" : "" }, { "dropping-particle" : "", "family" : "Levinger", "given" : "George", "non-dropping-particle" : "", "parse-names" : false, "suffix" : "" }, { "dropping-particle" : "", "family" : "McClintock", "given" : "Evie", "non-dropping-particle" : "", "parse-names" : false, "suffix" : "" }, { "dropping-particle" : "", "family" : "Peplau", "given" : "Letitia Anne", "non-dropping-particle" : "", "parse-names" : false, "suffix" : "" }, { "dropping-particle" : "", "family" : "Peterson", "given" : "Donald R", "non-dropping-particle" : "", "parse-names" : false, "suffix" : "" } ], "chapter-number" : "2", "container-title" : "Close Relationships", "editor" : [ { "dropping-particle" : "", "family" : "Kelley", "given" : "Harold H", "non-dropping-particle" : "", "parse-names" : false, "suffix" : "" } ], "id" : "ITEM-1", "issued" : { "date-parts" : [ [ "1983" ] ] }, "page" : "20-67", "publisher" : "W.H.Freeman &amp; Co Ltd", "publisher-place" : "New York, NY", "title" : "Analyzing close relationships", "type" : "chapter" }, "uris" : [ "http://www.mendeley.com/documents/?uuid=5d23c95b-e101-3f4d-bb3b-20baa90b5225" ] } ], "mendeley" : { "formattedCitation" : "(Kelley et al., 1983)", "manualFormatting" : "Kelley et al. (1983)", "plainTextFormattedCitation" : "(Kelley et al., 1983)", "previouslyFormattedCitation" : "(Kelley et al., 1983)" }, "properties" : { "noteIndex" : 0 }, "schema" : "https://github.com/citation-style-language/schema/raw/master/csl-citation.json" }</w:instrText>
      </w:r>
      <w:r w:rsidR="00B06E70">
        <w:rPr>
          <w:sz w:val="24"/>
          <w:szCs w:val="24"/>
        </w:rPr>
        <w:fldChar w:fldCharType="separate"/>
      </w:r>
      <w:r w:rsidR="00605418">
        <w:rPr>
          <w:noProof/>
          <w:sz w:val="24"/>
          <w:szCs w:val="24"/>
        </w:rPr>
        <w:t>Kelley et al.</w:t>
      </w:r>
      <w:r w:rsidR="00605418" w:rsidRPr="00605418">
        <w:rPr>
          <w:noProof/>
          <w:sz w:val="24"/>
          <w:szCs w:val="24"/>
        </w:rPr>
        <w:t xml:space="preserve"> </w:t>
      </w:r>
      <w:r w:rsidR="00605418">
        <w:rPr>
          <w:noProof/>
          <w:sz w:val="24"/>
          <w:szCs w:val="24"/>
        </w:rPr>
        <w:t>(</w:t>
      </w:r>
      <w:r w:rsidR="00605418" w:rsidRPr="00605418">
        <w:rPr>
          <w:noProof/>
          <w:sz w:val="24"/>
          <w:szCs w:val="24"/>
        </w:rPr>
        <w:t>1983)</w:t>
      </w:r>
      <w:r w:rsidR="00B06E70">
        <w:rPr>
          <w:sz w:val="24"/>
          <w:szCs w:val="24"/>
        </w:rPr>
        <w:fldChar w:fldCharType="end"/>
      </w:r>
      <w:r w:rsidRPr="00D05EBD">
        <w:rPr>
          <w:sz w:val="24"/>
          <w:szCs w:val="24"/>
        </w:rPr>
        <w:t xml:space="preserve">, close relationships have a considerable duration (measured in months or years rather than days) and the interconnections between people’s thoughts, feelings and/or behaviours </w:t>
      </w:r>
      <w:r w:rsidRPr="00D05EBD">
        <w:rPr>
          <w:sz w:val="24"/>
          <w:szCs w:val="24"/>
        </w:rPr>
        <w:lastRenderedPageBreak/>
        <w:t xml:space="preserve">are strong, frequent and diverse (e.g. sexual, intellectual, recreational, professional). Examples of close relationships include friendships, marriages and parent-child relationships. On the other hand, non-close relationships occur between people that rarely see or speak to each other and that are perceived as non-close </w:t>
      </w:r>
      <w:r w:rsidRPr="00605418">
        <w:rPr>
          <w:sz w:val="24"/>
          <w:szCs w:val="24"/>
        </w:rPr>
        <w:t>(Kell</w:t>
      </w:r>
      <w:r w:rsidR="004B283F">
        <w:rPr>
          <w:sz w:val="24"/>
          <w:szCs w:val="24"/>
        </w:rPr>
        <w:t>e</w:t>
      </w:r>
      <w:r w:rsidRPr="00605418">
        <w:rPr>
          <w:sz w:val="24"/>
          <w:szCs w:val="24"/>
        </w:rPr>
        <w:t>y et al.</w:t>
      </w:r>
      <w:r w:rsidR="00D56690">
        <w:rPr>
          <w:sz w:val="24"/>
          <w:szCs w:val="24"/>
        </w:rPr>
        <w:t>,</w:t>
      </w:r>
      <w:r w:rsidRPr="00605418">
        <w:rPr>
          <w:sz w:val="24"/>
          <w:szCs w:val="24"/>
        </w:rPr>
        <w:t xml:space="preserve"> 1983).</w:t>
      </w:r>
      <w:r w:rsidRPr="00D05EBD">
        <w:rPr>
          <w:sz w:val="24"/>
          <w:szCs w:val="24"/>
        </w:rPr>
        <w:t xml:space="preserve"> IER may occur in every kind of relationship, it can be found in intimate relationships</w:t>
      </w:r>
      <w:r w:rsidR="0098118E">
        <w:rPr>
          <w:sz w:val="24"/>
          <w:szCs w:val="24"/>
        </w:rPr>
        <w:t xml:space="preserve"> </w:t>
      </w:r>
      <w:r w:rsidR="00B06E70">
        <w:rPr>
          <w:sz w:val="24"/>
          <w:szCs w:val="24"/>
        </w:rPr>
        <w:fldChar w:fldCharType="begin" w:fldLock="1"/>
      </w:r>
      <w:r w:rsidR="0098118E">
        <w:rPr>
          <w:sz w:val="24"/>
          <w:szCs w:val="24"/>
        </w:rPr>
        <w:instrText>ADDIN CSL_CITATION { "citationItems" : [ { "id" : "ITEM-1", "itemData" : { "DOI" : "10.1111/j.1467-6494.1992.tb00981.x", "ISBN" : "0022-3506 (Print)\\r0022-3506 (Linking)", "ISSN" : "0022-3506", "PMID" : "1635051", "abstract" : "This research had three basic goals: (a) to identify manipulation tactics used in close relationships; (b) to document empirically the degree of generality and specificity of tactical deployment across relationship types (mates, friends, parents); and (c) to identify links between five major personality dimensions and the usage of manipulation tactics. Twelve manipulation tactics were identified through separate factor analyses of two instruments based on different data sources: Charm, Reason, Coercion, Silent Treatment, Debasement, and Regression (replicating Buss et al., 1987), and Responsibility Invocation, Reciprocity, Monetary Reward, Pleasure Induction, Social Comparison, and Hardball (an amalgam of threats, lies, and violence). The Big Five personality factors were assessed through three separate data sources: self-report, spouse report, and two independent interviewers. Personality factors showed coherent links with tactics, including Surgency (Coercion, Responsibility, Invocation), Desurgency (Debasement), Agreeableness (Pleasure Induction), Disagreeableness (Coercion), Conscientiousness (Reason), Emotional Instability (Regression), and Intellect-Openness (Reason). Discussion focuses on the consequences of the five personality factors for social interaction in close relationships.", "author" : [ { "dropping-particle" : "", "family" : "Buss", "given" : "David M", "non-dropping-particle" : "", "parse-names" : false, "suffix" : "" } ], "container-title" : "Journal of personality", "id" : "ITEM-1", "issue" : "2", "issued" : { "date-parts" : [ [ "1992" ] ] }, "page" : "477-499", "title" : "Manipulation in close relationships: five personality factors in interactional context.", "type" : "article-journal", "volume" : "60" }, "uris" : [ "http://www.mendeley.com/documents/?uuid=5447f3e5-31f7-3a28-9ee7-3efdeeb5920e" ] } ], "mendeley" : { "formattedCitation" : "(Buss, 1992)", "manualFormatting" : "(i.e., mates, friends, and parents; Buss, 1992", "plainTextFormattedCitation" : "(Buss, 1992)", "previouslyFormattedCitation" : "(Buss, 1992)" }, "properties" : { "noteIndex" : 0 }, "schema" : "https://github.com/citation-style-language/schema/raw/master/csl-citation.json" }</w:instrText>
      </w:r>
      <w:r w:rsidR="00B06E70">
        <w:rPr>
          <w:sz w:val="24"/>
          <w:szCs w:val="24"/>
        </w:rPr>
        <w:fldChar w:fldCharType="separate"/>
      </w:r>
      <w:r w:rsidR="0098118E" w:rsidRPr="0098118E">
        <w:rPr>
          <w:noProof/>
          <w:sz w:val="24"/>
          <w:szCs w:val="24"/>
        </w:rPr>
        <w:t>(</w:t>
      </w:r>
      <w:r w:rsidR="0098118E">
        <w:rPr>
          <w:noProof/>
          <w:sz w:val="24"/>
          <w:szCs w:val="24"/>
        </w:rPr>
        <w:t xml:space="preserve">i.e., mates, friends, and parents; </w:t>
      </w:r>
      <w:r w:rsidR="0098118E" w:rsidRPr="0098118E">
        <w:rPr>
          <w:noProof/>
          <w:sz w:val="24"/>
          <w:szCs w:val="24"/>
        </w:rPr>
        <w:t>Buss, 1992</w:t>
      </w:r>
      <w:r w:rsidR="00B06E70">
        <w:rPr>
          <w:sz w:val="24"/>
          <w:szCs w:val="24"/>
        </w:rPr>
        <w:fldChar w:fldCharType="end"/>
      </w:r>
      <w:r w:rsidR="0098118E">
        <w:rPr>
          <w:sz w:val="24"/>
          <w:szCs w:val="24"/>
        </w:rPr>
        <w:t>) and in romantic partners (</w:t>
      </w:r>
      <w:r w:rsidR="00B06E70">
        <w:rPr>
          <w:sz w:val="24"/>
          <w:szCs w:val="24"/>
        </w:rPr>
        <w:fldChar w:fldCharType="begin" w:fldLock="1"/>
      </w:r>
      <w:r w:rsidR="0098118E">
        <w:rPr>
          <w:sz w:val="24"/>
          <w:szCs w:val="24"/>
        </w:rPr>
        <w:instrText>ADDIN CSL_CITATION { "citationItems" : [ { "id" : "ITEM-1",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 : [ { "dropping-particle" : "", "family" : "Indvik", "given" : "Julie", "non-dropping-particle" : "", "parse-names" : false, "suffix" : "" }, { "dropping-particle" : "", "family" : "Fitzpatrick", "given" : "Mary Anne", "non-dropping-particle" : "", "parse-names" : false, "suffix" : "" } ], "container-title" : "Source: Family Relations", "id" : "ITEM-1", "issue" : "1", "issued" : { "date-parts" : [ [ "1982" ] ] }, "page" : "43-51", "title" : "\"If You Could Read My Mind, Love...,\" Understanding and Misunderstanding in the Marital", "type" : "article-journal", "volume" : "31" }, "uris" : [ "http://www.mendeley.com/documents/?uuid=7b41185c-b729-310a-9ce7-7fdc671b9a0e" ] }, { "id" : "ITEM-2", "itemData" : { "DOI" : "10.1111/j.1468-2958.1991.tb00527.x", "ISBN" : "1468-2958", "ISSN" : "0360-3989", "abstract" : "Communication plays an important role in eliciting and shaping people's emotions. Yet surprisingly little empirical or conceptual work has explored how social interaction encourages or discourages various emotions. This article summarizes a series of four studies which examined how people, in conversations, go about generating one emotion\u2014that of guilt\u2014in others. In the first study, a typology of 12 guilt moves was inductively devised. The most common ways of making another feel guilty were: reminding the other of his or her obligation to a relationship, listing sacrifices one has made for the other, reminding the other of his or her role responsibilities, comparing the other to someone else, and questioning the other. The primary reason for using guilt in conversations was persuasion. In the second study, the typology's generalizability was confirmed. Findings also revealed that the likelihood of using guilt in conversations increases with greater relationship intimacy and that people believe others are more likely to use guilt than themselves. The 12 techniques for guilt elicitation were examined in the third study for their independence and dimensionality via multidimensional scaling. The results suggest three underlying dimensions (self-nonself, acquiescence-restrictiveness, and commission-omission) and six potential clusters. The final study conceptualized guilt elicitation and sensitivity as individual differences. A brief, multifactor scale of individuals\u2019 tendency to use guilt, to use it with ease, and to be susceptible to guilt moves was developed. The three dimensions correlated significantly with a number of communication-focused personality variables.", "author" : [ { "dropping-particle" : "", "family" : "Vangelisti", "given" : "Anita L", "non-dropping-particle" : "", "parse-names" : false, "suffix" : "" }, { "dropping-particle" : "", "family" : "Daly", "given" : "John A", "non-dropping-particle" : "", "parse-names" : false, "suffix" : "" }, { "dropping-particle" : "", "family" : "Rudnick", "given" : "Janine", "non-dropping-particle" : "", "parse-names" : false, "suffix" : "" } ], "container-title" : "Human communication research", "id" : "ITEM-2", "issue" : "1", "issued" : { "date-parts" : [ [ "1991" ] ] }, "page" : "3-39", "title" : "Making people feel guilty in conversations", "type" : "article-journal", "volume" : "18" }, "uris" : [ "http://www.mendeley.com/documents/?uuid=87813a28-d3ac-3702-9d5e-1f556fdf7f9a" ] } ], "mendeley" : { "formattedCitation" : "(Indvik &amp; Fitzpatrick, 1982; Vangelisti et al., 1991)", "manualFormatting" : "Indvik &amp; Fitzpatrick, 1982; Vangelisti et al., 1991)", "plainTextFormattedCitation" : "(Indvik &amp; Fitzpatrick, 1982; Vangelisti et al., 1991)", "previouslyFormattedCitation" : "(Indvik &amp; Fitzpatrick, 1982; Vangelisti et al., 1991)" }, "properties" : { "noteIndex" : 0 }, "schema" : "https://github.com/citation-style-language/schema/raw/master/csl-citation.json" }</w:instrText>
      </w:r>
      <w:r w:rsidR="00B06E70">
        <w:rPr>
          <w:sz w:val="24"/>
          <w:szCs w:val="24"/>
        </w:rPr>
        <w:fldChar w:fldCharType="separate"/>
      </w:r>
      <w:r w:rsidR="0098118E" w:rsidRPr="0098118E">
        <w:rPr>
          <w:noProof/>
          <w:sz w:val="24"/>
          <w:szCs w:val="24"/>
        </w:rPr>
        <w:t>Indvik &amp; Fitzpatrick, 1982; Vangelisti et al., 1991)</w:t>
      </w:r>
      <w:r w:rsidR="00B06E70">
        <w:rPr>
          <w:sz w:val="24"/>
          <w:szCs w:val="24"/>
        </w:rPr>
        <w:fldChar w:fldCharType="end"/>
      </w:r>
      <w:r w:rsidR="0098118E">
        <w:rPr>
          <w:sz w:val="24"/>
          <w:szCs w:val="24"/>
        </w:rPr>
        <w:t>. IER als</w:t>
      </w:r>
      <w:r w:rsidR="0002135B">
        <w:rPr>
          <w:sz w:val="24"/>
          <w:szCs w:val="24"/>
        </w:rPr>
        <w:t xml:space="preserve">o occurs in work relationships </w:t>
      </w:r>
      <w:r w:rsidR="0062297D">
        <w:rPr>
          <w:sz w:val="24"/>
          <w:szCs w:val="24"/>
        </w:rPr>
        <w:t>(</w:t>
      </w:r>
      <w:r w:rsidR="00B06E70">
        <w:rPr>
          <w:sz w:val="24"/>
          <w:szCs w:val="24"/>
        </w:rPr>
        <w:fldChar w:fldCharType="begin" w:fldLock="1"/>
      </w:r>
      <w:r w:rsidR="0098118E">
        <w:rPr>
          <w:sz w:val="24"/>
          <w:szCs w:val="24"/>
        </w:rPr>
        <w:instrText>ADDIN CSL_CITATION { "citationItems" : [ { "id" : "ITEM-1", "itemData" : { "DOI" : "10.1023/A:1021381129517", "ISBN" : "0146723901467239", "ISSN" : "0146-7239, 0146-7239", "PMID" : "189", "abstract" : "As Coser (1962) demonstrated in her landmark hospital study, a humor is one of the great tools of reassurance on the hospital ward. After all, if something is ridiculous, how can it be threatening? In this study, the authors examine the role of humor in medical interactions, with an eye toward greater understanding of the means by which people manage the emotions of others. Through face to face interviews with 22 providers in a large hospital, this study garners empirical support for a previously developed definition of humor as interpersonal emotion management. In addition, the study uncovers the particular roles played by the contextual factors of humor, including actor, setting, and timing. These factors are critical in determining whether humor is appropriate and successful in achieving desired emotional change, or whether it will fail or even backfire, causing emotional and interactional harm. The study draws implications for the potential study of harmful coping and social support.", "author" : [ { "dropping-particle" : "", "family" : "Francis", "given" : "L", "non-dropping-particle" : "", "parse-names" : false, "suffix" : "" }, { "dropping-particle" : "", "family" : "Monahan", "given" : "K", "non-dropping-particle" : "", "parse-names" : false, "suffix" : "" }, { "dropping-particle" : "", "family" : "Berger", "given" : "C", "non-dropping-particle" : "", "parse-names" : false, "suffix" : "" } ], "container-title" : "Motivation and Emotion", "id" : "ITEM-1", "issue" : "2", "issued" : { "date-parts" : [ [ "1999" ] ] }, "page" : "156-174", "title" : "A laughing matter? The uses of humor in medical interactions", "type" : "article-journal", "volume" : "23" }, "uris" : [ "http://www.mendeley.com/documents/?uuid=ff2056cc-fe05-4a8b-a63c-8f838eaf6f98" ] }, { "id" : "ITEM-2", "itemData" : { "DOI" : "10.1177/014920639802400305", "ISBN" : "0149-2063", "ISSN" : "0149-2063", "abstract" : "Contrary to the impression generated by an increasing number of news reports in the past several years, the occurrence of workplace violence.\u2014extreme acts of aggression involving direct physical assault-^represents a relatively rare event in work settings. However, workplace aggression.\u2014efforts by individuals to^harm others with whom they work or have worked\u2014are much more prevalent and may prove extremely damaging to individuals and organizations. This paper presents empirical evidence on the varied forms of workplace aggres- sion and their relative frequency of occurrence in work settings. We offer a theoretical framework for understanding this phenomenon\u2014one based on contemporary theories of human aggression\u2014and demon- strate how principles associated with this framework may be applied to the management and prevention of all forms of aggression in workplaces.", "author" : [ { "dropping-particle" : "", "family" : "Neuman", "given" : "Joel H", "non-dropping-particle" : "", "parse-names" : false, "suffix" : "" }, { "dropping-particle" : "", "family" : "Baron", "given" : "Robert A", "non-dropping-particle" : "", "parse-names" : false, "suffix" : "" } ], "container-title" : "Journal of Management", "id" : "ITEM-2", "issue" : "3", "issued" : { "date-parts" : [ [ "1998" ] ] }, "page" : "391-419", "title" : "Workplace Violence and Workplace Aggression: Evidence Concerning Specific Forms, Potential Causes, and Preferred Targets", "type" : "article-journal", "volume" : "24" }, "uris" : [ "http://www.mendeley.com/documents/?uuid=4aa10727-50e1-3587-8d15-aa87666877f1" ] } ], "mendeley" : { "formattedCitation" : "(Francis et al., 1999; Neuman &amp; Baron, 1998)", "manualFormatting" : "Francis et al., 1999; Neuman &amp; Baron, 1998)", "plainTextFormattedCitation" : "(Francis et al., 1999; Neuman &amp; Baron, 1998)", "previouslyFormattedCitation" : "(Francis et al., 1999; Neuman &amp; Baron, 1998)" }, "properties" : { "noteIndex" : 0 }, "schema" : "https://github.com/citation-style-language/schema/raw/master/csl-citation.json" }</w:instrText>
      </w:r>
      <w:r w:rsidR="00B06E70">
        <w:rPr>
          <w:sz w:val="24"/>
          <w:szCs w:val="24"/>
        </w:rPr>
        <w:fldChar w:fldCharType="separate"/>
      </w:r>
      <w:r w:rsidR="0098118E" w:rsidRPr="0098118E">
        <w:rPr>
          <w:noProof/>
          <w:sz w:val="24"/>
          <w:szCs w:val="24"/>
        </w:rPr>
        <w:t>Francis et al., 1999; Neuman &amp; Baron, 1998)</w:t>
      </w:r>
      <w:r w:rsidR="00B06E70">
        <w:rPr>
          <w:sz w:val="24"/>
          <w:szCs w:val="24"/>
        </w:rPr>
        <w:fldChar w:fldCharType="end"/>
      </w:r>
      <w:r w:rsidR="0098118E">
        <w:rPr>
          <w:sz w:val="24"/>
          <w:szCs w:val="24"/>
        </w:rPr>
        <w:t xml:space="preserve">; in non-familiar encounters (i.e. IER between wheelchair users and strangers, </w:t>
      </w:r>
      <w:r w:rsidR="00B06E70">
        <w:rPr>
          <w:sz w:val="24"/>
          <w:szCs w:val="24"/>
        </w:rPr>
        <w:fldChar w:fldCharType="begin" w:fldLock="1"/>
      </w:r>
      <w:r w:rsidR="0002135B">
        <w:rPr>
          <w:sz w:val="24"/>
          <w:szCs w:val="24"/>
        </w:rPr>
        <w:instrText>ADDIN CSL_CITATION { "citationItems" : [ { "id" : "ITEM-1", "itemData" : { "author" : [ { "dropping-particle" : "", "family" : "Cahill", "given" : "Spencer E", "non-dropping-particle" : "", "parse-names" : false, "suffix" : "" }, { "dropping-particle" : "", "family" : "Eggleston", "given" : "", "non-dropping-particle" : "", "parse-names" : false, "suffix" : "" } ], "container-title" : "social psychology quarterly", "id" : "ITEM-1", "issued" : { "date-parts" : [ [ "1994" ] ] }, "title" : "Managing Emotions in Public : The Case of Wheelchair Users", "type" : "article-journal" }, "uris" : [ "http://www.mendeley.com/documents/?uuid=579ac12b-4f8f-49c5-8d51-0d82dec58934" ] } ], "mendeley" : { "formattedCitation" : "(Cahill &amp; Eggleston, 1994)", "manualFormatting" : "Cahill &amp; Eggleston, 1994)", "plainTextFormattedCitation" : "(Cahill &amp; Eggleston, 1994)", "previouslyFormattedCitation" : "(Cahill &amp; Eggleston, 1994)" }, "properties" : { "noteIndex" : 0 }, "schema" : "https://github.com/citation-style-language/schema/raw/master/csl-citation.json" }</w:instrText>
      </w:r>
      <w:r w:rsidR="00B06E70">
        <w:rPr>
          <w:sz w:val="24"/>
          <w:szCs w:val="24"/>
        </w:rPr>
        <w:fldChar w:fldCharType="separate"/>
      </w:r>
      <w:r w:rsidR="0098118E" w:rsidRPr="0098118E">
        <w:rPr>
          <w:noProof/>
          <w:sz w:val="24"/>
          <w:szCs w:val="24"/>
        </w:rPr>
        <w:t>Cahill &amp; Eggleston, 1994)</w:t>
      </w:r>
      <w:r w:rsidR="00B06E70">
        <w:rPr>
          <w:sz w:val="24"/>
          <w:szCs w:val="24"/>
        </w:rPr>
        <w:fldChar w:fldCharType="end"/>
      </w:r>
      <w:r w:rsidR="0002135B">
        <w:rPr>
          <w:sz w:val="24"/>
          <w:szCs w:val="24"/>
        </w:rPr>
        <w:t>;</w:t>
      </w:r>
      <w:r w:rsidR="0098118E">
        <w:rPr>
          <w:sz w:val="24"/>
          <w:szCs w:val="24"/>
        </w:rPr>
        <w:t xml:space="preserve"> and in therapeutic relationships </w:t>
      </w:r>
      <w:r w:rsidR="00B06E70">
        <w:rPr>
          <w:sz w:val="24"/>
          <w:szCs w:val="24"/>
        </w:rPr>
        <w:fldChar w:fldCharType="begin" w:fldLock="1"/>
      </w:r>
      <w:r w:rsidR="0098118E">
        <w:rPr>
          <w:sz w:val="24"/>
          <w:szCs w:val="24"/>
        </w:rPr>
        <w:instrText>ADDIN CSL_CITATION { "citationItems" : [ { "id" : "ITEM-1", "itemData" : { "DOI" : "10.1525/si.1996.19.2.85", "ISBN" : "01956086", "ISSN" : "1533-8665", "PMID" : "29", "abstract" : "Although research has focused on how individuals manage their own emotions, little attention has been paid to how individuals manage the emotions of other people. Here, I describe several techniques of interpersonal emotion-management, drawing from observations of a psychodrama-based encounter group which deliberately manipulated its members' feelings. Analysis reveals a number of strategies (e.g., group enactments, provocations, comforting) which, when used sequentially, produced first emotional loss of control in the individual and then positive emotion. Group solidarity was sometimes affected by these interpersonal emotion-management techniques as well. Some techniques may be similar to those used in military training and cult group recruitment, although further research attention is needed in these arenas. Other settings in which members play upon the emotions of others should be examined to identify other interpersonal techniques and the sequencing of strategies which produce desired individual and group outcomes.", "author" : [ { "dropping-particle" : "", "family" : "Thoits", "given" : "Peggy A", "non-dropping-particle" : "", "parse-names" : false, "suffix" : "" } ], "container-title" : "Symbolic Interaction", "id" : "ITEM-1", "issue" : "2", "issued" : { "date-parts" : [ [ "1996" ] ] }, "page" : "85-109", "title" : "Managing the Emotions of Others", "type" : "article-journal", "volume" : "19" }, "uris" : [ "http://www.mendeley.com/documents/?uuid=64163152-ae3a-4938-a92e-3bbe4cc0e7c1" ] } ], "mendeley" : { "formattedCitation" : "(Thoits, 1996)", "plainTextFormattedCitation" : "(Thoits, 1996)", "previouslyFormattedCitation" : "(Thoits, 1996)" }, "properties" : { "noteIndex" : 0 }, "schema" : "https://github.com/citation-style-language/schema/raw/master/csl-citation.json" }</w:instrText>
      </w:r>
      <w:r w:rsidR="00B06E70">
        <w:rPr>
          <w:sz w:val="24"/>
          <w:szCs w:val="24"/>
        </w:rPr>
        <w:fldChar w:fldCharType="separate"/>
      </w:r>
      <w:r w:rsidR="0098118E" w:rsidRPr="0098118E">
        <w:rPr>
          <w:noProof/>
          <w:sz w:val="24"/>
          <w:szCs w:val="24"/>
        </w:rPr>
        <w:t>(Thoits, 1996)</w:t>
      </w:r>
      <w:r w:rsidR="00B06E70">
        <w:rPr>
          <w:sz w:val="24"/>
          <w:szCs w:val="24"/>
        </w:rPr>
        <w:fldChar w:fldCharType="end"/>
      </w:r>
      <w:r w:rsidR="0098118E">
        <w:rPr>
          <w:sz w:val="24"/>
          <w:szCs w:val="24"/>
        </w:rPr>
        <w:t xml:space="preserve"> to name some examples.</w:t>
      </w:r>
      <w:r w:rsidRPr="00D05EBD">
        <w:rPr>
          <w:sz w:val="24"/>
          <w:szCs w:val="24"/>
        </w:rPr>
        <w:t xml:space="preserve"> Nevertheless, close relationships present more intense experiences and expressions of emotion</w:t>
      </w:r>
      <w:r w:rsidR="0098118E">
        <w:rPr>
          <w:sz w:val="24"/>
          <w:szCs w:val="24"/>
        </w:rPr>
        <w:t xml:space="preserve"> </w:t>
      </w:r>
      <w:r w:rsidR="00B06E70">
        <w:rPr>
          <w:sz w:val="24"/>
          <w:szCs w:val="24"/>
        </w:rPr>
        <w:fldChar w:fldCharType="begin" w:fldLock="1"/>
      </w:r>
      <w:r w:rsidR="00510D6D">
        <w:rPr>
          <w:sz w:val="24"/>
          <w:szCs w:val="24"/>
        </w:rPr>
        <w:instrText>ADDIN CSL_CITATION { "citationItems" : [ { "id" : "ITEM-1", "itemData" : { "author" : [ { "dropping-particle" : "", "family" : "Berscheid", "given" : "Ellen", "non-dropping-particle" : "", "parse-names" : false, "suffix" : "" }, { "dropping-particle" : "", "family" : "Ammazzalorso", "given" : "Hilary", "non-dropping-particle" : "", "parse-names" : false, "suffix" : "" } ], "container-title" : "Blackwell Handbook of Social Psychology: Interpersonal Processes", "editor" : [ { "dropping-particle" : "", "family" : "Fletcher", "given" : "Garth J.O.", "non-dropping-particle" : "", "parse-names" : false, "suffix" : "" }, { "dropping-particle" : "", "family" : "Margaret S.", "given" : "Clark", "non-dropping-particle" : "", "parse-names" : false, "suffix" : "" } ], "id" : "ITEM-1", "issued" : { "date-parts" : [ [ "2008" ] ] }, "publisher" : "John Wiley &amp; Sons", "title" : "Emotional experience in close relationships", "type" : "chapter" }, "uris" : [ "http://www.mendeley.com/documents/?uuid=fb2bfdf1-d0fd-44b4-bd59-54f28735ff2e" ] } ], "mendeley" : { "formattedCitation" : "(Berscheid &amp; Ammazzalorso, 2008)", "manualFormatting" : "(Berscheid &amp; Ammazzalorso, 2008", "plainTextFormattedCitation" : "(Berscheid &amp; Ammazzalorso, 2008)", "previouslyFormattedCitation" : "(Berscheid &amp; Ammazzalorso, 2008)" }, "properties" : { "noteIndex" : 0 }, "schema" : "https://github.com/citation-style-language/schema/raw/master/csl-citation.json" }</w:instrText>
      </w:r>
      <w:r w:rsidR="00B06E70">
        <w:rPr>
          <w:sz w:val="24"/>
          <w:szCs w:val="24"/>
        </w:rPr>
        <w:fldChar w:fldCharType="separate"/>
      </w:r>
      <w:r w:rsidR="0062297D" w:rsidRPr="0062297D">
        <w:rPr>
          <w:noProof/>
          <w:sz w:val="24"/>
          <w:szCs w:val="24"/>
        </w:rPr>
        <w:t>(Berscheid &amp; Ammazzalorso, 2008</w:t>
      </w:r>
      <w:r w:rsidR="00B06E70">
        <w:rPr>
          <w:sz w:val="24"/>
          <w:szCs w:val="24"/>
        </w:rPr>
        <w:fldChar w:fldCharType="end"/>
      </w:r>
      <w:r w:rsidR="0002135B">
        <w:rPr>
          <w:sz w:val="24"/>
          <w:szCs w:val="24"/>
        </w:rPr>
        <w:t>;</w:t>
      </w:r>
      <w:r w:rsidRPr="00D05EBD">
        <w:rPr>
          <w:sz w:val="24"/>
          <w:szCs w:val="24"/>
        </w:rPr>
        <w:t xml:space="preserve"> </w:t>
      </w:r>
      <w:r w:rsidR="00B06E70">
        <w:rPr>
          <w:sz w:val="24"/>
          <w:szCs w:val="24"/>
        </w:rPr>
        <w:fldChar w:fldCharType="begin" w:fldLock="1"/>
      </w:r>
      <w:r w:rsidR="0002135B">
        <w:rPr>
          <w:sz w:val="24"/>
          <w:szCs w:val="24"/>
        </w:rPr>
        <w:instrText>ADDIN CSL_CITATION { "citationItems" : [ { "id" : "ITEM-1", "itemData" : { "DOI" : "10.1177/1754073915590620", "ISBN" : "1111111111", "ISSN" : "1754-0739", "PMID" : "16452361", "author" : [ { "dropping-particle" : "", "family" : "Schoebi", "given" : "Dominik", "non-dropping-particle" : "", "parse-names" : false, "suffix" : "" }, { "dropping-particle" : "", "family" : "Randall", "given" : "Ashley K.", "non-dropping-particle" : "", "parse-names" : false, "suffix" : "" } ], "container-title" : "Emotion Review", "id" : "ITEM-1", "issue" : "4", "issued" : { "date-parts" : [ [ "2015" ] ] }, "page" : "1-7", "title" : "Emotional Dynamics in Intimate Relationships", "type" : "article-journal", "volume" : "7" }, "uris" : [ "http://www.mendeley.com/documents/?uuid=9ea06990-6796-403c-affb-0016368ed0ec" ] } ], "mendeley" : { "formattedCitation" : "(Schoebi &amp; Randall, 2015)", "manualFormatting" : "Schoebi &amp; Randall, 2015)", "plainTextFormattedCitation" : "(Schoebi &amp; Randall, 2015)", "previouslyFormattedCitation" : "(Schoebi &amp; Randall, 2015)" }, "properties" : { "noteIndex" : 0 }, "schema" : "https://github.com/citation-style-language/schema/raw/master/csl-citation.json" }</w:instrText>
      </w:r>
      <w:r w:rsidR="00B06E70">
        <w:rPr>
          <w:sz w:val="24"/>
          <w:szCs w:val="24"/>
        </w:rPr>
        <w:fldChar w:fldCharType="separate"/>
      </w:r>
      <w:r w:rsidR="0098118E" w:rsidRPr="0098118E">
        <w:rPr>
          <w:noProof/>
          <w:sz w:val="24"/>
          <w:szCs w:val="24"/>
        </w:rPr>
        <w:t>Schoebi &amp; Randall, 2015)</w:t>
      </w:r>
      <w:r w:rsidR="00B06E70">
        <w:rPr>
          <w:sz w:val="24"/>
          <w:szCs w:val="24"/>
        </w:rPr>
        <w:fldChar w:fldCharType="end"/>
      </w:r>
      <w:r w:rsidR="0098118E">
        <w:rPr>
          <w:sz w:val="24"/>
          <w:szCs w:val="24"/>
        </w:rPr>
        <w:t xml:space="preserve"> </w:t>
      </w:r>
      <w:r w:rsidRPr="00D05EBD">
        <w:rPr>
          <w:sz w:val="24"/>
          <w:szCs w:val="24"/>
        </w:rPr>
        <w:t>making them an ideal scenario to investigate IER.</w:t>
      </w:r>
    </w:p>
    <w:p w:rsidR="00FB1389" w:rsidRDefault="00FB1389" w:rsidP="002D45C9">
      <w:pPr>
        <w:pStyle w:val="Prrafodelista"/>
        <w:spacing w:after="0" w:line="480" w:lineRule="auto"/>
        <w:ind w:left="0"/>
        <w:jc w:val="both"/>
        <w:rPr>
          <w:sz w:val="24"/>
          <w:szCs w:val="24"/>
        </w:rPr>
      </w:pPr>
      <w:r w:rsidRPr="00D05EBD">
        <w:rPr>
          <w:sz w:val="24"/>
          <w:szCs w:val="24"/>
        </w:rPr>
        <w:tab/>
        <w:t xml:space="preserve">One aspect in the use of IER strategies that may be affected by how close are people in a relationship is the level of automaticity of the IER. AIER may be present in close relationships because people interact with each other with more frequency than in non-close relationships </w:t>
      </w:r>
      <w:r w:rsidR="00B06E70">
        <w:rPr>
          <w:sz w:val="24"/>
          <w:szCs w:val="24"/>
        </w:rPr>
        <w:fldChar w:fldCharType="begin" w:fldLock="1"/>
      </w:r>
      <w:r w:rsidR="0042630E">
        <w:rPr>
          <w:sz w:val="24"/>
          <w:szCs w:val="24"/>
        </w:rPr>
        <w:instrText>ADDIN CSL_CITATION { "citationItems" : [ { "id" : "ITEM-1", "itemData" : { "abstract" : "A n y layperson or scientist comes to interpersonal relationships with a large set of preexisting ideas, concepts, labels, implicit and explicit theories, beliefs about causes of important phenomena, and expectations about conse-quences of various states or events. The complexity of existing scientific information bearing on interpersonal relationships can be seen by examining a recent propositional inventory of research on the family (Goode, Hopkins, &amp; McClure, 1971). Some 3,000 propositions are listed that bear on the interpersonal relations found within and around the family (dating, husband-wife, parent-chiId, siblings, and so on). Each of these propositions is of the form \"X leads to Y,\" or \"X is associated with Y.\" For example, \"the less the husband and wife depend on each other, the greater are their chances of splitting up\"; \"maternal possessiveness is negatively correlated with edu-cation of the mother\"; \"status differentials in the type of labor will frequently be a source of conflict between siblings.\" The 3,000 two-variable propositions in this fermat could be generated by a cnmbinati~n nf a few as 78 variables (X's and Y's) or by as many as 6,000 variables (if each X and Y in each proposition were unique to it). A rough estimate suggests that the actual total of X and Y variables in Goode et al.'s inventory approximates 700. Thus, in this one encyclopedic source (whose 2,000-item bibliography is hardly complete), the student of interpersonal relationships is confronted with some 700 variables (terms, concepts, factors) and their possible interrelations. A dozen examples will suggest their variety: favoritism, aggression, ordinal ANALYZING CLOSE RELATIONSHIPS 21 position, schizophrenia, discipline, economic security, father absence, pri-vacy, affinal relations, achievement, marital adjustment, and social change. Faced with such a profusion of variables and propositions in the literature on relationships, we have found it necessary to go back to basics. We have adopted the approach of a visitor from outer space, attempting to specify what it is that such an alien, not having the extensive experience with human interpersonal relationships that all earthlings have, would see and hear, and what such an alien would do in the way of analysis, interpretation, and inference in order to make sense of these data. Using this approach, we try to characterize the essentials of what the scientist does in the study of interpersonal relations. We especially\u2026", "author" : [ { "dropping-particle" : "", "family" : "Kelley", "given" : "Harold H", "non-dropping-particle" : "", "parse-names" : false, "suffix" : "" }, { "dropping-particle" : "", "family" : "Berscheid", "given" : "Ellen", "non-dropping-particle" : "", "parse-names" : false, "suffix" : "" }, { "dropping-particle" : "", "family" : "Christensen", "given" : "Andrew", "non-dropping-particle" : "", "parse-names" : false, "suffix" : "" }, { "dropping-particle" : "", "family" : "Harvey", "given" : "John H", "non-dropping-particle" : "", "parse-names" : false, "suffix" : "" }, { "dropping-particle" : "", "family" : "Huston", "given" : "Ted L", "non-dropping-particle" : "", "parse-names" : false, "suffix" : "" }, { "dropping-particle" : "", "family" : "Levinger", "given" : "George", "non-dropping-particle" : "", "parse-names" : false, "suffix" : "" }, { "dropping-particle" : "", "family" : "McClintock", "given" : "Evie", "non-dropping-particle" : "", "parse-names" : false, "suffix" : "" }, { "dropping-particle" : "", "family" : "Peplau", "given" : "Letitia Anne", "non-dropping-particle" : "", "parse-names" : false, "suffix" : "" }, { "dropping-particle" : "", "family" : "Peterson", "given" : "Donald R", "non-dropping-particle" : "", "parse-names" : false, "suffix" : "" } ], "chapter-number" : "2", "container-title" : "Close Relationships", "editor" : [ { "dropping-particle" : "", "family" : "Kelley", "given" : "Harold H", "non-dropping-particle" : "", "parse-names" : false, "suffix" : "" } ], "id" : "ITEM-1", "issued" : { "date-parts" : [ [ "1983" ] ] }, "page" : "20-67", "publisher" : "W.H.Freeman &amp; Co Ltd", "publisher-place" : "New York, NY", "title" : "Analyzing close relationships", "type" : "chapter" }, "uris" : [ "http://www.mendeley.com/documents/?uuid=5d23c95b-e101-3f4d-bb3b-20baa90b5225" ] } ], "mendeley" : { "formattedCitation" : "(Kelley et al., 1983)", "plainTextFormattedCitation" : "(Kelley et al., 1983)", "previouslyFormattedCitation" : "(Kelley et al., 1983)" }, "properties" : { "noteIndex" : 0 }, "schema" : "https://github.com/citation-style-language/schema/raw/master/csl-citation.json" }</w:instrText>
      </w:r>
      <w:r w:rsidR="00B06E70">
        <w:rPr>
          <w:sz w:val="24"/>
          <w:szCs w:val="24"/>
        </w:rPr>
        <w:fldChar w:fldCharType="separate"/>
      </w:r>
      <w:r w:rsidR="0042630E" w:rsidRPr="0042630E">
        <w:rPr>
          <w:noProof/>
          <w:sz w:val="24"/>
          <w:szCs w:val="24"/>
        </w:rPr>
        <w:t>(Kelley et al., 1983)</w:t>
      </w:r>
      <w:r w:rsidR="00B06E70">
        <w:rPr>
          <w:sz w:val="24"/>
          <w:szCs w:val="24"/>
        </w:rPr>
        <w:fldChar w:fldCharType="end"/>
      </w:r>
      <w:r w:rsidRPr="00D05EBD">
        <w:rPr>
          <w:sz w:val="24"/>
          <w:szCs w:val="24"/>
        </w:rPr>
        <w:t xml:space="preserve">, thus, the IER strategies used in close interpersonal relationships may occur more frequently as well. Behaviours that occur frequently tend to become stronger, thus becoming habitual </w:t>
      </w:r>
      <w:r w:rsidR="00B06E70">
        <w:rPr>
          <w:sz w:val="24"/>
          <w:szCs w:val="24"/>
        </w:rPr>
        <w:fldChar w:fldCharType="begin" w:fldLock="1"/>
      </w:r>
      <w:r w:rsidR="008365B0">
        <w:rPr>
          <w:sz w:val="24"/>
          <w:szCs w:val="24"/>
        </w:rPr>
        <w:instrText>ADDIN CSL_CITATION { "citationItems" : [ { "id" : "ITEM-1", "itemData" : { "DOI" : "10.1177/1088868311411164", "abstract" : "Emotion is often framed as an intrapersonal system comprised of subcomponents such as experience, behavior, and physiology that interact over time to give rise to emotional states. What is missing is that many emotions occur in the context of social interaction or ongoing relationships. When this happens, the result can be conceptualized as a temporal interpersonal emotion system (TIES) in which the subcomponents of emotion interact not only within the individual but across the partners as well. The present review (a) suggests that TIES can be understood in terms of the characteristics of dynamic systems, (b) reviews examples from diverse research that has investigated characteristics of TIES, (c) attempts to clarify the overlapping terms that have been used to refer to those characteristics by mapping them to the statistical, mathematical, and graphical models that have been used to represent TIES, and (d) offers pragmatic advice for analyzing TIES data.", "author" : [ { "dropping-particle" : "", "family" : "Butler", "given" : "Emily A", "non-dropping-particle" : "", "parse-names" : false, "suffix" : "" } ], "container-title" : "Personality and Social Psychology Review", "id" : "ITEM-1", "issue" : "4", "issued" : { "date-parts" : [ [ "2011" ] ] }, "page" : "367-393", "title" : "Temporal Interpersonal Emotion Systems: The \" TIES \" That Form Relationships", "type" : "article-journal", "volume" : "15" }, "uris" : [ "http://www.mendeley.com/documents/?uuid=b0742a8c-aada-3fa0-b31e-aa2501be2bbe" ] } ], "mendeley" : { "formattedCitation" : "(Butler, 2011)", "plainTextFormattedCitation" : "(Butler, 2011)", "previouslyFormattedCitation" : "(Butler, 2011)" }, "properties" : { "noteIndex" : 0 }, "schema" : "https://github.com/citation-style-language/schema/raw/master/csl-citation.json" }</w:instrText>
      </w:r>
      <w:r w:rsidR="00B06E70">
        <w:rPr>
          <w:sz w:val="24"/>
          <w:szCs w:val="24"/>
        </w:rPr>
        <w:fldChar w:fldCharType="separate"/>
      </w:r>
      <w:r w:rsidR="0042630E" w:rsidRPr="0042630E">
        <w:rPr>
          <w:noProof/>
          <w:sz w:val="24"/>
          <w:szCs w:val="24"/>
        </w:rPr>
        <w:t>(Butler, 2011)</w:t>
      </w:r>
      <w:r w:rsidR="00B06E70">
        <w:rPr>
          <w:sz w:val="24"/>
          <w:szCs w:val="24"/>
        </w:rPr>
        <w:fldChar w:fldCharType="end"/>
      </w:r>
      <w:r w:rsidRPr="00D05EBD">
        <w:rPr>
          <w:sz w:val="24"/>
          <w:szCs w:val="24"/>
        </w:rPr>
        <w:t xml:space="preserve">. The idea that automaticity may occur in close relationships is not something new, some researchers have discussed the possible presence of automaticity in interpersonal behaviours in close relationships (e.g. </w:t>
      </w:r>
      <w:r w:rsidR="00B06E70">
        <w:rPr>
          <w:sz w:val="24"/>
          <w:szCs w:val="24"/>
        </w:rPr>
        <w:fldChar w:fldCharType="begin" w:fldLock="1"/>
      </w:r>
      <w:r w:rsidR="001C52D6">
        <w:rPr>
          <w:sz w:val="24"/>
          <w:szCs w:val="24"/>
        </w:rPr>
        <w:instrText>ADDIN CSL_CITATION { "citationItems" : [ { "id" : "ITEM-1", "itemData" : { "author" : [ { "dropping-particle" : "", "family" : "Fincham", "given" : "Frank D", "non-dropping-particle" : "", "parse-names" : false, "suffix" : "" } ], "chapter-number" : "1", "container-title" : "Blackwell Handbook of Social Psychology: Interpersonal Processes", "editor" : [ { "dropping-particle" : "", "family" : "Fletcher", "given" : "Garth G O", "non-dropping-particle" : "", "parse-names" : false, "suffix" : "" }, { "dropping-particle" : "", "family" : "Clarck", "given" : "Margaret S", "non-dropping-particle" : "", "parse-names" : false, "suffix" : "" } ], "id" : "ITEM-1", "issued" : { "date-parts" : [ [ "2001" ] ] }, "page" : "3-31", "publisher" : "Blackwell Publishing", "title" : "Attributions in close relationships: from balkanization to integration", "type" : "chapter" }, "uris" : [ "http://www.mendeley.com/documents/?uuid=95329d2f-9bac-4789-a24a-04981ee3aa41" ] }, { "id" : "ITEM-2", "itemData" : { "ISSN" : "0033-2909", "abstract" : "The influence of social relationships on human development and behavior is receiving increased attention from psychologists, who are central contributors to the rapidly developing multidisciplinary field of relationship science. In this article, the authors selectively review some of the significant strides that have been made toward understanding the effects of relationships on development and behavior and the processes by which relationships exert their influence on these, with the purpose of highlighting important questions that remain to be answered, controversial issues that need to be resolved, and potentially profitable paths for future inquiry. The authors' thesis is that important advances in psychological knowledge will be achieved from concerted investigation of the relationship context in which most important human behaviors are developed and displayed. Because interpersonal relationships are the foundation and theme of human life, most human behavior takes place in the context of the individual's relationships with others. Psychologists actively participating in the multidisciplinary effort to develop a science of relationships (Berscheid, 1999) are doing so because they believe that the human's omnipresent relationship context strongly influences each individual's behavior and his or her development over the life span. As a consequence, they believe that a science of human behavior and development that neglects the influence of the individual's interpersonal relationships is destined to be inaccurate and incomplete (see Kelley, 1983).", "author" : [ { "dropping-particle" : "", "family" : "Andrew", "given" : "W", "non-dropping-particle" : "", "parse-names" : false, "suffix" : "" }, { "dropping-particle" : "", "family" : "Reis", "given" : "Harry T", "non-dropping-particle" : "", "parse-names" : false, "suffix" : "" } ], "id" : "ITEM-2", "issue" : "6", "issued" : { "date-parts" : [ [ "2000" ] ] }, "page" : "844-872", "title" : "The Relationship Context of Human Behavior and Development", "type" : "article-journal", "volume" : "126" }, "uris" : [ "http://www.mendeley.com/documents/?uuid=fef335b7-e465-3cc8-975b-b5ecb68033b1" ] } ], "mendeley" : { "formattedCitation" : "(Andrew &amp; Reis, 2000; Fincham, 2001)", "manualFormatting" : "Fincham, 2001; ", "plainTextFormattedCitation" : "(Andrew &amp; Reis, 2000; Fincham, 2001)", "previouslyFormattedCitation" : "(Andrew &amp; Reis, 2000; Fincham, 2001)" }, "properties" : { "noteIndex" : 0 }, "schema" : "https://github.com/citation-style-language/schema/raw/master/csl-citation.json" }</w:instrText>
      </w:r>
      <w:r w:rsidR="00B06E70">
        <w:rPr>
          <w:sz w:val="24"/>
          <w:szCs w:val="24"/>
        </w:rPr>
        <w:fldChar w:fldCharType="separate"/>
      </w:r>
      <w:r w:rsidR="001C52D6" w:rsidRPr="001C52D6">
        <w:rPr>
          <w:noProof/>
          <w:sz w:val="24"/>
          <w:szCs w:val="24"/>
        </w:rPr>
        <w:t>Fincham, 2001</w:t>
      </w:r>
      <w:r w:rsidR="001C52D6">
        <w:rPr>
          <w:noProof/>
          <w:sz w:val="24"/>
          <w:szCs w:val="24"/>
        </w:rPr>
        <w:t xml:space="preserve">; </w:t>
      </w:r>
      <w:r w:rsidR="00B06E70">
        <w:rPr>
          <w:sz w:val="24"/>
          <w:szCs w:val="24"/>
        </w:rPr>
        <w:fldChar w:fldCharType="end"/>
      </w:r>
      <w:r w:rsidR="00B06E70">
        <w:rPr>
          <w:sz w:val="24"/>
          <w:szCs w:val="24"/>
        </w:rPr>
        <w:fldChar w:fldCharType="begin" w:fldLock="1"/>
      </w:r>
      <w:r w:rsidR="001C52D6">
        <w:rPr>
          <w:sz w:val="24"/>
          <w:szCs w:val="24"/>
        </w:rPr>
        <w:instrText>ADDIN CSL_CITATION { "citationItems" : [ { "id" : "ITEM-1", "itemData" : { "DOI" : "10.1037//0033-2909.126.6.844", "ISBN" : "0033-2909", "ISSN" : "0033-2909", "PMID" : "11107879", "abstract" : "The influence of social relationships on human development and behavior is receiving increased attention from psychologists, who are central contributors to the rapidly developing multidisciplinary field of relationship science. In this article, the authors selectively review some of the significant strides that have been made toward understanding the effects of relationships on development and behavior and the processes by which relationships exert their influence on these, with the purpose of highlighting important questions that remain to be answered, controversial issues that need to be resolved, and potentially profitable paths for future inquiry. The authors' thesis is that important advances in psychological knowledge will be achieved from concerted investigation of the relationship context in which most important human behaviors are developed and displayed.", "author" : [ { "dropping-particle" : "", "family" : "Reis", "given" : "Harry T", "non-dropping-particle" : "", "parse-names" : false, "suffix" : "" }, { "dropping-particle" : "", "family" : "Collins", "given" : "W Andrew", "non-dropping-particle" : "", "parse-names" : false, "suffix" : "" }, { "dropping-particle" : "", "family" : "Berscheid", "given" : "Ellen", "non-dropping-particle" : "", "parse-names" : false, "suffix" : "" } ], "container-title" : "Psychological Bulletin", "id" : "ITEM-1", "issue" : "6", "issued" : { "date-parts" : [ [ "2000" ] ] }, "page" : "844-872", "title" : "The relationship context of human behavior and development.", "type" : "article-journal", "volume" : "126" }, "uris" : [ "http://www.mendeley.com/documents/?uuid=3c405464-0e24-4974-8f51-b6f758e0a4c6" ] } ], "mendeley" : { "formattedCitation" : "(Reis, Collins, &amp; Berscheid, 2000)", "manualFormatting" : "Reis, Collins, &amp; Berscheid, 2000)", "plainTextFormattedCitation" : "(Reis, Collins, &amp; Berscheid, 2000)", "previouslyFormattedCitation" : "(Reis, Collins, &amp; Berscheid, 2000)" }, "properties" : { "noteIndex" : 0 }, "schema" : "https://github.com/citation-style-language/schema/raw/master/csl-citation.json" }</w:instrText>
      </w:r>
      <w:r w:rsidR="00B06E70">
        <w:rPr>
          <w:sz w:val="24"/>
          <w:szCs w:val="24"/>
        </w:rPr>
        <w:fldChar w:fldCharType="separate"/>
      </w:r>
      <w:r w:rsidR="001C52D6" w:rsidRPr="001C52D6">
        <w:rPr>
          <w:noProof/>
          <w:sz w:val="24"/>
          <w:szCs w:val="24"/>
        </w:rPr>
        <w:t>Reis, Collins, &amp; Berscheid, 2000)</w:t>
      </w:r>
      <w:r w:rsidR="00B06E70">
        <w:rPr>
          <w:sz w:val="24"/>
          <w:szCs w:val="24"/>
        </w:rPr>
        <w:fldChar w:fldCharType="end"/>
      </w:r>
      <w:r w:rsidR="001C52D6">
        <w:rPr>
          <w:sz w:val="24"/>
          <w:szCs w:val="24"/>
        </w:rPr>
        <w:t>.</w:t>
      </w:r>
      <w:r w:rsidRPr="00D05EBD">
        <w:rPr>
          <w:sz w:val="24"/>
          <w:szCs w:val="24"/>
        </w:rPr>
        <w:t xml:space="preserve"> There is even empirical evidence that certain </w:t>
      </w:r>
      <w:r w:rsidR="004B283F">
        <w:rPr>
          <w:sz w:val="24"/>
          <w:szCs w:val="24"/>
        </w:rPr>
        <w:t xml:space="preserve">interpersonal </w:t>
      </w:r>
      <w:r w:rsidRPr="00D05EBD">
        <w:rPr>
          <w:sz w:val="24"/>
          <w:szCs w:val="24"/>
        </w:rPr>
        <w:t xml:space="preserve">behaviours may occur in an automatic fashion in close relationships. For example, in a series of four studies </w:t>
      </w:r>
      <w:r w:rsidR="00B06E70">
        <w:rPr>
          <w:sz w:val="24"/>
          <w:szCs w:val="24"/>
        </w:rPr>
        <w:lastRenderedPageBreak/>
        <w:fldChar w:fldCharType="begin" w:fldLock="1"/>
      </w:r>
      <w:r w:rsidR="008365B0">
        <w:rPr>
          <w:sz w:val="24"/>
          <w:szCs w:val="24"/>
        </w:rPr>
        <w:instrText>ADDIN CSL_CITATION { "citationItems" : [ { "id" : "ITEM-1", "itemData" : { "DOI" : "10.1016/j.jesp.2006.10.012", "ISBN" : "0022-1031", "ISSN" : "00221031", "abstract" : "Hitherto, the literature on forgiveness has almost exclusively focused on the role of deliberative processes (e.g., attribution processes) in determining forgiveness. However, in the present article, we argue that in the context of close relationships, the inclination to forgive can be relatively automatically evoked in response to an offense. Four studies provide evidence relevant to this general hypothesis. Studies 1 and 2 demonstrate that the subliminal presentation of close others (versus non-close others or a control word) induces a relatively strong inclination to forgive various offenses. Study 3 provides insight into the cognitive processes that underlie the closeness-forgiveness link, demonstrating that thinking of (a transgression of) a close other (compared to a non-close other) leads to enhanced accessibility of the construct of forgiveness. Finally, Study 4 demonstrates that forgiving responses toward a close offender are less dependent on cognitive resources than are forgiving responses toward a non-close offender, suggesting that, in close relationships, the inclination to forgive arises in a relatively effortless, habitual manner. Implications for theorizing on how people forgive are being discussed. \u00a9 2006 Elsevier Inc. All rights reserved.", "author" : [ { "dropping-particle" : "", "family" : "Karremans", "given" : "Johan C.", "non-dropping-particle" : "", "parse-names" : false, "suffix" : "" }, { "dropping-particle" : "", "family" : "Aarts", "given" : "Henk", "non-dropping-particle" : "", "parse-names" : false, "suffix" : "" } ], "container-title" : "Journal of Experimental Social Psychology", "id" : "ITEM-1", "issue" : "6", "issued" : { "date-parts" : [ [ "2007" ] ] }, "page" : "902-917", "title" : "The role of automaticity in determining the inclination to forgive close others", "type" : "article-journal", "volume" : "43" }, "uris" : [ "http://www.mendeley.com/documents/?uuid=64ab7865-01e7-3cb6-b459-47ac1c19faf9" ] } ], "mendeley" : { "formattedCitation" : "(Karremans &amp; Aarts, 2007)", "manualFormatting" : "Karremans and Aarts, (2007)", "plainTextFormattedCitation" : "(Karremans &amp; Aarts, 2007)", "previouslyFormattedCitation" : "(Karremans &amp; Aarts, 2007)" }, "properties" : { "noteIndex" : 0 }, "schema" : "https://github.com/citation-style-language/schema/raw/master/csl-citation.json" }</w:instrText>
      </w:r>
      <w:r w:rsidR="00B06E70">
        <w:rPr>
          <w:sz w:val="24"/>
          <w:szCs w:val="24"/>
        </w:rPr>
        <w:fldChar w:fldCharType="separate"/>
      </w:r>
      <w:r w:rsidR="008365B0" w:rsidRPr="008365B0">
        <w:rPr>
          <w:noProof/>
          <w:sz w:val="24"/>
          <w:szCs w:val="24"/>
        </w:rPr>
        <w:t xml:space="preserve">Karremans </w:t>
      </w:r>
      <w:r w:rsidR="008365B0">
        <w:rPr>
          <w:noProof/>
          <w:sz w:val="24"/>
          <w:szCs w:val="24"/>
        </w:rPr>
        <w:t>and</w:t>
      </w:r>
      <w:r w:rsidR="008365B0" w:rsidRPr="008365B0">
        <w:rPr>
          <w:noProof/>
          <w:sz w:val="24"/>
          <w:szCs w:val="24"/>
        </w:rPr>
        <w:t xml:space="preserve"> Aarts, </w:t>
      </w:r>
      <w:r w:rsidR="008365B0">
        <w:rPr>
          <w:noProof/>
          <w:sz w:val="24"/>
          <w:szCs w:val="24"/>
        </w:rPr>
        <w:t>(</w:t>
      </w:r>
      <w:r w:rsidR="008365B0" w:rsidRPr="008365B0">
        <w:rPr>
          <w:noProof/>
          <w:sz w:val="24"/>
          <w:szCs w:val="24"/>
        </w:rPr>
        <w:t>2007)</w:t>
      </w:r>
      <w:r w:rsidR="00B06E70">
        <w:rPr>
          <w:sz w:val="24"/>
          <w:szCs w:val="24"/>
        </w:rPr>
        <w:fldChar w:fldCharType="end"/>
      </w:r>
      <w:r w:rsidRPr="00D05EBD">
        <w:rPr>
          <w:sz w:val="24"/>
          <w:szCs w:val="24"/>
        </w:rPr>
        <w:t xml:space="preserve"> found evidence that people tend to automatically forgive moderate offensive behaviours (e.g. lying, cheating, deceiving, insulting) when the behaviour was committed by a close other but not when it was committed by a non-close other. In studies 1 and 2, participants primed with the name of a close other (presented for 23ms on a screen) before the presentation of a word indicating a moderately forgivable behaviour, were more likely to indicate they would forgive this behaviour than participants primed with the name of an acquaintance. In study 3, participants were more likely to forgive a hypothetical transgression (i.e. their close/non-close other forgetting to post an important document for them, causing that the participant not getting a job) by a close other than by an acquaintance. Finally, in study 4 participants reported a bigger inclination to forgive a close other both under high and low time pressure, while the inclination to forgive a non-close other under high time pressure was very low (as measured by a word completion task where participants had to complete the word "forgive" and "forgiveness"</w:t>
      </w:r>
      <w:r w:rsidRPr="00973AEB">
        <w:rPr>
          <w:rStyle w:val="Refdenotaalpie"/>
        </w:rPr>
        <w:footnoteReference w:id="8"/>
      </w:r>
      <w:r w:rsidRPr="00D05EBD">
        <w:rPr>
          <w:sz w:val="24"/>
          <w:szCs w:val="24"/>
        </w:rPr>
        <w:t>). This set of four studies show an automatic tendency to forgive as participants were not aware they were primed with the name of their close other, nor of the effect of the prime on their behaviour. Also, in study 4, the fact that under time pressure participants had a bigger inclination to forgive a close other rather than a non-close other, also suggests this tendency to forgive was automatic, as time pressure taxes the participant’s cognitiv</w:t>
      </w:r>
      <w:r w:rsidR="004B283F">
        <w:rPr>
          <w:sz w:val="24"/>
          <w:szCs w:val="24"/>
        </w:rPr>
        <w:t>e resources. This suggests</w:t>
      </w:r>
      <w:r w:rsidR="002D45C9">
        <w:rPr>
          <w:sz w:val="24"/>
          <w:szCs w:val="24"/>
        </w:rPr>
        <w:t xml:space="preserve"> that</w:t>
      </w:r>
      <w:r w:rsidR="004B283F">
        <w:rPr>
          <w:sz w:val="24"/>
          <w:szCs w:val="24"/>
        </w:rPr>
        <w:t xml:space="preserve"> the participant’s</w:t>
      </w:r>
      <w:r w:rsidRPr="00D05EBD">
        <w:rPr>
          <w:sz w:val="24"/>
          <w:szCs w:val="24"/>
        </w:rPr>
        <w:t xml:space="preserve"> tendency to forgive occurred without much effort which is one of the features of automatic processes </w:t>
      </w:r>
      <w:r w:rsidR="00B06E70">
        <w:rPr>
          <w:sz w:val="24"/>
          <w:szCs w:val="24"/>
        </w:rPr>
        <w:fldChar w:fldCharType="begin" w:fldLock="1"/>
      </w:r>
      <w:r w:rsidR="00242A0C">
        <w:rPr>
          <w:sz w:val="24"/>
          <w:szCs w:val="24"/>
        </w:rPr>
        <w:instrText>ADDIN CSL_CITATION { "citationItems" : [ { "id" : "ITEM-1", "itemData" : { "author" : [ { "dropping-particle" : "", "family" : "Bargh", "given" : "John A.", "non-dropping-particle" : "", "parse-names" : false, "suffix" : "" } ], "chapter-number" : "1", "container-title" : "Handbook of Social Cognition:", "editor" : [ { "dropping-particle" : "", "family" : "Wyer, Robert S.", "given" : "Jr", "non-dropping-particle" : "", "parse-names" : false, "suffix" : "" }, { "dropping-particle" : "", "family" : "Srull", "given" : "Thomas K", "non-dropping-particle" : "", "parse-names" : false, "suffix" : "" } ], "id" : "ITEM-1", "issued" : { "date-parts" : [ [ "1994" ] ] }, "page" : "1-40", "publisher" : "Lawrence Erlbaum Associates", "publisher-place" : "Hillsdale,NJ, US", "title" : "The four horsemen of automaticity: Awareness, intention, efficiency, and control in social cognition", "type" : "chapter" }, "uris" : [ "http://www.mendeley.com/documents/?uuid=35fd2c30-517b-3ec6-9ecc-41a72bd35578" ] } ], "mendeley" : { "formattedCitation" : "(J. A. Bargh, 1994)", "plainTextFormattedCitation" : "(J. A. Bargh, 1994)", "previouslyFormattedCitation" : "(J. A. Bargh, 1994)" }, "properties" : { "noteIndex" : 0 }, "schema" : "https://github.com/citation-style-language/schema/raw/master/csl-citation.json" }</w:instrText>
      </w:r>
      <w:r w:rsidR="00B06E70">
        <w:rPr>
          <w:sz w:val="24"/>
          <w:szCs w:val="24"/>
        </w:rPr>
        <w:fldChar w:fldCharType="separate"/>
      </w:r>
      <w:r w:rsidR="00E82714" w:rsidRPr="00E82714">
        <w:rPr>
          <w:noProof/>
          <w:sz w:val="24"/>
          <w:szCs w:val="24"/>
        </w:rPr>
        <w:t>(Bargh, 1994)</w:t>
      </w:r>
      <w:r w:rsidR="00B06E70">
        <w:rPr>
          <w:sz w:val="24"/>
          <w:szCs w:val="24"/>
        </w:rPr>
        <w:fldChar w:fldCharType="end"/>
      </w:r>
      <w:r w:rsidRPr="00D05EBD">
        <w:rPr>
          <w:sz w:val="24"/>
          <w:szCs w:val="24"/>
        </w:rPr>
        <w:t xml:space="preserve">. Study 1 conducted by </w:t>
      </w:r>
      <w:r w:rsidR="00B06E70">
        <w:rPr>
          <w:sz w:val="24"/>
          <w:szCs w:val="24"/>
        </w:rPr>
        <w:fldChar w:fldCharType="begin" w:fldLock="1"/>
      </w:r>
      <w:r w:rsidR="008365B0">
        <w:rPr>
          <w:sz w:val="24"/>
          <w:szCs w:val="24"/>
        </w:rPr>
        <w:instrText>ADDIN CSL_CITATION { "citationItems" : [ { "id" : "ITEM-1", "itemData" : { "DOI" : "10.1037/0022-3514.84.1.148", "ISBN" : "1939-1315(Electronic);0022-3514(Print)", "ISSN" : "0022-3514", "PMID" : "12518976", "abstract" : "The mere psychological presence of relationship partners was hypothesized to trigger interpersonal goals that are then pursued nonconsciously. Qualitative data suggested that people tend to pursue different interpersonal goals within different types of relationships (e.g., mother, best friend, coworker). In several studies, priming participants' relationship representations produced goal-directed behavior (achievement, helping, understanding) in line with the previously assessed goal content of those representations. These findings support the hypothesis that interpersonal goals are component features of relationship representations and that mere activation of those representations, even in the partner's physical absence, causes the goals to become active and to guide behavior nonconsciously within the current situation.", "author" : [ { "dropping-particle" : "", "family" : "Fitzsimons", "given" : "Gr\u00e1inne M", "non-dropping-particle" : "", "parse-names" : false, "suffix" : "" }, { "dropping-particle" : "", "family" : "Bargh", "given" : "John A", "non-dropping-particle" : "", "parse-names" : false, "suffix" : "" } ], "container-title" : "Journal of personality and social psychology", "id" : "ITEM-1", "issue" : "1", "issued" : { "date-parts" : [ [ "2003" ] ] }, "page" : "148-164", "title" : "Thinking of you: nonconscious pursuit of interpersonal goals associated with relationship partners.", "type" : "article-journal", "volume" : "84" }, "uris" : [ "http://www.mendeley.com/documents/?uuid=7137123e-9cd1-39b6-a99a-8b1f20d231aa" ] } ], "mendeley" : { "formattedCitation" : "(Fitzsimons &amp; Bargh, 2003)", "manualFormatting" : "Fitzsimons and Bargh (2003)", "plainTextFormattedCitation" : "(Fitzsimons &amp; Bargh, 2003)", "previouslyFormattedCitation" : "(Fitzsimons &amp; Bargh, 2003)" }, "properties" : { "noteIndex" : 0 }, "schema" : "https://github.com/citation-style-language/schema/raw/master/csl-citation.json" }</w:instrText>
      </w:r>
      <w:r w:rsidR="00B06E70">
        <w:rPr>
          <w:sz w:val="24"/>
          <w:szCs w:val="24"/>
        </w:rPr>
        <w:fldChar w:fldCharType="separate"/>
      </w:r>
      <w:r w:rsidR="008365B0">
        <w:rPr>
          <w:noProof/>
          <w:sz w:val="24"/>
          <w:szCs w:val="24"/>
        </w:rPr>
        <w:t>Fitzsimons and Bargh</w:t>
      </w:r>
      <w:r w:rsidR="008365B0" w:rsidRPr="008365B0">
        <w:rPr>
          <w:noProof/>
          <w:sz w:val="24"/>
          <w:szCs w:val="24"/>
        </w:rPr>
        <w:t xml:space="preserve"> </w:t>
      </w:r>
      <w:r w:rsidR="008365B0">
        <w:rPr>
          <w:noProof/>
          <w:sz w:val="24"/>
          <w:szCs w:val="24"/>
        </w:rPr>
        <w:t>(</w:t>
      </w:r>
      <w:r w:rsidR="008365B0" w:rsidRPr="008365B0">
        <w:rPr>
          <w:noProof/>
          <w:sz w:val="24"/>
          <w:szCs w:val="24"/>
        </w:rPr>
        <w:t>2003)</w:t>
      </w:r>
      <w:r w:rsidR="00B06E70">
        <w:rPr>
          <w:sz w:val="24"/>
          <w:szCs w:val="24"/>
        </w:rPr>
        <w:fldChar w:fldCharType="end"/>
      </w:r>
      <w:r w:rsidRPr="00D05EBD">
        <w:rPr>
          <w:sz w:val="24"/>
          <w:szCs w:val="24"/>
        </w:rPr>
        <w:t xml:space="preserve"> also seems to indicate some sort of automaticity in behaviours occurring in interpersonal interactions (i.e. the automatic activation of the goal to help someone</w:t>
      </w:r>
      <w:r w:rsidRPr="008365B0">
        <w:rPr>
          <w:sz w:val="24"/>
          <w:szCs w:val="24"/>
        </w:rPr>
        <w:t xml:space="preserve">). </w:t>
      </w:r>
      <w:r w:rsidRPr="008365B0">
        <w:rPr>
          <w:sz w:val="24"/>
          <w:szCs w:val="24"/>
        </w:rPr>
        <w:lastRenderedPageBreak/>
        <w:t>Fitzsimons and Bargh found</w:t>
      </w:r>
      <w:r w:rsidRPr="00D05EBD">
        <w:rPr>
          <w:sz w:val="24"/>
          <w:szCs w:val="24"/>
        </w:rPr>
        <w:t xml:space="preserve"> that participants who were primed with the representation of a close friend (i.e., they were asked questions about this friend) were more likely to later help an experimenter than participants who were primed with the representation of a co-worker (whose description implied that he/she was not that close to the participant). The findings of both, </w:t>
      </w:r>
      <w:proofErr w:type="spellStart"/>
      <w:r w:rsidRPr="008365B0">
        <w:rPr>
          <w:sz w:val="24"/>
          <w:szCs w:val="24"/>
        </w:rPr>
        <w:t>Karremans</w:t>
      </w:r>
      <w:proofErr w:type="spellEnd"/>
      <w:r w:rsidRPr="008365B0">
        <w:rPr>
          <w:sz w:val="24"/>
          <w:szCs w:val="24"/>
        </w:rPr>
        <w:t xml:space="preserve"> and </w:t>
      </w:r>
      <w:proofErr w:type="spellStart"/>
      <w:r w:rsidRPr="008365B0">
        <w:rPr>
          <w:sz w:val="24"/>
          <w:szCs w:val="24"/>
        </w:rPr>
        <w:t>Aarts</w:t>
      </w:r>
      <w:proofErr w:type="spellEnd"/>
      <w:r w:rsidRPr="008365B0">
        <w:rPr>
          <w:sz w:val="24"/>
          <w:szCs w:val="24"/>
        </w:rPr>
        <w:t>, and Fitzsimons and Bargh stud</w:t>
      </w:r>
      <w:r w:rsidRPr="00D05EBD">
        <w:rPr>
          <w:sz w:val="24"/>
          <w:szCs w:val="24"/>
        </w:rPr>
        <w:t>ies, suggest that when people are provided with the representation of a close other they are more likely to automatically engage in interpersonal behaviours (forgiving and helping, respectively)</w:t>
      </w:r>
      <w:r w:rsidRPr="00D05EBD">
        <w:rPr>
          <w:rStyle w:val="Refdecomentario"/>
          <w:sz w:val="24"/>
          <w:szCs w:val="24"/>
        </w:rPr>
        <w:t xml:space="preserve"> </w:t>
      </w:r>
      <w:r w:rsidRPr="00D05EBD">
        <w:rPr>
          <w:sz w:val="24"/>
          <w:szCs w:val="24"/>
        </w:rPr>
        <w:t xml:space="preserve">than when they have the representation of someone who is less close and that these behaviours occur to a certain extent in an automatic fashion. In line with the evidence provided by </w:t>
      </w:r>
      <w:proofErr w:type="spellStart"/>
      <w:r w:rsidRPr="008365B0">
        <w:rPr>
          <w:sz w:val="24"/>
          <w:szCs w:val="24"/>
        </w:rPr>
        <w:t>Karremans</w:t>
      </w:r>
      <w:proofErr w:type="spellEnd"/>
      <w:r w:rsidRPr="008365B0">
        <w:rPr>
          <w:sz w:val="24"/>
          <w:szCs w:val="24"/>
        </w:rPr>
        <w:t xml:space="preserve"> and </w:t>
      </w:r>
      <w:proofErr w:type="spellStart"/>
      <w:r w:rsidRPr="008365B0">
        <w:rPr>
          <w:sz w:val="24"/>
          <w:szCs w:val="24"/>
        </w:rPr>
        <w:t>Aarts</w:t>
      </w:r>
      <w:proofErr w:type="spellEnd"/>
      <w:r w:rsidRPr="008365B0">
        <w:rPr>
          <w:sz w:val="24"/>
          <w:szCs w:val="24"/>
        </w:rPr>
        <w:t>, and by Fitzsimons and Bargh</w:t>
      </w:r>
      <w:r w:rsidRPr="00D05EBD">
        <w:rPr>
          <w:sz w:val="24"/>
          <w:szCs w:val="24"/>
        </w:rPr>
        <w:t xml:space="preserve"> studies, in the study</w:t>
      </w:r>
      <w:r w:rsidR="00892F2B" w:rsidRPr="00D05EBD">
        <w:rPr>
          <w:sz w:val="24"/>
          <w:szCs w:val="24"/>
        </w:rPr>
        <w:t xml:space="preserve"> presented in this chapter</w:t>
      </w:r>
      <w:r w:rsidRPr="00D05EBD">
        <w:rPr>
          <w:sz w:val="24"/>
          <w:szCs w:val="24"/>
        </w:rPr>
        <w:t xml:space="preserve">, it is suggested that AIER will follow the same logic, meaning that people will be more likely to engage in AIER with close others than with non-close others. </w:t>
      </w:r>
    </w:p>
    <w:p w:rsidR="002D45C9" w:rsidRPr="00D05EBD" w:rsidRDefault="002D45C9" w:rsidP="002D45C9">
      <w:pPr>
        <w:pStyle w:val="Prrafodelista"/>
        <w:spacing w:after="0" w:line="480" w:lineRule="auto"/>
        <w:ind w:left="0"/>
        <w:jc w:val="both"/>
        <w:rPr>
          <w:sz w:val="24"/>
          <w:szCs w:val="24"/>
        </w:rPr>
      </w:pPr>
    </w:p>
    <w:p w:rsidR="00FB1389" w:rsidRDefault="00FB1389" w:rsidP="002D45C9">
      <w:pPr>
        <w:pStyle w:val="Prrafodelista"/>
        <w:spacing w:after="0" w:line="480" w:lineRule="auto"/>
        <w:ind w:left="0"/>
        <w:jc w:val="both"/>
        <w:rPr>
          <w:b/>
          <w:sz w:val="24"/>
          <w:szCs w:val="24"/>
        </w:rPr>
      </w:pPr>
      <w:r w:rsidRPr="00D05EBD">
        <w:rPr>
          <w:sz w:val="24"/>
          <w:szCs w:val="24"/>
        </w:rPr>
        <w:tab/>
      </w:r>
      <w:r w:rsidRPr="00D05EBD">
        <w:rPr>
          <w:b/>
          <w:sz w:val="24"/>
          <w:szCs w:val="24"/>
        </w:rPr>
        <w:t>2.1.2 Improving and worsening IER</w:t>
      </w:r>
    </w:p>
    <w:p w:rsidR="002D45C9" w:rsidRPr="00D05EBD" w:rsidRDefault="002D45C9" w:rsidP="002D45C9">
      <w:pPr>
        <w:pStyle w:val="Prrafodelista"/>
        <w:spacing w:after="0" w:line="480" w:lineRule="auto"/>
        <w:ind w:left="0"/>
        <w:jc w:val="both"/>
        <w:rPr>
          <w:b/>
          <w:sz w:val="24"/>
          <w:szCs w:val="24"/>
        </w:rPr>
      </w:pPr>
    </w:p>
    <w:p w:rsidR="00FB1389" w:rsidRPr="00D05EBD" w:rsidRDefault="00FB1389" w:rsidP="002D45C9">
      <w:pPr>
        <w:pStyle w:val="Prrafodelista"/>
        <w:spacing w:after="0" w:line="480" w:lineRule="auto"/>
        <w:ind w:left="0" w:firstLine="720"/>
        <w:jc w:val="both"/>
        <w:rPr>
          <w:sz w:val="24"/>
          <w:szCs w:val="24"/>
        </w:rPr>
      </w:pPr>
      <w:r w:rsidRPr="00D05EBD">
        <w:rPr>
          <w:sz w:val="24"/>
          <w:szCs w:val="24"/>
        </w:rPr>
        <w:t xml:space="preserve">The amount of worsening and improving IER strategies people use, also seem to vary in different kinds of relationships. Some research indicates that close relationships present more IER (both to improve and to worsen the emotions of someone else) than non-close relationships </w:t>
      </w:r>
      <w:r w:rsidR="00B06E70">
        <w:rPr>
          <w:sz w:val="24"/>
          <w:szCs w:val="24"/>
        </w:rPr>
        <w:fldChar w:fldCharType="begin" w:fldLock="1"/>
      </w:r>
      <w:r w:rsidR="001D193C">
        <w:rPr>
          <w:sz w:val="24"/>
          <w:szCs w:val="24"/>
        </w:rPr>
        <w:instrText>ADDIN CSL_CITATION { "citationItems" : [ { "id" : "ITEM-1", "itemData" : { "DOI" : "10.1177/1754073915590620", "ISBN" : "1111111111", "ISSN" : "1754-0739", "PMID" : "16452361", "author" : [ { "dropping-particle" : "", "family" : "Schoebi", "given" : "Dominik", "non-dropping-particle" : "", "parse-names" : false, "suffix" : "" }, { "dropping-particle" : "", "family" : "Randall", "given" : "Ashley K.", "non-dropping-particle" : "", "parse-names" : false, "suffix" : "" } ], "container-title" : "Emotion Review", "id" : "ITEM-1", "issue" : "4", "issued" : { "date-parts" : [ [ "2015" ] ] }, "page" : "1-7", "title" : "Emotional Dynamics in Intimate Relationships", "type" : "article-journal", "volume" : "7" }, "uris" : [ "http://www.mendeley.com/documents/?uuid=9ea06990-6796-403c-affb-0016368ed0ec" ] } ], "mendeley" : { "formattedCitation" : "(Schoebi &amp; Randall, 2015)", "plainTextFormattedCitation" : "(Schoebi &amp; Randall, 2015)", "previouslyFormattedCitation" : "(Schoebi &amp; Randall, 2015)" }, "properties" : { "noteIndex" : 0 }, "schema" : "https://github.com/citation-style-language/schema/raw/master/csl-citation.json" }</w:instrText>
      </w:r>
      <w:r w:rsidR="00B06E70">
        <w:rPr>
          <w:sz w:val="24"/>
          <w:szCs w:val="24"/>
        </w:rPr>
        <w:fldChar w:fldCharType="separate"/>
      </w:r>
      <w:r w:rsidR="001D193C" w:rsidRPr="001D193C">
        <w:rPr>
          <w:noProof/>
          <w:sz w:val="24"/>
          <w:szCs w:val="24"/>
        </w:rPr>
        <w:t>(Schoebi &amp; Randall, 2015)</w:t>
      </w:r>
      <w:r w:rsidR="00B06E70">
        <w:rPr>
          <w:sz w:val="24"/>
          <w:szCs w:val="24"/>
        </w:rPr>
        <w:fldChar w:fldCharType="end"/>
      </w:r>
      <w:r w:rsidR="001D193C">
        <w:rPr>
          <w:sz w:val="24"/>
          <w:szCs w:val="24"/>
        </w:rPr>
        <w:t>.</w:t>
      </w:r>
      <w:r w:rsidRPr="00D05EBD">
        <w:rPr>
          <w:sz w:val="24"/>
          <w:szCs w:val="24"/>
        </w:rPr>
        <w:t xml:space="preserve"> </w:t>
      </w:r>
      <w:r w:rsidR="004B283F">
        <w:rPr>
          <w:sz w:val="24"/>
          <w:szCs w:val="24"/>
        </w:rPr>
        <w:t>R</w:t>
      </w:r>
      <w:r w:rsidRPr="00D05EBD">
        <w:rPr>
          <w:sz w:val="24"/>
          <w:szCs w:val="24"/>
        </w:rPr>
        <w:t xml:space="preserve">esearch seems to indicate that people from various groups (social work agencies, paramedic services, university staff and students, prisoners) tend to use more interpersonal strategies designed to improve affect than interpersonal strategies designed to worsen affect, and that IER strategies designed to improve affect seem to be more likely to occur with close others </w:t>
      </w:r>
      <w:r w:rsidR="00B06E70">
        <w:rPr>
          <w:sz w:val="24"/>
          <w:szCs w:val="24"/>
        </w:rPr>
        <w:fldChar w:fldCharType="begin" w:fldLock="1"/>
      </w:r>
      <w:r w:rsidR="001D193C">
        <w:rPr>
          <w:sz w:val="24"/>
          <w:szCs w:val="24"/>
        </w:rPr>
        <w:instrText>ADDIN CSL_CITATION { "citationItems" : [ { "id" : "ITEM-1", "itemData" : { "DOI" : "10.1080/00224545.2011.599823", "ISBN" : "0022-4545", "ISSN" : "0022-4545", "PMID" : "22468424", "abstract" : "Individuals in a variety of social contexts try to regulate other people\u2019s feelings, but how does this process affect the regulators themselves? This research aimed to establish a relationship between people\u2019s use of interpersonal affect regulation and their own affective well-being. In a field study, self- and other-reported data were collected from prisoners and staff members in a therapeutic prison using two surveys separated in time. In a laboratory study, a student sample reported their affect before and after attempting to influence the feelings of talent show contestants in a role-play task. The results of both studies indicated congruent associations between the use of affect-improving and affect- worsening interpersonal affect regulation and strategy agents\u2019 affective well-being. Our findings highlight that, when performing interpersonal affect regulation, people may not be immune from the effects of their own actions.", "author" : [ { "dropping-particle" : "", "family" : "Niven", "given" : "Karen", "non-dropping-particle" : "", "parse-names" : false, "suffix" : "" }, { "dropping-particle" : "", "family" : "Totterdell", "given" : "Peter", "non-dropping-particle" : "", "parse-names" : false, "suffix" : "" }, { "dropping-particle" : "", "family" : "Holman", "given" : "David", "non-dropping-particle" : "", "parse-names" : false, "suffix" : "" }, { "dropping-particle" : "", "family" : "Headley", "given" : "Tara", "non-dropping-particle" : "", "parse-names" : false, "suffix" : "" } ], "container-title" : "The Journal of Social Psychology", "id" : "ITEM-1", "issue" : "2", "issued" : { "date-parts" : [ [ "2012" ] ] }, "page" : "246-260", "title" : "Does Regulating Others' Feelings Influence People's Own Affective Well-Being?", "type" : "article-journal", "volume" : "152" }, "uris" : [ "http://www.mendeley.com/documents/?uuid=ab5152e6-8346-34bf-bdc3-4cc32bbf4e7a" ] }, { "id" : "ITEM-2", "itemData" : { "DOI" : "10.1007/s12144-011-9099-9", "ISBN" : "10461310", "ISSN" : "10461310", "PMID" : "59222920", "abstract" : "Research on affect regulation has blossomed in recent years. However, the lack of validated scales assessing individual differences in the use of strategies to achieve alternative types of affect regulation, e.g., the regulation of others\u2019 affect and the worsening of affect, has hampered research on these important processes. This\\r\\npaper presents the development and validation of a brief new measure of individual differences in the use of strategies to regulate one\u2019s own and other people\u2019s feelings:m the Emotion Regulation of Others and Self (EROS) scale. Two distinct samples (N=551 and N=227) confirmed a four-factor structure: intrinsic affect-improving,\\r\\nintrinsic affect-worsening, extrinsic affect-improving and extrinsic affect-worsening. In line with predictions, these factors were associated with existing measures of affect regulation, personality and affect. Both intrinsic factors were positively associated with emotional exhaustion, while all factors except extrinsic affect-improving were positively associated with health-related impairments. Convergence between self- and other-reported scores on the extrinsic factors in a third sample (N=50 dyads) demonstrated further evidence of validity.", "author" : [ { "dropping-particle" : "", "family" : "Niven", "given" : "Karen", "non-dropping-particle" : "", "parse-names" : false, "suffix" : "" }, { "dropping-particle" : "", "family" : "Totterdell", "given" : "Peter", "non-dropping-particle" : "", "parse-names" : false, "suffix" : "" }, { "dropping-particle" : "", "family" : "Stride", "given" : "Christopher B.", "non-dropping-particle" : "", "parse-names" : false, "suffix" : "" }, { "dropping-particle" : "", "family" : "Holman", "given" : "David", "non-dropping-particle" : "", "parse-names" : false, "suffix" : "" } ], "container-title" : "Current Psychology", "id" : "ITEM-2", "issue" : "1", "issued" : { "date-parts" : [ [ "2011" ] ] }, "page" : "53-73", "title" : "Emotion Regulation of Others and Self (EROS): The Development and Validation of a New Individual Difference Measure", "type" : "article-journal", "volume" : "30" }, "uris" : [ "http://www.mendeley.com/documents/?uuid=4ea71d50-689a-3b25-aa32-744cd3a8d801" ] } ], "mendeley" : { "formattedCitation" : "(Niven, Totterdell, Holman, &amp; Headley, 2012; Niven, Totterdell, Stride, &amp; Holman, 2011)", "plainTextFormattedCitation" : "(Niven, Totterdell, Holman, &amp; Headley, 2012; Niven, Totterdell, Stride, &amp; Holman, 2011)", "previouslyFormattedCitation" : "(Niven, Totterdell, Holman, &amp; Headley, 2012; Niven, Totterdell, Stride, &amp; Holman, 2011)" }, "properties" : { "noteIndex" : 0 }, "schema" : "https://github.com/citation-style-language/schema/raw/master/csl-citation.json" }</w:instrText>
      </w:r>
      <w:r w:rsidR="00B06E70">
        <w:rPr>
          <w:sz w:val="24"/>
          <w:szCs w:val="24"/>
        </w:rPr>
        <w:fldChar w:fldCharType="separate"/>
      </w:r>
      <w:r w:rsidR="001D193C" w:rsidRPr="001D193C">
        <w:rPr>
          <w:noProof/>
          <w:sz w:val="24"/>
          <w:szCs w:val="24"/>
        </w:rPr>
        <w:t xml:space="preserve">(Niven, </w:t>
      </w:r>
      <w:r w:rsidR="001D193C" w:rsidRPr="001D193C">
        <w:rPr>
          <w:noProof/>
          <w:sz w:val="24"/>
          <w:szCs w:val="24"/>
        </w:rPr>
        <w:lastRenderedPageBreak/>
        <w:t>Totterdell, Holman, &amp; Headley, 2012; Niven, Totterdell, Stride, &amp; Holman, 2011)</w:t>
      </w:r>
      <w:r w:rsidR="00B06E70">
        <w:rPr>
          <w:sz w:val="24"/>
          <w:szCs w:val="24"/>
        </w:rPr>
        <w:fldChar w:fldCharType="end"/>
      </w:r>
      <w:r w:rsidRPr="00D05EBD">
        <w:rPr>
          <w:sz w:val="24"/>
          <w:szCs w:val="24"/>
        </w:rPr>
        <w:t>.</w:t>
      </w:r>
      <w:r w:rsidR="001D193C">
        <w:rPr>
          <w:sz w:val="24"/>
          <w:szCs w:val="24"/>
        </w:rPr>
        <w:t xml:space="preserve"> </w:t>
      </w:r>
      <w:r w:rsidR="00B06E70">
        <w:rPr>
          <w:sz w:val="24"/>
          <w:szCs w:val="24"/>
        </w:rPr>
        <w:fldChar w:fldCharType="begin" w:fldLock="1"/>
      </w:r>
      <w:r w:rsidR="001D193C">
        <w:rPr>
          <w:sz w:val="24"/>
          <w:szCs w:val="24"/>
        </w:rPr>
        <w:instrText>ADDIN CSL_CITATION { "citationItems" : [ { "id" : "ITEM-1", "itemData" : { "DOI" : "10.3389/fpsyg.2012.00394", "ISBN" : "1664-1078", "ISSN" : "16641078", "PMID" : "23060849", "abstract" : "Individuals use a range of interpersonal emotion regulation strategies to influence the feelings of others, e.g., friends, family members, romantic partners, work colleagues. But little is known about whether people vary their strategy use across these different relational contexts. We characterize and measure this variability as \"spin,\" i.e., the extent of dispersion in a person's interpersonal emotion regulation strategy use across different relationships, and focus on two key questions. First, is spin adaptive or maladaptive with regard to personal well-being and relationship quality? Second, do personality traits that are considered important for interpersonal functioning (i.e., empathy, attachment style) predict spin? The data used in this study is drawn from a large online survey. A key contribution of this study is to reveal that people who varied the type of strategies they used across relationships (i.e., those with high spin) had lower positive mood, higher emotional exhaustion, and less close relationships. A further key contribution is to show that spin was associated with low empathic concern and perspective taking and high anxious attachment style. High variability in interpersonal emotion regulation strategies across relationships therefore appears to be maladaptive both personally and socially.", "author" : [ { "dropping-particle" : "", "family" : "Niven", "given" : "Karen", "non-dropping-particle" : "", "parse-names" : false, "suffix" : "" }, { "dropping-particle" : "", "family" : "Macdonald", "given" : "Ian", "non-dropping-particle" : "", "parse-names" : false, "suffix" : "" }, { "dropping-particle" : "", "family" : "Holman", "given" : "David", "non-dropping-particle" : "", "parse-names" : false, "suffix" : "" } ], "container-title" : "Frontiers in Psychology", "id" : "ITEM-1", "issue" : "OCT", "issued" : { "date-parts" : [ [ "2012" ] ] }, "title" : "You spin me right round: Cross-relationship variability in interpersonal emotion regulation", "type" : "article-journal", "volume" : "3" }, "uris" : [ "http://www.mendeley.com/documents/?uuid=b50d11be-ef10-322f-870f-e0684460cc35" ] } ], "mendeley" : { "formattedCitation" : "(Niven, Macdonald, &amp; Holman, 2012)", "manualFormatting" : "Niven, Macdonald, and Holman (2012)", "plainTextFormattedCitation" : "(Niven, Macdonald, &amp; Holman, 2012)", "previouslyFormattedCitation" : "(Niven, Macdonald, &amp; Holman, 2012)" }, "properties" : { "noteIndex" : 0 }, "schema" : "https://github.com/citation-style-language/schema/raw/master/csl-citation.json" }</w:instrText>
      </w:r>
      <w:r w:rsidR="00B06E70">
        <w:rPr>
          <w:sz w:val="24"/>
          <w:szCs w:val="24"/>
        </w:rPr>
        <w:fldChar w:fldCharType="separate"/>
      </w:r>
      <w:r w:rsidR="001D193C">
        <w:rPr>
          <w:noProof/>
          <w:sz w:val="24"/>
          <w:szCs w:val="24"/>
        </w:rPr>
        <w:t>Niven, Macdonald, and Holman</w:t>
      </w:r>
      <w:r w:rsidR="001D193C" w:rsidRPr="001D193C">
        <w:rPr>
          <w:noProof/>
          <w:sz w:val="24"/>
          <w:szCs w:val="24"/>
        </w:rPr>
        <w:t xml:space="preserve"> </w:t>
      </w:r>
      <w:r w:rsidR="001D193C">
        <w:rPr>
          <w:noProof/>
          <w:sz w:val="24"/>
          <w:szCs w:val="24"/>
        </w:rPr>
        <w:t>(</w:t>
      </w:r>
      <w:r w:rsidR="001D193C" w:rsidRPr="001D193C">
        <w:rPr>
          <w:noProof/>
          <w:sz w:val="24"/>
          <w:szCs w:val="24"/>
        </w:rPr>
        <w:t>2012)</w:t>
      </w:r>
      <w:r w:rsidR="00B06E70">
        <w:rPr>
          <w:sz w:val="24"/>
          <w:szCs w:val="24"/>
        </w:rPr>
        <w:fldChar w:fldCharType="end"/>
      </w:r>
      <w:r w:rsidRPr="00D05EBD">
        <w:rPr>
          <w:sz w:val="24"/>
          <w:szCs w:val="24"/>
        </w:rPr>
        <w:t xml:space="preserve"> found that people use more IER strategies to improve and worsen the emotions of someone else with people they feel closer to (romantic partners, friends and relatives) than with people they do not feel that close to (work relationships), and that in romantic relationships people use more IER strategies (both to improve and worsen the emotions of someone else) than with friends or relatives. Niven and colleagues also found that non-close relationships (i.e. work relationships) were the kind of relationships where people used less IER regulation strategies and that the strategies aimed to improve the emotions of someone else abounded more than the strategies aimed to worsen the emotions of someone else, both in close and non-close relationships. </w:t>
      </w:r>
    </w:p>
    <w:p w:rsidR="00FB1389" w:rsidRPr="00D05EBD" w:rsidRDefault="00FB1389" w:rsidP="00AE640B">
      <w:pPr>
        <w:pStyle w:val="Prrafodelista"/>
        <w:spacing w:after="0" w:line="480" w:lineRule="auto"/>
        <w:ind w:left="0" w:firstLine="720"/>
        <w:jc w:val="both"/>
        <w:rPr>
          <w:sz w:val="24"/>
          <w:szCs w:val="24"/>
        </w:rPr>
      </w:pPr>
      <w:r w:rsidRPr="00D05EBD">
        <w:rPr>
          <w:sz w:val="24"/>
          <w:szCs w:val="24"/>
        </w:rPr>
        <w:t xml:space="preserve">“Load sharing” relationships (a kind of close relationship where a partner can be counted on) are another example of close relationships where interpersonal regulation to improve someone’s affect is frequent. In these kind of relationships, partners engage in positive emotional exchanges (e.g. providing care and emotional comfort, helping to nurture and to protect the offspring) which do not happen between pairs of strangers </w:t>
      </w:r>
      <w:r w:rsidR="00B06E70">
        <w:rPr>
          <w:sz w:val="24"/>
          <w:szCs w:val="24"/>
        </w:rPr>
        <w:fldChar w:fldCharType="begin" w:fldLock="1"/>
      </w:r>
      <w:r w:rsidR="001D193C">
        <w:rPr>
          <w:sz w:val="24"/>
          <w:szCs w:val="24"/>
        </w:rPr>
        <w:instrText>ADDIN CSL_CITATION { "citationItems" : [ { "id" : "ITEM-1", "itemData" : { "DOI" : "10.1177/1754073912451630", "ISBN" : "1111111111", "ISSN" : "1754-0739", "abstract" : "Coregulation refers to the process by which relationship partners form a dyadic emotional system involving an oscillating pattern of affective arousal and dampening that dynamically maintains an optimal emotional state. Coregulation may represent an important form of interpersonal emotion regulation, but confusion exists in the literature due to a lack of precision in the usage of the term. We propose an operational definition for coregulation as a bidirectional linkage of oscillating emotional channels between partners, which contributes to emotional stability for both partners. We propose several distinctions and raise unanswered questions that will need to be addressed in order to understand the relevance of coregulation for well-being in adulthood.", "author" : [ { "dropping-particle" : "", "family" : "Butler", "given" : "Emily A.", "non-dropping-particle" : "", "parse-names" : false, "suffix" : "" }, { "dropping-particle" : "", "family" : "Randall", "given" : "a. K.", "non-dropping-particle" : "", "parse-names" : false, "suffix" : "" } ], "container-title" : "Emotion Review", "id" : "ITEM-1", "issued" : { "date-parts" : [ [ "2013" ] ] }, "page" : "202-210", "title" : "Emotional coregulation in close relationships", "type" : "article-journal", "volume" : "5" }, "uris" : [ "http://www.mendeley.com/documents/?uuid=b743e6dd-9dfa-3f07-ba6a-0c21ed862c1c" ] } ], "mendeley" : { "formattedCitation" : "(Butler &amp; Randall, 2013)", "plainTextFormattedCitation" : "(Butler &amp; Randall, 2013)", "previouslyFormattedCitation" : "(Butler &amp; Randall, 2013)" }, "properties" : { "noteIndex" : 0 }, "schema" : "https://github.com/citation-style-language/schema/raw/master/csl-citation.json" }</w:instrText>
      </w:r>
      <w:r w:rsidR="00B06E70">
        <w:rPr>
          <w:sz w:val="24"/>
          <w:szCs w:val="24"/>
        </w:rPr>
        <w:fldChar w:fldCharType="separate"/>
      </w:r>
      <w:r w:rsidR="001D193C" w:rsidRPr="001D193C">
        <w:rPr>
          <w:noProof/>
          <w:sz w:val="24"/>
          <w:szCs w:val="24"/>
        </w:rPr>
        <w:t>(Butler &amp; Randall, 2013)</w:t>
      </w:r>
      <w:r w:rsidR="00B06E70">
        <w:rPr>
          <w:sz w:val="24"/>
          <w:szCs w:val="24"/>
        </w:rPr>
        <w:fldChar w:fldCharType="end"/>
      </w:r>
      <w:r w:rsidRPr="00D05EBD">
        <w:rPr>
          <w:sz w:val="24"/>
          <w:szCs w:val="24"/>
        </w:rPr>
        <w:t xml:space="preserve">. Contact with close others seems to have the benefits of improving someone else's emotions or even preventing negative emotions from occurring. </w:t>
      </w:r>
      <w:r w:rsidR="00B06E70">
        <w:rPr>
          <w:sz w:val="24"/>
          <w:szCs w:val="24"/>
        </w:rPr>
        <w:fldChar w:fldCharType="begin" w:fldLock="1"/>
      </w:r>
      <w:r w:rsidR="001D193C">
        <w:rPr>
          <w:sz w:val="24"/>
          <w:szCs w:val="24"/>
        </w:rPr>
        <w:instrText>ADDIN CSL_CITATION { "citationItems" : [ { "id" : "ITEM-1", "itemData" : { "DOI" : "10.1111/j.1467-9280.2006.01832.x", "ISBN" : "0956-7976 (Print)\\n0956-7976 (Linking)", "ISSN" : "0956-7976", "PMID" : "17201784", "abstract" : "ABSTRACT - Social contact promotes enhanced health and well-being, likely as a function of the social regulation of emotional responding in the face of various life stressors. For this functional magnetic resonance imaging (JMRI) study, 16 married women were subjected to the threat of electric shock while holding their husband's hand, the hand of an anonymous male experimenter, or no hand at all. Results indicated a pervasive attenuation of activation in the neural systems supporting emotional and behavioral threat responses when the women held their husband's hand. A more limited attenuation of activation in these systems occurred when they held the hand of a stranger. Most strikingly, the effects of spousal hand-holding on neural threat responses varied as a function of marital quality, with higher marital quality predicting less threat- related neural activation in the right anterior insula, su- perior frontal gyrus, and hypothalamus during spousal, but not stranger, hand-holding.", "author" : [ { "dropping-particle" : "", "family" : "Coan", "given" : "James A", "non-dropping-particle" : "", "parse-names" : false, "suffix" : "" }, { "dropping-particle" : "", "family" : "Schaefer", "given" : "Hillary S", "non-dropping-particle" : "", "parse-names" : false, "suffix" : "" }, { "dropping-particle" : "", "family" : "Davidson", "given" : "Richard J", "non-dropping-particle" : "", "parse-names" : false, "suffix" : "" } ], "container-title" : "Psychological Science", "id" : "ITEM-1", "issue" : "12", "issued" : { "date-parts" : [ [ "2006" ] ] }, "page" : "1032-1039", "title" : "Lending a Hand of the Neural Response to Threat", "type" : "article-journal", "volume" : "17" }, "uris" : [ "http://www.mendeley.com/documents/?uuid=fb49fff1-0081-3839-9e76-e854af63eef8" ] } ], "mendeley" : { "formattedCitation" : "(Coan et al., 2006)", "manualFormatting" : "Coan et al. (2006)", "plainTextFormattedCitation" : "(Coan et al., 2006)", "previouslyFormattedCitation" : "(Coan et al., 2006)" }, "properties" : { "noteIndex" : 0 }, "schema" : "https://github.com/citation-style-language/schema/raw/master/csl-citation.json" }</w:instrText>
      </w:r>
      <w:r w:rsidR="00B06E70">
        <w:rPr>
          <w:sz w:val="24"/>
          <w:szCs w:val="24"/>
        </w:rPr>
        <w:fldChar w:fldCharType="separate"/>
      </w:r>
      <w:r w:rsidR="001D193C">
        <w:rPr>
          <w:noProof/>
          <w:sz w:val="24"/>
          <w:szCs w:val="24"/>
        </w:rPr>
        <w:t>Coan et al.</w:t>
      </w:r>
      <w:r w:rsidR="001D193C" w:rsidRPr="001D193C">
        <w:rPr>
          <w:noProof/>
          <w:sz w:val="24"/>
          <w:szCs w:val="24"/>
        </w:rPr>
        <w:t xml:space="preserve"> </w:t>
      </w:r>
      <w:r w:rsidR="001D193C">
        <w:rPr>
          <w:noProof/>
          <w:sz w:val="24"/>
          <w:szCs w:val="24"/>
        </w:rPr>
        <w:t>(</w:t>
      </w:r>
      <w:r w:rsidR="001D193C" w:rsidRPr="001D193C">
        <w:rPr>
          <w:noProof/>
          <w:sz w:val="24"/>
          <w:szCs w:val="24"/>
        </w:rPr>
        <w:t>2006)</w:t>
      </w:r>
      <w:r w:rsidR="00B06E70">
        <w:rPr>
          <w:sz w:val="24"/>
          <w:szCs w:val="24"/>
        </w:rPr>
        <w:fldChar w:fldCharType="end"/>
      </w:r>
      <w:r w:rsidRPr="00D05EBD">
        <w:rPr>
          <w:sz w:val="24"/>
          <w:szCs w:val="24"/>
        </w:rPr>
        <w:t xml:space="preserve"> exposed a group of married women to the threat of receiving an electric shock when holding their husband's hand or a male stranger's hand. Women exhibited less neural threat response when holding their husband's hand in comparison to holding a stranger's hand.</w:t>
      </w:r>
    </w:p>
    <w:p w:rsidR="00FB1389" w:rsidRPr="00D05EBD" w:rsidRDefault="00FB1389" w:rsidP="00AE640B">
      <w:pPr>
        <w:pStyle w:val="Prrafodelista"/>
        <w:spacing w:after="0" w:line="480" w:lineRule="auto"/>
        <w:ind w:left="0" w:firstLine="720"/>
        <w:jc w:val="both"/>
        <w:rPr>
          <w:sz w:val="24"/>
          <w:szCs w:val="24"/>
        </w:rPr>
      </w:pPr>
      <w:r w:rsidRPr="00D05EBD">
        <w:rPr>
          <w:sz w:val="24"/>
          <w:szCs w:val="24"/>
        </w:rPr>
        <w:t xml:space="preserve">The abovementioned research seems to reflect that people generally use more IER to improve someone else’s affect with people they feel close to than with people </w:t>
      </w:r>
      <w:r w:rsidRPr="00D05EBD">
        <w:rPr>
          <w:sz w:val="24"/>
          <w:szCs w:val="24"/>
        </w:rPr>
        <w:lastRenderedPageBreak/>
        <w:t>they do not feel so close to. People may use more improving IER because of its consequences. For example people get involved in positive interpersonal sexual and intimate behaviours (e.g., cuddling, nuzzling) because these behaviours activate oxytocin and opioid systems that provide pleasure and reduce distress</w:t>
      </w:r>
      <w:r w:rsidR="00FC6B09">
        <w:rPr>
          <w:sz w:val="24"/>
          <w:szCs w:val="24"/>
        </w:rPr>
        <w:t xml:space="preserve"> </w:t>
      </w:r>
      <w:r w:rsidR="00B06E70">
        <w:rPr>
          <w:sz w:val="24"/>
          <w:szCs w:val="24"/>
        </w:rPr>
        <w:fldChar w:fldCharType="begin" w:fldLock="1"/>
      </w:r>
      <w:r w:rsidR="00A5797A">
        <w:rPr>
          <w:sz w:val="24"/>
          <w:szCs w:val="24"/>
        </w:rPr>
        <w:instrText>ADDIN CSL_CITATION { "citationItems" : [ { "id" : "ITEM-1", "itemData" : { "DOI" : "10.1177/1088868308315702", "ISBN" : "1088-8683", "ISSN" : "1088-8683", "PMID" : "18453476", "abstract" : "An integrative framework is proposed for understanding how multiple biological and psychological systems are regulated in the context of adult attachment relationships, dysregulated by separation and loss experiences, and, potentially, re-regulated through individual recovery efforts. Evidence is reviewed for a coregulatory model of normative attachment, defined as a pattern of interwoven physiology between romantic partners that results from the conditioning of biological reward systems and the emergence of felt security within adult pair bonds. The loss of coregulation can portend a state of biobehavioral dysregulation, ranging from diffuse psychophysiological arousal and disorganization to a full-blown (and highly organized) stress response. The major task for successful recovery is adopting a self-regulatory strategy that attenuates the dysregulating effects of the attachment disruption. Research evidence is reviewed across multiple levels of analysis, and the article concludes with a series of testable research questions on the interconnected nature of attachment, loss, and recovery processes.", "author" : [ { "dropping-particle" : "", "family" : "Sbarra", "given" : "David A", "non-dropping-particle" : "", "parse-names" : false, "suffix" : "" }, { "dropping-particle" : "", "family" : "Hazan", "given" : "Cindy", "non-dropping-particle" : "", "parse-names" : false, "suffix" : "" } ], "container-title" : "Personality and social psychology review : an official journal of the Society for Personality and Social Psychology, Inc", "id" : "ITEM-1", "issue" : "2", "issued" : { "date-parts" : [ [ "2008" ] ] }, "page" : "141-167", "title" : "Coregulation, dysregulation, self-regulation: an integrative analysis and empirical agenda for understanding adult attachment, separation, loss, and recovery.", "type" : "article-journal", "volume" : "12" }, "uris" : [ "http://www.mendeley.com/documents/?uuid=5ea6340c-5bfe-3831-a9c7-3711d0366f30" ] } ], "mendeley" : { "formattedCitation" : "(Sbarra &amp; Hazan, 2008)", "plainTextFormattedCitation" : "(Sbarra &amp; Hazan, 2008)", "previouslyFormattedCitation" : "(Sbarra &amp; Hazan, 2008)" }, "properties" : { "noteIndex" : 0 }, "schema" : "https://github.com/citation-style-language/schema/raw/master/csl-citation.json" }</w:instrText>
      </w:r>
      <w:r w:rsidR="00B06E70">
        <w:rPr>
          <w:sz w:val="24"/>
          <w:szCs w:val="24"/>
        </w:rPr>
        <w:fldChar w:fldCharType="separate"/>
      </w:r>
      <w:r w:rsidR="00FD192C" w:rsidRPr="00FD192C">
        <w:rPr>
          <w:noProof/>
          <w:sz w:val="24"/>
          <w:szCs w:val="24"/>
        </w:rPr>
        <w:t>(Sbarra &amp; Hazan, 2008)</w:t>
      </w:r>
      <w:r w:rsidR="00B06E70">
        <w:rPr>
          <w:sz w:val="24"/>
          <w:szCs w:val="24"/>
        </w:rPr>
        <w:fldChar w:fldCharType="end"/>
      </w:r>
      <w:r w:rsidRPr="00D05EBD">
        <w:rPr>
          <w:sz w:val="24"/>
          <w:szCs w:val="24"/>
        </w:rPr>
        <w:t xml:space="preserve">. Also, </w:t>
      </w:r>
      <w:r w:rsidRPr="00D05EBD">
        <w:rPr>
          <w:rFonts w:eastAsia="Times New Roman" w:cs="Arial"/>
          <w:color w:val="222222"/>
          <w:sz w:val="24"/>
          <w:szCs w:val="24"/>
          <w:shd w:val="clear" w:color="auto" w:fill="FFFFFF"/>
          <w:lang w:eastAsia="en-GB"/>
        </w:rPr>
        <w:t xml:space="preserve">the need to form and maintain strong, stable interpersonal relationships is one of the central tasks and goals of human relationships and constitutes a very powerful, fundamental and extreme pervasive motivation </w:t>
      </w:r>
      <w:r w:rsidR="00B06E70">
        <w:rPr>
          <w:rFonts w:eastAsia="Times New Roman" w:cs="Arial"/>
          <w:color w:val="222222"/>
          <w:sz w:val="24"/>
          <w:szCs w:val="24"/>
          <w:shd w:val="clear" w:color="auto" w:fill="FFFFFF"/>
          <w:lang w:eastAsia="en-GB"/>
        </w:rPr>
        <w:fldChar w:fldCharType="begin" w:fldLock="1"/>
      </w:r>
      <w:r w:rsidR="00844B08">
        <w:rPr>
          <w:rFonts w:eastAsia="Times New Roman" w:cs="Arial"/>
          <w:color w:val="222222"/>
          <w:sz w:val="24"/>
          <w:szCs w:val="24"/>
          <w:shd w:val="clear" w:color="auto" w:fill="FFFFFF"/>
          <w:lang w:eastAsia="en-GB"/>
        </w:rPr>
        <w:instrText>ADDIN CSL_CITATION { "citationItems" : [ { "id" : "ITEM-1", "itemData" : { "author" : [ { "dropping-particle" : "", "family" : "Baumeister", "given" : "Roy F.", "non-dropping-particle" : "", "parse-names" : false, "suffix" : "" }, { "dropping-particle" : "", "family" : "Leary", "given" : "mark r.", "non-dropping-particle" : "", "parse-names" : false, "suffix" : "" } ], "container-title" : "Psychological Bulletin", "id" : "ITEM-1", "issue" : "3", "issued" : { "date-parts" : [ [ "1995" ] ] }, "page" : "497-529", "title" : "the need to belong: desire for interpersonal atachments as a fundamental human motivation", "type" : "article-journal", "volume" : "117" }, "uris" : [ "http://www.mendeley.com/documents/?uuid=12232677-49bf-4b67-9af6-4a3f1399425b" ] } ], "mendeley" : { "formattedCitation" : "(Baumeister &amp; Leary, 1995a)", "plainTextFormattedCitation" : "(Baumeister &amp; Leary, 1995a)", "previouslyFormattedCitation" : "(Roy F. Baumeister &amp; Leary, 1995)"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844B08" w:rsidRPr="00844B08">
        <w:rPr>
          <w:rFonts w:eastAsia="Times New Roman" w:cs="Arial"/>
          <w:noProof/>
          <w:color w:val="222222"/>
          <w:sz w:val="24"/>
          <w:szCs w:val="24"/>
          <w:shd w:val="clear" w:color="auto" w:fill="FFFFFF"/>
          <w:lang w:eastAsia="en-GB"/>
        </w:rPr>
        <w:t>(Baumeister &amp; Leary, 1995a)</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Forming and maintaining close relationships require</w:t>
      </w:r>
      <w:r w:rsidR="004B283F">
        <w:rPr>
          <w:rFonts w:eastAsia="Times New Roman" w:cs="Arial"/>
          <w:color w:val="222222"/>
          <w:sz w:val="24"/>
          <w:szCs w:val="24"/>
          <w:shd w:val="clear" w:color="auto" w:fill="FFFFFF"/>
          <w:lang w:eastAsia="en-GB"/>
        </w:rPr>
        <w:t>s</w:t>
      </w:r>
      <w:r w:rsidRPr="00D05EBD">
        <w:rPr>
          <w:rFonts w:eastAsia="Times New Roman" w:cs="Arial"/>
          <w:color w:val="222222"/>
          <w:sz w:val="24"/>
          <w:szCs w:val="24"/>
          <w:shd w:val="clear" w:color="auto" w:fill="FFFFFF"/>
          <w:lang w:eastAsia="en-GB"/>
        </w:rPr>
        <w:t xml:space="preserve"> things, like the promotion of contact (e.g. meeting with friends); the engagement in the other's person activities, preferences, hobbies (e.g. a person might start reading history books because his/her close other is an historian); the sharing of values and attitudes </w:t>
      </w:r>
      <w:r w:rsidR="00B06E70">
        <w:rPr>
          <w:rFonts w:eastAsia="Times New Roman" w:cs="Arial"/>
          <w:color w:val="222222"/>
          <w:sz w:val="24"/>
          <w:szCs w:val="24"/>
          <w:shd w:val="clear" w:color="auto" w:fill="FFFFFF"/>
          <w:lang w:eastAsia="en-GB"/>
        </w:rPr>
        <w:fldChar w:fldCharType="begin" w:fldLock="1"/>
      </w:r>
      <w:r w:rsidR="00ED69A1">
        <w:rPr>
          <w:rFonts w:eastAsia="Times New Roman" w:cs="Arial"/>
          <w:color w:val="222222"/>
          <w:sz w:val="24"/>
          <w:szCs w:val="24"/>
          <w:shd w:val="clear" w:color="auto" w:fill="FFFFFF"/>
          <w:lang w:eastAsia="en-GB"/>
        </w:rPr>
        <w:instrText>ADDIN CSL_CITATION { "citationItems" : [ { "id" : "ITEM-1", "itemData" : { "DOI" : "10.1111/j.1467-6494.2006.00391.x", "ISBN" : "0022-3506\\r1467-6494", "ISSN" : "00223506", "PMID" : "16684252", "abstract" : "Three types of close relationships have received attention from theorists and researchers interested in self-monitoring: friendships, romantic relationships, and marriage. Our review of this literature was organized around three phases of relationships: initiation, maintenance, and dissolution. Across the three types of relationships, consistent differences between high self-monitors and low self-monitors emerged concerning the structure of their social relationships (segmented vs. integrated), the basis for choosing friends and romantic partners (activity-based vs. person-based), and the orientation taken to romantic and marital partners (uncommitted vs. committed). Across all three types of relationships, however, little is known about the processes and consequences involved in the dissolution of close relationships for high self-monitors and low self-monitors. Relatively little is also known about the processes used by high self-monitors and low self-monitors to maintain their friendships and marriages. In addition to addressing these deficiencies in the literature, theorists and researchers interested in self-monitoring and close relationships need to develop sophisticated, causal models that can account for (a) interaction exchanges in the relationships, (b) dyadic as well as individual levels of analysis, and (c) temporal and situational changes in the course of close relationships.", "author" : [ { "dropping-particle" : "", "family" : "Leone", "given" : "Christopher", "non-dropping-particle" : "", "parse-names" : false, "suffix" : "" }, { "dropping-particle" : "", "family" : "Hawkins", "given" : "Louanne B.", "non-dropping-particle" : "", "parse-names" : false, "suffix" : "" } ], "container-title" : "Journal of Personality", "id" : "ITEM-1", "issue" : "3", "issued" : { "date-parts" : [ [ "2006" ] ] }, "page" : "739-778", "title" : "Self-monitoring and close relationships", "type" : "article-journal", "volume" : "74" }, "uris" : [ "http://www.mendeley.com/documents/?uuid=0a789dd0-7761-3e98-8251-70d705dead5e" ] } ], "mendeley" : { "formattedCitation" : "(Leone &amp; Hawkins, 2006)", "plainTextFormattedCitation" : "(Leone &amp; Hawkins, 2006)", "previouslyFormattedCitation" : "(Leone &amp; Hawkins, 2006)"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137DB1" w:rsidRPr="00137DB1">
        <w:rPr>
          <w:rFonts w:eastAsia="Times New Roman" w:cs="Arial"/>
          <w:noProof/>
          <w:color w:val="222222"/>
          <w:sz w:val="24"/>
          <w:szCs w:val="24"/>
          <w:shd w:val="clear" w:color="auto" w:fill="FFFFFF"/>
          <w:lang w:eastAsia="en-GB"/>
        </w:rPr>
        <w:t>(Leone &amp; Hawkins, 2006)</w:t>
      </w:r>
      <w:r w:rsidR="00B06E70">
        <w:rPr>
          <w:rFonts w:eastAsia="Times New Roman" w:cs="Arial"/>
          <w:color w:val="222222"/>
          <w:sz w:val="24"/>
          <w:szCs w:val="24"/>
          <w:shd w:val="clear" w:color="auto" w:fill="FFFFFF"/>
          <w:lang w:eastAsia="en-GB"/>
        </w:rPr>
        <w:fldChar w:fldCharType="end"/>
      </w:r>
      <w:r w:rsidR="00137DB1">
        <w:rPr>
          <w:rFonts w:eastAsia="Times New Roman" w:cs="Arial"/>
          <w:color w:val="222222"/>
          <w:sz w:val="24"/>
          <w:szCs w:val="24"/>
          <w:shd w:val="clear" w:color="auto" w:fill="FFFFFF"/>
          <w:lang w:eastAsia="en-GB"/>
        </w:rPr>
        <w:t>.</w:t>
      </w:r>
      <w:r w:rsidRPr="00D05EBD">
        <w:rPr>
          <w:rFonts w:eastAsia="Times New Roman" w:cs="Arial"/>
          <w:color w:val="222222"/>
          <w:sz w:val="24"/>
          <w:szCs w:val="24"/>
          <w:shd w:val="clear" w:color="auto" w:fill="FFFFFF"/>
          <w:lang w:eastAsia="en-GB"/>
        </w:rPr>
        <w:t xml:space="preserve"> Thus, close relationships present the possibility of providing a fruitful context </w:t>
      </w:r>
      <w:r w:rsidR="00D7522A" w:rsidRPr="00D05EBD">
        <w:rPr>
          <w:rFonts w:eastAsia="Times New Roman" w:cs="Arial"/>
          <w:color w:val="222222"/>
          <w:sz w:val="24"/>
          <w:szCs w:val="24"/>
          <w:shd w:val="clear" w:color="auto" w:fill="FFFFFF"/>
          <w:lang w:eastAsia="en-GB"/>
        </w:rPr>
        <w:t xml:space="preserve">in which </w:t>
      </w:r>
      <w:r w:rsidRPr="00D05EBD">
        <w:rPr>
          <w:rFonts w:eastAsia="Times New Roman" w:cs="Arial"/>
          <w:color w:val="222222"/>
          <w:sz w:val="24"/>
          <w:szCs w:val="24"/>
          <w:shd w:val="clear" w:color="auto" w:fill="FFFFFF"/>
          <w:lang w:eastAsia="en-GB"/>
        </w:rPr>
        <w:t>to observe improving IER (e.g. being affectionate towards someone, complimenting someone, compromising), and to a lesser extent (but still more than with acquaintances) to observe worsening IER. On the other hand, non-close relationships are less likely to present as many improving IER behaviours as close relationships do.</w:t>
      </w:r>
    </w:p>
    <w:p w:rsidR="00FB1389" w:rsidRDefault="00FB1389" w:rsidP="00AE640B">
      <w:pPr>
        <w:pStyle w:val="Prrafodelista"/>
        <w:spacing w:after="0" w:line="480" w:lineRule="auto"/>
        <w:ind w:left="0"/>
        <w:jc w:val="both"/>
        <w:rPr>
          <w:rFonts w:eastAsia="Times New Roman" w:cs="Arial"/>
          <w:color w:val="222222"/>
          <w:sz w:val="24"/>
          <w:szCs w:val="24"/>
          <w:shd w:val="clear" w:color="auto" w:fill="FFFFFF"/>
          <w:lang w:eastAsia="en-GB"/>
        </w:rPr>
      </w:pPr>
      <w:r w:rsidRPr="00D05EBD">
        <w:rPr>
          <w:rFonts w:eastAsia="Times New Roman" w:cs="Arial"/>
          <w:color w:val="222222"/>
          <w:sz w:val="24"/>
          <w:szCs w:val="24"/>
          <w:shd w:val="clear" w:color="auto" w:fill="FFFFFF"/>
          <w:lang w:eastAsia="en-GB"/>
        </w:rPr>
        <w:tab/>
        <w:t xml:space="preserve">Although strategies to improve someone else's emotions seem to abound more in close relationships than in non-close relationships it is also important to note that behaviours aimed to worsen the emotions of others also occur. For </w:t>
      </w:r>
      <w:r w:rsidRPr="001C3CE6">
        <w:rPr>
          <w:rFonts w:eastAsia="Times New Roman" w:cs="Arial"/>
          <w:color w:val="222222"/>
          <w:sz w:val="24"/>
          <w:szCs w:val="24"/>
          <w:shd w:val="clear" w:color="auto" w:fill="FFFFFF"/>
          <w:lang w:eastAsia="en-GB"/>
        </w:rPr>
        <w:t xml:space="preserve">example, </w:t>
      </w:r>
      <w:r w:rsidR="00B06E70" w:rsidRPr="001C3CE6">
        <w:rPr>
          <w:rFonts w:eastAsia="Times New Roman" w:cs="Arial"/>
          <w:color w:val="222222"/>
          <w:sz w:val="24"/>
          <w:szCs w:val="24"/>
          <w:shd w:val="clear" w:color="auto" w:fill="FFFFFF"/>
          <w:lang w:eastAsia="en-GB"/>
        </w:rPr>
        <w:fldChar w:fldCharType="begin" w:fldLock="1"/>
      </w:r>
      <w:r w:rsidR="001C3CE6" w:rsidRPr="001C3CE6">
        <w:rPr>
          <w:rFonts w:eastAsia="Times New Roman" w:cs="Arial"/>
          <w:color w:val="222222"/>
          <w:sz w:val="24"/>
          <w:szCs w:val="24"/>
          <w:shd w:val="clear" w:color="auto" w:fill="FFFFFF"/>
          <w:lang w:eastAsia="en-GB"/>
        </w:rPr>
        <w:instrText>ADDIN CSL_CITATION { "citationItems" : [ { "id" : "ITEM-1", "itemData" : { "DOI" : "10.1080/1359432X.2011.626200", "abstract" : "ISSN: 1359-432X (Print) 1464-0643 (Online) Journal homepage: http://www.tandfonline.com/loi/pewo20 Workplace aggression poses a significant challenge to organizations due to its potential impact on employees' mental and physical well-being. Using two studies, this article investigates whether emotion regulation could alleviate the negative effects of exposure to workplace aggression on employees' experience of strain, among social workers (N \u00bc 77) and emergency services personnel (N \u00bc 70). As predicted from coping theories of emotion regulation, Studies 1 and 2 showed that using the emotion regulation strategy of reappraisal during interactions with individuals from inside the organization (e.g., coworkers or managers) attenuated the workplace aggression\u2013strain link. Conversely, but consistent with emotional labour theories of emotion regulation, engaging in reappraisal and suppression during interactions with legitimate outsiders (e.g., clients or patients) strengthened the workplace aggression\u2013strain link. The findings have implications for both theory and practical interventions regarding workplace aggression.", "author" : [ { "dropping-particle" : "", "family" : "Niven", "given" : "Karen", "non-dropping-particle" : "", "parse-names" : false, "suffix" : "" }, { "dropping-particle" : "", "family" : "Sprigg", "given" : "Christine A", "non-dropping-particle" : "", "parse-names" : false, "suffix" : "" }, { "dropping-particle" : "", "family" : "Armitage", "given" : "Christopher J", "non-dropping-particle" : "", "parse-names" : false, "suffix" : "" } ], "container-title" : "European Journal of Work and Organizational Psychology", "id" : "ITEM-1", "issue" : "1", "issued" : { "date-parts" : [ [ "2013" ] ] }, "page" : "88-106", "title" : "Does emotion regulation protect employees from the negative effects of workplace aggression?", "type" : "article-journal", "volume" : "22" }, "uris" : [ "http://www.mendeley.com/documents/?uuid=013ad3e0-d6c3-36f8-a3bf-0045fdb12e8e" ] } ], "mendeley" : { "formattedCitation" : "(Niven, Sprigg, &amp; Armitage, 2013)", "manualFormatting" : "Niven, Sprigg, and Armitage (2013)", "plainTextFormattedCitation" : "(Niven, Sprigg, &amp; Armitage, 2013)", "previouslyFormattedCitation" : "(Niven, Sprigg, &amp; Armitage, 2013)" }, "properties" : { "noteIndex" : 0 }, "schema" : "https://github.com/citation-style-language/schema/raw/master/csl-citation.json" }</w:instrText>
      </w:r>
      <w:r w:rsidR="00B06E70" w:rsidRPr="001C3CE6">
        <w:rPr>
          <w:rFonts w:eastAsia="Times New Roman" w:cs="Arial"/>
          <w:color w:val="222222"/>
          <w:sz w:val="24"/>
          <w:szCs w:val="24"/>
          <w:shd w:val="clear" w:color="auto" w:fill="FFFFFF"/>
          <w:lang w:eastAsia="en-GB"/>
        </w:rPr>
        <w:fldChar w:fldCharType="separate"/>
      </w:r>
      <w:r w:rsidR="001C3CE6" w:rsidRPr="001C3CE6">
        <w:rPr>
          <w:rFonts w:eastAsia="Times New Roman" w:cs="Arial"/>
          <w:noProof/>
          <w:color w:val="222222"/>
          <w:sz w:val="24"/>
          <w:szCs w:val="24"/>
          <w:shd w:val="clear" w:color="auto" w:fill="FFFFFF"/>
          <w:lang w:eastAsia="en-GB"/>
        </w:rPr>
        <w:t>Niven, Sprigg, and Armitage (2013)</w:t>
      </w:r>
      <w:r w:rsidR="00B06E70" w:rsidRPr="001C3CE6">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xml:space="preserve"> observed that social work employees and emergency service personnel (ambulance workers) experience negative IER in the workplace, termed by the authors as workplace aggression (negative acts such as mistreatment, bullying, and humiliation). Niven and colleagues specifically focused on workplace aggression carried out by people outside the organisation (clients and patients) and by </w:t>
      </w:r>
      <w:r w:rsidRPr="00D05EBD">
        <w:rPr>
          <w:rFonts w:eastAsia="Times New Roman" w:cs="Arial"/>
          <w:color w:val="222222"/>
          <w:sz w:val="24"/>
          <w:szCs w:val="24"/>
          <w:shd w:val="clear" w:color="auto" w:fill="FFFFFF"/>
          <w:lang w:eastAsia="en-GB"/>
        </w:rPr>
        <w:lastRenderedPageBreak/>
        <w:t xml:space="preserve">people inside the organisation (co-workers, subordinates, or superiors). In close relationships, IER aimed at worsening the emotions of someone else also occurs. For example, </w:t>
      </w:r>
      <w:proofErr w:type="spellStart"/>
      <w:r w:rsidRPr="00790C48">
        <w:rPr>
          <w:rFonts w:eastAsia="Times New Roman" w:cs="Arial"/>
          <w:color w:val="222222"/>
          <w:sz w:val="24"/>
          <w:szCs w:val="24"/>
          <w:shd w:val="clear" w:color="auto" w:fill="FFFFFF"/>
          <w:lang w:eastAsia="en-GB"/>
        </w:rPr>
        <w:t>Gottman’s</w:t>
      </w:r>
      <w:proofErr w:type="spellEnd"/>
      <w:r w:rsidRPr="00790C48">
        <w:rPr>
          <w:rFonts w:eastAsia="Times New Roman" w:cs="Arial"/>
          <w:color w:val="222222"/>
          <w:sz w:val="24"/>
          <w:szCs w:val="24"/>
          <w:shd w:val="clear" w:color="auto" w:fill="FFFFFF"/>
          <w:lang w:eastAsia="en-GB"/>
        </w:rPr>
        <w:t xml:space="preserve"> studies</w:t>
      </w:r>
      <w:r w:rsidRPr="00D05EBD">
        <w:rPr>
          <w:rFonts w:eastAsia="Times New Roman" w:cs="Arial"/>
          <w:color w:val="222222"/>
          <w:sz w:val="24"/>
          <w:szCs w:val="24"/>
          <w:shd w:val="clear" w:color="auto" w:fill="FFFFFF"/>
          <w:lang w:eastAsia="en-GB"/>
        </w:rPr>
        <w:t xml:space="preserve"> with couples have found that there are behaviours that can successfully predict divorce</w:t>
      </w:r>
      <w:r w:rsidR="00790C48">
        <w:rPr>
          <w:rFonts w:eastAsia="Times New Roman" w:cs="Arial"/>
          <w:color w:val="222222"/>
          <w:sz w:val="24"/>
          <w:szCs w:val="24"/>
          <w:shd w:val="clear" w:color="auto" w:fill="FFFFFF"/>
          <w:lang w:eastAsia="en-GB"/>
        </w:rPr>
        <w:t xml:space="preserve"> </w:t>
      </w:r>
      <w:r w:rsidR="00B06E70">
        <w:rPr>
          <w:rFonts w:eastAsia="Times New Roman" w:cs="Arial"/>
          <w:color w:val="222222"/>
          <w:sz w:val="24"/>
          <w:szCs w:val="24"/>
          <w:shd w:val="clear" w:color="auto" w:fill="FFFFFF"/>
          <w:lang w:eastAsia="en-GB"/>
        </w:rPr>
        <w:fldChar w:fldCharType="begin" w:fldLock="1"/>
      </w:r>
      <w:r w:rsidR="00A46B68">
        <w:rPr>
          <w:rFonts w:eastAsia="Times New Roman" w:cs="Arial"/>
          <w:color w:val="222222"/>
          <w:sz w:val="24"/>
          <w:szCs w:val="24"/>
          <w:shd w:val="clear" w:color="auto" w:fill="FFFFFF"/>
          <w:lang w:eastAsia="en-GB"/>
        </w:rPr>
        <w:instrText>ADDIN CSL_CITATION { "citationItems" : [ { "id" : "ITEM-1", "itemData" : { "ISBN" : "0-8058-1285-7 (hardcover); 0-8058-1402-7 (paperback)", "ISSN" : "0805812857", "abstract" : "(from the introduction) The basic task of [the] research effort [described in this book] is to predict and understand the longitudinal course of marriages [and mechanisms of marriage dissolution and divorce]. /// One of my goals in this book is to [describe the use] of observational method [in studying marital interaction]. /// My research has been guided by a fairly simple approach that comes from adopting a social psychophysiological methodology. I call this approach \"balance theory.\" (PsycINFO Database Record (c) 2002 APA, all rights reserved)", "author" : [ { "dropping-particle" : "", "family" : "Gottman", "given" : "John", "non-dropping-particle" : "", "parse-names" : false, "suffix" : "" } ], "id" : "ITEM-1", "issued" : { "date-parts" : [ [ "1994" ] ] }, "number-of-pages" : "521", "publisher" : "Lawrence Erlbaum Associates", "title" : "What predicts divorce? The relationship between marital processes and marital outcomes", "type" : "book" }, "uris" : [ "http://www.mendeley.com/documents/?uuid=36f4b6d8-848f-34fb-9cd6-f2ac4c6dfc39" ] } ], "mendeley" : { "formattedCitation" : "(Gottman, 1994)", "plainTextFormattedCitation" : "(Gottman, 1994)", "previouslyFormattedCitation" : "(Gottman, 1994)"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A46B68" w:rsidRPr="00A46B68">
        <w:rPr>
          <w:rFonts w:eastAsia="Times New Roman" w:cs="Arial"/>
          <w:noProof/>
          <w:color w:val="222222"/>
          <w:sz w:val="24"/>
          <w:szCs w:val="24"/>
          <w:shd w:val="clear" w:color="auto" w:fill="FFFFFF"/>
          <w:lang w:eastAsia="en-GB"/>
        </w:rPr>
        <w:t>(Gottman, 1994)</w:t>
      </w:r>
      <w:r w:rsidR="00B06E70">
        <w:rPr>
          <w:rFonts w:eastAsia="Times New Roman" w:cs="Arial"/>
          <w:color w:val="222222"/>
          <w:sz w:val="24"/>
          <w:szCs w:val="24"/>
          <w:shd w:val="clear" w:color="auto" w:fill="FFFFFF"/>
          <w:lang w:eastAsia="en-GB"/>
        </w:rPr>
        <w:fldChar w:fldCharType="end"/>
      </w:r>
      <w:r w:rsidR="00A46B68">
        <w:rPr>
          <w:rFonts w:eastAsia="Times New Roman" w:cs="Arial"/>
          <w:color w:val="222222"/>
          <w:sz w:val="24"/>
          <w:szCs w:val="24"/>
          <w:shd w:val="clear" w:color="auto" w:fill="FFFFFF"/>
          <w:lang w:eastAsia="en-GB"/>
        </w:rPr>
        <w:t>.</w:t>
      </w:r>
      <w:r w:rsidR="00790C48">
        <w:rPr>
          <w:rFonts w:eastAsia="Times New Roman" w:cs="Arial"/>
          <w:color w:val="222222"/>
          <w:sz w:val="24"/>
          <w:szCs w:val="24"/>
          <w:shd w:val="clear" w:color="auto" w:fill="FFFFFF"/>
          <w:lang w:eastAsia="en-GB"/>
        </w:rPr>
        <w:t xml:space="preserve"> </w:t>
      </w:r>
      <w:proofErr w:type="spellStart"/>
      <w:r w:rsidR="00790C48">
        <w:rPr>
          <w:rFonts w:eastAsia="Times New Roman" w:cs="Arial"/>
          <w:color w:val="222222"/>
          <w:sz w:val="24"/>
          <w:szCs w:val="24"/>
          <w:shd w:val="clear" w:color="auto" w:fill="FFFFFF"/>
          <w:lang w:eastAsia="en-GB"/>
        </w:rPr>
        <w:t>Gottman</w:t>
      </w:r>
      <w:proofErr w:type="spellEnd"/>
      <w:r w:rsidRPr="00D05EBD">
        <w:rPr>
          <w:rFonts w:eastAsia="Times New Roman" w:cs="Arial"/>
          <w:color w:val="222222"/>
          <w:sz w:val="24"/>
          <w:szCs w:val="24"/>
          <w:shd w:val="clear" w:color="auto" w:fill="FFFFFF"/>
          <w:lang w:eastAsia="en-GB"/>
        </w:rPr>
        <w:t xml:space="preserve"> mentions 4 of these behaviours: criticism, contempt, defensiveness, and stonewalling (listener withdrawal).</w:t>
      </w:r>
    </w:p>
    <w:p w:rsidR="00A46B68" w:rsidRPr="00D05EBD" w:rsidRDefault="00A46B68" w:rsidP="00AE640B">
      <w:pPr>
        <w:pStyle w:val="Prrafodelista"/>
        <w:spacing w:after="0" w:line="480" w:lineRule="auto"/>
        <w:ind w:left="0"/>
        <w:jc w:val="both"/>
        <w:rPr>
          <w:rFonts w:eastAsia="Times New Roman" w:cs="Arial"/>
          <w:color w:val="222222"/>
          <w:sz w:val="24"/>
          <w:szCs w:val="24"/>
          <w:shd w:val="clear" w:color="auto" w:fill="FFFFFF"/>
          <w:lang w:eastAsia="en-GB"/>
        </w:rPr>
      </w:pPr>
    </w:p>
    <w:p w:rsidR="00FB1389" w:rsidRPr="00D05EBD" w:rsidRDefault="00FB1389" w:rsidP="00AE640B">
      <w:pPr>
        <w:pStyle w:val="Prrafodelista"/>
        <w:spacing w:after="0" w:line="480" w:lineRule="auto"/>
        <w:ind w:left="0" w:firstLine="720"/>
        <w:jc w:val="both"/>
        <w:rPr>
          <w:sz w:val="24"/>
          <w:szCs w:val="24"/>
        </w:rPr>
      </w:pPr>
      <w:r w:rsidRPr="00D05EBD">
        <w:rPr>
          <w:sz w:val="24"/>
          <w:szCs w:val="24"/>
        </w:rPr>
        <w:t xml:space="preserve">Thus, the kind of relationship and/or level of closeness between people are important aspects to consider when studying IER as they might influence the way in which people regulate the emotions of others. </w:t>
      </w:r>
      <w:r w:rsidRPr="00D05EBD">
        <w:rPr>
          <w:rFonts w:eastAsia="Times New Roman" w:cs="Arial"/>
          <w:color w:val="222222"/>
          <w:sz w:val="24"/>
          <w:szCs w:val="24"/>
          <w:shd w:val="clear" w:color="auto" w:fill="FFFFFF"/>
          <w:lang w:eastAsia="en-GB"/>
        </w:rPr>
        <w:t>Study 1 will use close and non-close relationships to investigate AIER</w:t>
      </w:r>
      <w:r w:rsidRPr="00D05EBD">
        <w:rPr>
          <w:sz w:val="24"/>
          <w:szCs w:val="24"/>
        </w:rPr>
        <w:t xml:space="preserve">, as they are likely to provide adequate scenarios where a variation of frequency of use of automatic improving and worsening IER might be present. </w:t>
      </w:r>
    </w:p>
    <w:p w:rsidR="00DE1F3F" w:rsidRDefault="00DE1F3F">
      <w:pPr>
        <w:spacing w:after="0" w:line="480" w:lineRule="auto"/>
        <w:jc w:val="both"/>
        <w:rPr>
          <w:sz w:val="24"/>
          <w:szCs w:val="24"/>
        </w:rPr>
      </w:pPr>
    </w:p>
    <w:p w:rsidR="00FB1389" w:rsidRPr="00D05EBD" w:rsidRDefault="00FB1389" w:rsidP="00AE640B">
      <w:pPr>
        <w:spacing w:after="0" w:line="480" w:lineRule="auto"/>
        <w:jc w:val="both"/>
        <w:rPr>
          <w:sz w:val="24"/>
          <w:szCs w:val="24"/>
        </w:rPr>
      </w:pPr>
      <w:r w:rsidRPr="00D05EBD">
        <w:rPr>
          <w:b/>
          <w:sz w:val="24"/>
          <w:szCs w:val="24"/>
        </w:rPr>
        <w:t>2.2 Habits and automaticity</w:t>
      </w:r>
    </w:p>
    <w:p w:rsidR="00FB1389" w:rsidRPr="00D05EBD" w:rsidRDefault="00FB1389" w:rsidP="00AE640B">
      <w:pPr>
        <w:pStyle w:val="Prrafodelista"/>
        <w:spacing w:after="0" w:line="480" w:lineRule="auto"/>
        <w:ind w:left="0"/>
        <w:jc w:val="both"/>
        <w:rPr>
          <w:sz w:val="24"/>
          <w:szCs w:val="24"/>
        </w:rPr>
      </w:pPr>
    </w:p>
    <w:p w:rsidR="00FB1389" w:rsidRPr="00D05EBD" w:rsidRDefault="00FB1389" w:rsidP="00AE640B">
      <w:pPr>
        <w:pStyle w:val="Prrafodelista"/>
        <w:spacing w:after="0" w:line="480" w:lineRule="auto"/>
        <w:ind w:left="0"/>
        <w:jc w:val="both"/>
        <w:rPr>
          <w:rFonts w:eastAsia="Times New Roman" w:cs="Arial"/>
          <w:color w:val="222222"/>
          <w:sz w:val="24"/>
          <w:szCs w:val="24"/>
          <w:shd w:val="clear" w:color="auto" w:fill="FFFFFF"/>
          <w:lang w:eastAsia="en-GB"/>
        </w:rPr>
      </w:pPr>
      <w:r w:rsidRPr="00D05EBD">
        <w:rPr>
          <w:sz w:val="24"/>
          <w:szCs w:val="24"/>
        </w:rPr>
        <w:tab/>
        <w:t xml:space="preserve">In Chapter 1 (section 1.3) it was mentioned that habits might promote the use of automatic forms of ER. </w:t>
      </w:r>
      <w:r w:rsidR="00B06E70">
        <w:rPr>
          <w:sz w:val="24"/>
          <w:szCs w:val="24"/>
        </w:rPr>
        <w:fldChar w:fldCharType="begin" w:fldLock="1"/>
      </w:r>
      <w:r w:rsidR="00A5797A">
        <w:rPr>
          <w:sz w:val="24"/>
          <w:szCs w:val="24"/>
        </w:rPr>
        <w:instrText>ADDIN CSL_CITATION { "citationItems" : [ { "id" : "ITEM-1", "itemData" : { "DOI" : "10.1037/0022-3514.71.2.230", "ISBN" : "0022-3514\\n1939-1315", "ISSN" : "0022-3514", "PMID" : "8765481", "abstract" : "Previous research has shown that trait concepts and stereotype become active automatically in the presence of relevant behavior or stereotyped-group features. Through the use of the same priming procedures as in previous impression formation research, Experiment 1 showed that participants whose concept of rudeness was printed interrupted the experimenter more quickly and frequently than did participants primed with polite-related stimuli. In Experiment 2, participants for whom an elderly stereotype was primed walked more slowly down the hallway when leaving the experiment than did control participants, consistent with the content of that stereotype. In Experiment 3, participants for whom the African American stereotype was primed subliminally reacted with more hostility to a vexatious request of the experimenter. Implications of this automatic behavior priming effect for self-fulfilling prophecies are discussed, as is whether social behavior is necessarily mediated by conscious choice processes.", "author" : [ { "dropping-particle" : "", "family" : "Bargh", "given" : "John A.", "non-dropping-particle" : "", "parse-names" : false, "suffix" : "" }, { "dropping-particle" : "", "family" : "Chen", "given" : "Mark", "non-dropping-particle" : "", "parse-names" : false, "suffix" : "" }, { "dropping-particle" : "", "family" : "Burrows", "given" : "Lara", "non-dropping-particle" : "", "parse-names" : false, "suffix" : "" } ], "container-title" : "Journal of personality and social psychology", "id" : "ITEM-1", "issue" : "2", "issued" : { "date-parts" : [ [ "1996" ] ] }, "page" : "230-244", "title" : "Automaticity of social behavior: Direct effects of trait construct and stereotype-activation on action.", "type" : "article-journal", "volume" : "71" }, "uris" : [ "http://www.mendeley.com/documents/?uuid=55a5884c-98c2-3691-95f6-50a23fe9c58c" ] } ], "mendeley" : { "formattedCitation" : "(J. A. Bargh et al., 1996)", "plainTextFormattedCitation" : "(J. A. Bargh et al., 1996)", "previouslyFormattedCitation" : "(J. A. Bargh et al., 1996)" }, "properties" : { "noteIndex" : 0 }, "schema" : "https://github.com/citation-style-language/schema/raw/master/csl-citation.json" }</w:instrText>
      </w:r>
      <w:r w:rsidR="00B06E70">
        <w:rPr>
          <w:sz w:val="24"/>
          <w:szCs w:val="24"/>
        </w:rPr>
        <w:fldChar w:fldCharType="separate"/>
      </w:r>
      <w:r w:rsidR="004B283F">
        <w:rPr>
          <w:noProof/>
          <w:sz w:val="24"/>
          <w:szCs w:val="24"/>
        </w:rPr>
        <w:t>Bargh et al.</w:t>
      </w:r>
      <w:r w:rsidR="00E82714" w:rsidRPr="00E82714">
        <w:rPr>
          <w:noProof/>
          <w:sz w:val="24"/>
          <w:szCs w:val="24"/>
        </w:rPr>
        <w:t xml:space="preserve"> </w:t>
      </w:r>
      <w:r w:rsidR="004B283F">
        <w:rPr>
          <w:noProof/>
          <w:sz w:val="24"/>
          <w:szCs w:val="24"/>
        </w:rPr>
        <w:t>(</w:t>
      </w:r>
      <w:r w:rsidR="00E82714" w:rsidRPr="00E82714">
        <w:rPr>
          <w:noProof/>
          <w:sz w:val="24"/>
          <w:szCs w:val="24"/>
        </w:rPr>
        <w:t>1996)</w:t>
      </w:r>
      <w:r w:rsidR="00B06E70">
        <w:rPr>
          <w:sz w:val="24"/>
          <w:szCs w:val="24"/>
        </w:rPr>
        <w:fldChar w:fldCharType="end"/>
      </w:r>
      <w:r w:rsidRPr="00D05EBD">
        <w:rPr>
          <w:sz w:val="24"/>
          <w:szCs w:val="24"/>
        </w:rPr>
        <w:t xml:space="preserve"> suggest that, if a person consistently behaves in the same way in response to a situation, then that response becomes strongly associated with that situation or context and thus, the c</w:t>
      </w:r>
      <w:r w:rsidRPr="00D05EBD">
        <w:rPr>
          <w:rFonts w:eastAsia="Times New Roman" w:cs="Arial"/>
          <w:color w:val="222222"/>
          <w:sz w:val="24"/>
          <w:szCs w:val="24"/>
          <w:shd w:val="clear" w:color="auto" w:fill="FFFFFF"/>
          <w:lang w:eastAsia="en-GB"/>
        </w:rPr>
        <w:t>ontext comes to automatically trigger the associated response. People form habits by repeatedly performing a particular behaviour in the same context; at the beginning people behave in a certain way to attain a goal and after repeating this behaviour several times in the same context, the goal is not necessary anymore, the contextual cues come to automatically activate the associated behaviour</w:t>
      </w:r>
      <w:r w:rsidR="004B322D">
        <w:rPr>
          <w:rFonts w:eastAsia="Times New Roman" w:cs="Arial"/>
          <w:color w:val="222222"/>
          <w:sz w:val="24"/>
          <w:szCs w:val="24"/>
          <w:shd w:val="clear" w:color="auto" w:fill="FFFFFF"/>
          <w:lang w:eastAsia="en-GB"/>
        </w:rPr>
        <w:t xml:space="preserve"> </w:t>
      </w:r>
      <w:r w:rsidR="00B06E70">
        <w:rPr>
          <w:rFonts w:eastAsia="Times New Roman" w:cs="Arial"/>
          <w:color w:val="222222"/>
          <w:sz w:val="24"/>
          <w:szCs w:val="24"/>
          <w:shd w:val="clear" w:color="auto" w:fill="FFFFFF"/>
          <w:lang w:eastAsia="en-GB"/>
        </w:rPr>
        <w:fldChar w:fldCharType="begin" w:fldLock="1"/>
      </w:r>
      <w:r w:rsidR="001B7EE7">
        <w:rPr>
          <w:rFonts w:eastAsia="Times New Roman" w:cs="Arial"/>
          <w:color w:val="222222"/>
          <w:sz w:val="24"/>
          <w:szCs w:val="24"/>
          <w:shd w:val="clear" w:color="auto" w:fill="FFFFFF"/>
          <w:lang w:eastAsia="en-GB"/>
        </w:rPr>
        <w:instrText>ADDIN CSL_CITATION { "citationItems" : [ { "id" : "ITEM-1", "itemData" : { "DOI" : "10.1016/j.jesp.2011.10.011", "ISBN" : "0022-1031", "ISSN" : "00221031", "abstract" : "What are the psychological mechanisms that trigger habits in daily life? Two studies reveal that strong habits are influenced by context cues associated with past performance (e.g., locations) but are relatively unaffected by current goals. Specifically, performance contexts-but not goals-automatically triggered strongly habitual behaviors in memory (Experiment 1) and triggered overt habit performance (Experiment 2). Nonetheless, habits sometimes appear to be linked to goals because people self-perceive their habits to be guided by goals. Furthermore, habits of moderate strength are automatically influenced by goals, yielding a curvilinear, U-shaped relation between habit strength and actual goal influence. Thus, research that taps self-perceptions or moderately strong habits may find habits to be linked to goals. ?? 2011 Elsevier Inc..", "author" : [ { "dropping-particle" : "", "family" : "Neal", "given" : "David T.", "non-dropping-particle" : "", "parse-names" : false, "suffix" : "" }, { "dropping-particle" : "", "family" : "Wood", "given" : "Wendy", "non-dropping-particle" : "", "parse-names" : false, "suffix" : "" }, { "dropping-particle" : "", "family" : "Labrecque", "given" : "Jennifer S.", "non-dropping-particle" : "", "parse-names" : false, "suffix" : "" }, { "dropping-particle" : "", "family" : "Lally", "given" : "Phillippa", "non-dropping-particle" : "", "parse-names" : false, "suffix" : "" } ], "container-title" : "Journal of Experimental Social Psychology", "id" : "ITEM-1", "issue" : "2", "issued" : { "date-parts" : [ [ "2012" ] ] }, "page" : "492-498", "title" : "How do habits guide behavior? Perceived and actual triggers of habits in daily life", "type" : "article-journal", "volume" : "48" }, "uris" : [ "http://www.mendeley.com/documents/?uuid=e87a586a-7a54-31e4-9292-ade5611c07cc" ] } ], "mendeley" : { "formattedCitation" : "(Neal, Wood, Labrecque, &amp; Lally, 2012)", "plainTextFormattedCitation" : "(Neal, Wood, Labrecque, &amp; Lally, 2012)", "previouslyFormattedCitation" : "(Neal, Wood, Labrecque, &amp; Lally, 2012)"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4B322D" w:rsidRPr="004B322D">
        <w:rPr>
          <w:rFonts w:eastAsia="Times New Roman" w:cs="Arial"/>
          <w:noProof/>
          <w:color w:val="222222"/>
          <w:sz w:val="24"/>
          <w:szCs w:val="24"/>
          <w:shd w:val="clear" w:color="auto" w:fill="FFFFFF"/>
          <w:lang w:eastAsia="en-GB"/>
        </w:rPr>
        <w:t>(Neal, Wood, Labrecque, &amp; Lally, 2012)</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xml:space="preserve">. As in close </w:t>
      </w:r>
      <w:r w:rsidRPr="00D05EBD">
        <w:rPr>
          <w:rFonts w:eastAsia="Times New Roman" w:cs="Arial"/>
          <w:color w:val="222222"/>
          <w:sz w:val="24"/>
          <w:szCs w:val="24"/>
          <w:shd w:val="clear" w:color="auto" w:fill="FFFFFF"/>
          <w:lang w:eastAsia="en-GB"/>
        </w:rPr>
        <w:lastRenderedPageBreak/>
        <w:t xml:space="preserve">relationships people require frequent interaction </w:t>
      </w:r>
      <w:r w:rsidR="00B06E70">
        <w:rPr>
          <w:rFonts w:eastAsia="Times New Roman" w:cs="Arial"/>
          <w:color w:val="222222"/>
          <w:sz w:val="24"/>
          <w:szCs w:val="24"/>
          <w:shd w:val="clear" w:color="auto" w:fill="FFFFFF"/>
          <w:lang w:eastAsia="en-GB"/>
        </w:rPr>
        <w:fldChar w:fldCharType="begin" w:fldLock="1"/>
      </w:r>
      <w:r w:rsidR="001B7EE7">
        <w:rPr>
          <w:rFonts w:eastAsia="Times New Roman" w:cs="Arial"/>
          <w:color w:val="222222"/>
          <w:sz w:val="24"/>
          <w:szCs w:val="24"/>
          <w:shd w:val="clear" w:color="auto" w:fill="FFFFFF"/>
          <w:lang w:eastAsia="en-GB"/>
        </w:rPr>
        <w:instrText>ADDIN CSL_CITATION { "citationItems" : [ { "id" : "ITEM-1", "itemData" : { "abstract" : "A n y layperson or scientist comes to interpersonal relationships with a large set of preexisting ideas, concepts, labels, implicit and explicit theories, beliefs about causes of important phenomena, and expectations about conse-quences of various states or events. The complexity of existing scientific information bearing on interpersonal relationships can be seen by examining a recent propositional inventory of research on the family (Goode, Hopkins, &amp; McClure, 1971). Some 3,000 propositions are listed that bear on the interpersonal relations found within and around the family (dating, husband-wife, parent-chiId, siblings, and so on). Each of these propositions is of the form \"X leads to Y,\" or \"X is associated with Y.\" For example, \"the less the husband and wife depend on each other, the greater are their chances of splitting up\"; \"maternal possessiveness is negatively correlated with edu-cation of the mother\"; \"status differentials in the type of labor will frequently be a source of conflict between siblings.\" The 3,000 two-variable propositions in this fermat could be generated by a cnmbinati~n nf a few as 78 variables (X's and Y's) or by as many as 6,000 variables (if each X and Y in each proposition were unique to it). A rough estimate suggests that the actual total of X and Y variables in Goode et al.'s inventory approximates 700. Thus, in this one encyclopedic source (whose 2,000-item bibliography is hardly complete), the student of interpersonal relationships is confronted with some 700 variables (terms, concepts, factors) and their possible interrelations. A dozen examples will suggest their variety: favoritism, aggression, ordinal ANALYZING CLOSE RELATIONSHIPS 21 position, schizophrenia, discipline, economic security, father absence, pri-vacy, affinal relations, achievement, marital adjustment, and social change. Faced with such a profusion of variables and propositions in the literature on relationships, we have found it necessary to go back to basics. We have adopted the approach of a visitor from outer space, attempting to specify what it is that such an alien, not having the extensive experience with human interpersonal relationships that all earthlings have, would see and hear, and what such an alien would do in the way of analysis, interpretation, and inference in order to make sense of these data. Using this approach, we try to characterize the essentials of what the scientist does in the study of interpersonal relations. We especially\u2026", "author" : [ { "dropping-particle" : "", "family" : "Kelley", "given" : "Harold H", "non-dropping-particle" : "", "parse-names" : false, "suffix" : "" }, { "dropping-particle" : "", "family" : "Berscheid", "given" : "Ellen", "non-dropping-particle" : "", "parse-names" : false, "suffix" : "" }, { "dropping-particle" : "", "family" : "Christensen", "given" : "Andrew", "non-dropping-particle" : "", "parse-names" : false, "suffix" : "" }, { "dropping-particle" : "", "family" : "Harvey", "given" : "John H", "non-dropping-particle" : "", "parse-names" : false, "suffix" : "" }, { "dropping-particle" : "", "family" : "Huston", "given" : "Ted L", "non-dropping-particle" : "", "parse-names" : false, "suffix" : "" }, { "dropping-particle" : "", "family" : "Levinger", "given" : "George", "non-dropping-particle" : "", "parse-names" : false, "suffix" : "" }, { "dropping-particle" : "", "family" : "McClintock", "given" : "Evie", "non-dropping-particle" : "", "parse-names" : false, "suffix" : "" }, { "dropping-particle" : "", "family" : "Peplau", "given" : "Letitia Anne", "non-dropping-particle" : "", "parse-names" : false, "suffix" : "" }, { "dropping-particle" : "", "family" : "Peterson", "given" : "Donald R", "non-dropping-particle" : "", "parse-names" : false, "suffix" : "" } ], "chapter-number" : "2", "container-title" : "Close Relationships", "editor" : [ { "dropping-particle" : "", "family" : "Kelley", "given" : "Harold H", "non-dropping-particle" : "", "parse-names" : false, "suffix" : "" } ], "id" : "ITEM-1", "issued" : { "date-parts" : [ [ "1983" ] ] }, "page" : "20-67", "publisher" : "W.H.Freeman &amp; Co Ltd", "publisher-place" : "New York, NY", "title" : "Analyzing close relationships", "type" : "chapter" }, "uris" : [ "http://www.mendeley.com/documents/?uuid=5d23c95b-e101-3f4d-bb3b-20baa90b5225" ] } ], "mendeley" : { "formattedCitation" : "(Kelley et al., 1983)", "plainTextFormattedCitation" : "(Kelley et al., 1983)", "previouslyFormattedCitation" : "(Kelley et al., 1983)"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1B7EE7" w:rsidRPr="001B7EE7">
        <w:rPr>
          <w:rFonts w:eastAsia="Times New Roman" w:cs="Arial"/>
          <w:noProof/>
          <w:color w:val="222222"/>
          <w:sz w:val="24"/>
          <w:szCs w:val="24"/>
          <w:shd w:val="clear" w:color="auto" w:fill="FFFFFF"/>
          <w:lang w:eastAsia="en-GB"/>
        </w:rPr>
        <w:t>(Kelley et al., 1983)</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xml:space="preserve">, it is plausible that IER strategies that are frequently used may become habitual. Thus, the present research will investigate whether participants would be more likely to report habitual or automatic use IER strategies with people they consider close than with acquaintances. </w:t>
      </w:r>
    </w:p>
    <w:p w:rsidR="00FB1389" w:rsidRPr="00D05EBD" w:rsidRDefault="00FB1389" w:rsidP="00AE640B">
      <w:pPr>
        <w:pStyle w:val="Prrafodelista"/>
        <w:spacing w:after="0" w:line="480" w:lineRule="auto"/>
        <w:ind w:left="0"/>
        <w:jc w:val="both"/>
        <w:rPr>
          <w:rFonts w:eastAsia="Times New Roman" w:cs="Arial"/>
          <w:color w:val="222222"/>
          <w:sz w:val="24"/>
          <w:szCs w:val="24"/>
          <w:shd w:val="clear" w:color="auto" w:fill="FFFFFF"/>
          <w:lang w:eastAsia="en-GB"/>
        </w:rPr>
      </w:pPr>
      <w:r w:rsidRPr="00D05EBD">
        <w:rPr>
          <w:rFonts w:eastAsia="Times New Roman" w:cs="Arial"/>
          <w:color w:val="222222"/>
          <w:sz w:val="24"/>
          <w:szCs w:val="24"/>
          <w:shd w:val="clear" w:color="auto" w:fill="FFFFFF"/>
          <w:lang w:eastAsia="en-GB"/>
        </w:rPr>
        <w:tab/>
      </w:r>
    </w:p>
    <w:p w:rsidR="00FB1389" w:rsidRPr="00D05EBD" w:rsidRDefault="00FB1389" w:rsidP="00AE640B">
      <w:pPr>
        <w:pStyle w:val="Prrafodelista"/>
        <w:spacing w:after="0" w:line="480" w:lineRule="auto"/>
        <w:ind w:left="0"/>
        <w:jc w:val="both"/>
        <w:rPr>
          <w:rFonts w:eastAsia="Times New Roman" w:cs="Arial"/>
          <w:color w:val="222222"/>
          <w:sz w:val="24"/>
          <w:szCs w:val="24"/>
          <w:shd w:val="clear" w:color="auto" w:fill="FFFFFF"/>
          <w:lang w:eastAsia="en-GB"/>
        </w:rPr>
      </w:pPr>
      <w:r w:rsidRPr="00D05EBD">
        <w:rPr>
          <w:rFonts w:eastAsia="Times New Roman" w:cs="Arial"/>
          <w:color w:val="222222"/>
          <w:sz w:val="24"/>
          <w:szCs w:val="24"/>
          <w:shd w:val="clear" w:color="auto" w:fill="FFFFFF"/>
          <w:lang w:eastAsia="en-GB"/>
        </w:rPr>
        <w:tab/>
        <w:t xml:space="preserve">One way to study habits empirically is through self-reported questionnaires. </w:t>
      </w:r>
      <w:r w:rsidR="00B06E70">
        <w:rPr>
          <w:rFonts w:eastAsia="Times New Roman" w:cs="Arial"/>
          <w:color w:val="222222"/>
          <w:sz w:val="24"/>
          <w:szCs w:val="24"/>
          <w:shd w:val="clear" w:color="auto" w:fill="FFFFFF"/>
          <w:lang w:eastAsia="en-GB"/>
        </w:rPr>
        <w:fldChar w:fldCharType="begin" w:fldLock="1"/>
      </w:r>
      <w:r w:rsidR="007D59CB">
        <w:rPr>
          <w:rFonts w:eastAsia="Times New Roman" w:cs="Arial"/>
          <w:color w:val="222222"/>
          <w:sz w:val="24"/>
          <w:szCs w:val="24"/>
          <w:shd w:val="clear" w:color="auto" w:fill="FFFFFF"/>
          <w:lang w:eastAsia="en-GB"/>
        </w:rPr>
        <w:instrText>ADDIN CSL_CITATION { "citationItems" : [ { "id" : "ITEM-1", "itemData" : { "DOI" : "10.1111/j.1559-1816.2003.tb01951.x", "ISBN" : "0021-9029", "ISSN" : "00219029", "PMID" : "11295922", "abstract" : "We argue that habit is a psychological construct, rather than simply past behavioral frequency. In 4 studies, a 12-item index of habit strength (the Self-Report Habit Index, SRHI) was developed on the basis of features of habit; that is, a history of repetition, automaticity (lack of control and awareness, efficiency), and expressing identity. High internal and test-retest reliabilities were found. The SRHI correlated strongly with past behavioral frequency and the response frequency measure of habit (Verplanken, Aarts, van Knippenberg, &amp; van Knippenberg, 1994). The index discriminated between behaviors varying in frequency, and also between daily vs. weekly habits. The SRHI may be useful as a dependent variable, or to determine or monitor habit strength without measuring behavioral frequency. (PsycINFO Database Record (c) 2006 APA, all rights reserved) (journal abstract)", "author" : [ { "dropping-particle" : "", "family" : "Verplanken", "given" : "Bas", "non-dropping-particle" : "", "parse-names" : false, "suffix" : "" }, { "dropping-particle" : "", "family" : "Orbell", "given" : "Sheina", "non-dropping-particle" : "", "parse-names" : false, "suffix" : "" } ], "container-title" : "Journal of Applied Social Psychology", "id" : "ITEM-1", "issue" : "1313", "issued" : { "date-parts" : [ [ "2003" ] ] }, "page" : "1313-1330", "title" : "Reflections on past behavior: A self-report index of habit strength", "type" : "article-journal", "volume" : "33" }, "uris" : [ "http://www.mendeley.com/documents/?uuid=15df5f59-5a71-47d8-ab38-9c9d3ffcd5ad" ] } ], "mendeley" : { "formattedCitation" : "(Bas Verplanken &amp; Orbell, 2003)", "manualFormatting" : "Verplanken and Orbell (2003)", "plainTextFormattedCitation" : "(Bas Verplanken &amp; Orbell, 2003)", "previouslyFormattedCitation" : "(Bas Verplanken &amp; Orbell, 2003)"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1B7EE7" w:rsidRPr="001B7EE7">
        <w:rPr>
          <w:rFonts w:eastAsia="Times New Roman" w:cs="Arial"/>
          <w:noProof/>
          <w:color w:val="222222"/>
          <w:sz w:val="24"/>
          <w:szCs w:val="24"/>
          <w:shd w:val="clear" w:color="auto" w:fill="FFFFFF"/>
          <w:lang w:eastAsia="en-GB"/>
        </w:rPr>
        <w:t xml:space="preserve">Verplanken </w:t>
      </w:r>
      <w:r w:rsidR="001B7EE7">
        <w:rPr>
          <w:rFonts w:eastAsia="Times New Roman" w:cs="Arial"/>
          <w:noProof/>
          <w:color w:val="222222"/>
          <w:sz w:val="24"/>
          <w:szCs w:val="24"/>
          <w:shd w:val="clear" w:color="auto" w:fill="FFFFFF"/>
          <w:lang w:eastAsia="en-GB"/>
        </w:rPr>
        <w:t>and</w:t>
      </w:r>
      <w:r w:rsidR="001B7EE7" w:rsidRPr="001B7EE7">
        <w:rPr>
          <w:rFonts w:eastAsia="Times New Roman" w:cs="Arial"/>
          <w:noProof/>
          <w:color w:val="222222"/>
          <w:sz w:val="24"/>
          <w:szCs w:val="24"/>
          <w:shd w:val="clear" w:color="auto" w:fill="FFFFFF"/>
          <w:lang w:eastAsia="en-GB"/>
        </w:rPr>
        <w:t xml:space="preserve"> Orbell </w:t>
      </w:r>
      <w:r w:rsidR="001B7EE7">
        <w:rPr>
          <w:rFonts w:eastAsia="Times New Roman" w:cs="Arial"/>
          <w:noProof/>
          <w:color w:val="222222"/>
          <w:sz w:val="24"/>
          <w:szCs w:val="24"/>
          <w:shd w:val="clear" w:color="auto" w:fill="FFFFFF"/>
          <w:lang w:eastAsia="en-GB"/>
        </w:rPr>
        <w:t>(</w:t>
      </w:r>
      <w:r w:rsidR="001B7EE7" w:rsidRPr="001B7EE7">
        <w:rPr>
          <w:rFonts w:eastAsia="Times New Roman" w:cs="Arial"/>
          <w:noProof/>
          <w:color w:val="222222"/>
          <w:sz w:val="24"/>
          <w:szCs w:val="24"/>
          <w:shd w:val="clear" w:color="auto" w:fill="FFFFFF"/>
          <w:lang w:eastAsia="en-GB"/>
        </w:rPr>
        <w:t>2003)</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xml:space="preserve"> developed a scale to measure habits focusing o</w:t>
      </w:r>
      <w:r w:rsidR="004B283F">
        <w:rPr>
          <w:rFonts w:eastAsia="Times New Roman" w:cs="Arial"/>
          <w:color w:val="222222"/>
          <w:sz w:val="24"/>
          <w:szCs w:val="24"/>
          <w:shd w:val="clear" w:color="auto" w:fill="FFFFFF"/>
          <w:lang w:eastAsia="en-GB"/>
        </w:rPr>
        <w:t>n three characteristics</w:t>
      </w:r>
      <w:r w:rsidRPr="00D05EBD">
        <w:rPr>
          <w:rFonts w:eastAsia="Times New Roman" w:cs="Arial"/>
          <w:color w:val="222222"/>
          <w:sz w:val="24"/>
          <w:szCs w:val="24"/>
          <w:shd w:val="clear" w:color="auto" w:fill="FFFFFF"/>
          <w:lang w:eastAsia="en-GB"/>
        </w:rPr>
        <w:t>: automaticity, frequency of occurrence</w:t>
      </w:r>
      <w:r w:rsidR="004B283F">
        <w:rPr>
          <w:rFonts w:eastAsia="Times New Roman" w:cs="Arial"/>
          <w:color w:val="222222"/>
          <w:sz w:val="24"/>
          <w:szCs w:val="24"/>
          <w:shd w:val="clear" w:color="auto" w:fill="FFFFFF"/>
          <w:lang w:eastAsia="en-GB"/>
        </w:rPr>
        <w:t xml:space="preserve"> and relevance to self-identity. They named this scale</w:t>
      </w:r>
      <w:r w:rsidRPr="00D05EBD">
        <w:rPr>
          <w:rFonts w:eastAsia="Times New Roman" w:cs="Arial"/>
          <w:color w:val="222222"/>
          <w:sz w:val="24"/>
          <w:szCs w:val="24"/>
          <w:shd w:val="clear" w:color="auto" w:fill="FFFFFF"/>
          <w:lang w:eastAsia="en-GB"/>
        </w:rPr>
        <w:t xml:space="preserve"> the Self-Reported Habit Index (SRHI). The SRHI has been successfully used to measure a wide variety of habits including healthy eating behaviours </w:t>
      </w:r>
      <w:r w:rsidR="00B06E70">
        <w:rPr>
          <w:rFonts w:eastAsia="Times New Roman" w:cs="Arial"/>
          <w:color w:val="222222"/>
          <w:sz w:val="24"/>
          <w:szCs w:val="24"/>
          <w:shd w:val="clear" w:color="auto" w:fill="FFFFFF"/>
          <w:lang w:eastAsia="en-GB"/>
        </w:rPr>
        <w:fldChar w:fldCharType="begin" w:fldLock="1"/>
      </w:r>
      <w:r w:rsidR="007D59CB">
        <w:rPr>
          <w:rFonts w:eastAsia="Times New Roman" w:cs="Arial"/>
          <w:color w:val="222222"/>
          <w:sz w:val="24"/>
          <w:szCs w:val="24"/>
          <w:shd w:val="clear" w:color="auto" w:fill="FFFFFF"/>
          <w:lang w:eastAsia="en-GB"/>
        </w:rPr>
        <w:instrText>ADDIN CSL_CITATION { "citationItems" : [ { "id" : "ITEM-1", "itemData" : { "DOI" : "10.1016/j.jneb.2005.11.027", "ISBN" : "3110408945", "ISSN" : "14994046", "PMID" : "16595285", "abstract" : "Objective: To study predictors of fruit intake in a sample of 627 adults. Design: Potential predictors of fruit intake were assessed at baseline, and fruit intake was assessed at two-week follow-up with self-administered questionnaires distributed by e-mail. Setting: The study was conducted among Dutch adult members of an Internet research panel. Participants: A random sample of 627 adults aged 18-78. Variables Measured: Attitudes, subjective norms, self-efficacy, expected pros and cons, habit strength, intention, and fruit intake. Fruit intake was assessed with a validated food-frequency questionnaire. Analysis: Hierarchical linear and logistic regression analyses. Alpha &lt; .05 was considered statistically significant. Results: Sex, attitudes, subjective norms, perceived pros, different self-efficacy expectations, and habit strength were significantly associated with the intention to eat two or more servings of fruit per day. Age, intentions, and habit strength were significant predictors of consumption of two or more servings of fruit per day. Conclusions and Implications: The results confirm that Theory of Planned Behavior constructs predict fruit intake, and that habit strength and different self-efficacy expectations may be additional determinants relevant to fruit intake. Because habitual behavior is considered to be triggered by environmental cues, fruit promotion interventions should further explore environmental change strategies. \u00a9 2006 SOCIETY FOR NUTRITION EDUCATION.", "author" : [ { "dropping-particle" : "", "family" : "Brug", "given" : "Johannes", "non-dropping-particle" : "", "parse-names" : false, "suffix" : "" }, { "dropping-particle" : "", "family" : "Vet", "given" : "Emely", "non-dropping-particle" : "de", "parse-names" : false, "suffix" : "" }, { "dropping-particle" : "", "family" : "Nooijer", "given" : "Jascha", "non-dropping-particle" : "de", "parse-names" : false, "suffix" : "" }, { "dropping-particle" : "", "family" : "Verplanken", "given" : "Bas", "non-dropping-particle" : "", "parse-names" : false, "suffix" : "" } ], "container-title" : "Journal of Nutrition Education and Behavior", "id" : "ITEM-1", "issue" : "2", "issued" : { "date-parts" : [ [ "2006", "3" ] ] }, "page" : "73-81", "title" : "Predicting Fruit Consumption: Cognitions, Intention, and Habits", "type" : "article-journal", "volume" : "38" }, "uris" : [ "http://www.mendeley.com/documents/?uuid=7210f8f9-d300-3293-aaff-955695cb8573" ] }, { "id" : "ITEM-2", "itemData" : { "DOI" : "10.1348/014466605X49122", "ISBN" : "0144-6665", "ISSN" : "01446665", "PMID" : "16984725", "abstract" : "Progress in habit theory can be made by distinguishing habit from frequency of occurrence, and using independent measures for these constructs. This proposition was investigated in three studies using a longitudinal, cross-sectional and experimental design on eating, mental habits and word processing, respectively. In Study 1, snacking habit and past snacking frequency independently predicted later snacking behaviour, while controlling for the theory of planned behaviour variables. Habit fully mediated the effect of past on later behaviour. In Study 2, habitual negative self-thinking and past frequency of negative self-thoughts independently predicted self-esteem and the presence of depressive and anxiety symptoms. In Study 3, habit varied as a function of experimentally manipulated task complexity, while behavioural frequency was held constant. Taken together, while repetition is necessary for habits to develop, these studies demonstrate that habit should not be equated with frequency of occurrence, but rather should be considered as a mental construct involving features of automaticity, such as lack of awareness, difficulty to control and mental efficiency.", "author" : [ { "dropping-particle" : "", "family" : "Verplanken", "given" : "Bas", "non-dropping-particle" : "", "parse-names" : false, "suffix" : "" } ], "container-title" : "British Journal of Social Psychology", "id" : "ITEM-2", "issue" : "3", "issued" : { "date-parts" : [ [ "2006", "9" ] ] }, "page" : "639-656", "title" : "Beyond frequency: Habit as mental construct", "type" : "article-journal", "volume" : "45" }, "uris" : [ "http://www.mendeley.com/documents/?uuid=77003baf-a688-3289-adde-2b4c15f5ec22" ] } ], "mendeley" : { "formattedCitation" : "(Brug, de Vet, de Nooijer, &amp; Verplanken, 2006; Bas Verplanken, 2006)", "plainTextFormattedCitation" : "(Brug, de Vet, de Nooijer, &amp; Verplanken, 2006; Bas Verplanken, 2006)", "previouslyFormattedCitation" : "(Brug, de Vet, de Nooijer, &amp; Verplanken, 2006; Bas Verplanken, 2006)"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A46B68" w:rsidRPr="00A46B68">
        <w:rPr>
          <w:rFonts w:eastAsia="Times New Roman" w:cs="Arial"/>
          <w:noProof/>
          <w:color w:val="222222"/>
          <w:sz w:val="24"/>
          <w:szCs w:val="24"/>
          <w:shd w:val="clear" w:color="auto" w:fill="FFFFFF"/>
          <w:lang w:eastAsia="en-GB"/>
        </w:rPr>
        <w:t>(Brug, de Vet, de N</w:t>
      </w:r>
      <w:r w:rsidR="004B283F">
        <w:rPr>
          <w:rFonts w:eastAsia="Times New Roman" w:cs="Arial"/>
          <w:noProof/>
          <w:color w:val="222222"/>
          <w:sz w:val="24"/>
          <w:szCs w:val="24"/>
          <w:shd w:val="clear" w:color="auto" w:fill="FFFFFF"/>
          <w:lang w:eastAsia="en-GB"/>
        </w:rPr>
        <w:t xml:space="preserve">ooijer, &amp; Verplanken, 2006; </w:t>
      </w:r>
      <w:r w:rsidR="00A46B68" w:rsidRPr="00A46B68">
        <w:rPr>
          <w:rFonts w:eastAsia="Times New Roman" w:cs="Arial"/>
          <w:noProof/>
          <w:color w:val="222222"/>
          <w:sz w:val="24"/>
          <w:szCs w:val="24"/>
          <w:shd w:val="clear" w:color="auto" w:fill="FFFFFF"/>
          <w:lang w:eastAsia="en-GB"/>
        </w:rPr>
        <w:t>Verplanken, 2006)</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xml:space="preserve">, choice of transportation mode </w:t>
      </w:r>
      <w:r w:rsidR="00B06E70">
        <w:rPr>
          <w:rFonts w:eastAsia="Times New Roman" w:cs="Arial"/>
          <w:color w:val="222222"/>
          <w:sz w:val="24"/>
          <w:szCs w:val="24"/>
          <w:shd w:val="clear" w:color="auto" w:fill="FFFFFF"/>
          <w:lang w:eastAsia="en-GB"/>
        </w:rPr>
        <w:fldChar w:fldCharType="begin" w:fldLock="1"/>
      </w:r>
      <w:r w:rsidR="007D59CB">
        <w:rPr>
          <w:rFonts w:eastAsia="Times New Roman" w:cs="Arial"/>
          <w:color w:val="222222"/>
          <w:sz w:val="24"/>
          <w:szCs w:val="24"/>
          <w:shd w:val="clear" w:color="auto" w:fill="FFFFFF"/>
          <w:lang w:eastAsia="en-GB"/>
        </w:rPr>
        <w:instrText>ADDIN CSL_CITATION { "citationItems" : [ { "id" : "ITEM-1", "itemData" : { "DOI" : "10.4324/9781410611826", "ISBN" : "1-4106-1182-5", "abstract" : "(from the chapter) We seldom do things for the first time. Most of our everyday behaviors are recurrences or variants of behaviors we have previously executed, most of which numerous times. Given the prevalence of repeated over new behavior, there is good reason to pay more systematic attention to constructs like past behavior, repetitive choices, experience, routines, and habit. This chapter focuses on habits and addresses in particular the issue of the measurement of habit strength. We first discuss the habit construct in more detail and give a brief summary of some work that has been done on habits. We then review four instruments to measure habit strength. Finally, a study is presented in which these measures were used simultaneously. (PsycINFO Database Record (c) 2006 APA, all rights reserved)", "author" : [ { "dropping-particle" : "", "family" : "Verplanken", "given" : "B", "non-dropping-particle" : "", "parse-names" : false, "suffix" : "" }, { "dropping-particle" : "", "family" : "Myrbakk", "given" : "V", "non-dropping-particle" : "", "parse-names" : false, "suffix" : "" }, { "dropping-particle" : "", "family" : "Rudi", "given" : "E", "non-dropping-particle" : "", "parse-names" : false, "suffix" : "" } ], "container-title" : "The routines of decision making", "id" : "ITEM-1", "issued" : { "date-parts" : [ [ "2005" ] ] }, "page" : "231-247", "title" : "The Measurement of Habit", "type" : "chapter" }, "uris" : [ "http://www.mendeley.com/documents/?uuid=1047d20c-5cfc-4f5c-a449-ebbe90e84773" ] } ], "mendeley" : { "formattedCitation" : "(B Verplanken, Myrbakk, &amp; Rudi, 2005)", "plainTextFormattedCitation" : "(B Verplanken, Myrbakk, &amp; Rudi, 2005)", "previouslyFormattedCitation" : "(B Verplanken, Myrbakk, &amp; Rudi, 2005)"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4B283F">
        <w:rPr>
          <w:rFonts w:eastAsia="Times New Roman" w:cs="Arial"/>
          <w:noProof/>
          <w:color w:val="222222"/>
          <w:sz w:val="24"/>
          <w:szCs w:val="24"/>
          <w:shd w:val="clear" w:color="auto" w:fill="FFFFFF"/>
          <w:lang w:eastAsia="en-GB"/>
        </w:rPr>
        <w:t>(</w:t>
      </w:r>
      <w:r w:rsidR="00A46B68" w:rsidRPr="00A46B68">
        <w:rPr>
          <w:rFonts w:eastAsia="Times New Roman" w:cs="Arial"/>
          <w:noProof/>
          <w:color w:val="222222"/>
          <w:sz w:val="24"/>
          <w:szCs w:val="24"/>
          <w:shd w:val="clear" w:color="auto" w:fill="FFFFFF"/>
          <w:lang w:eastAsia="en-GB"/>
        </w:rPr>
        <w:t>Verplanken, Myrbakk, &amp; Rudi, 2005)</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xml:space="preserve">, and negative self-thinking </w:t>
      </w:r>
      <w:r w:rsidR="00B06E70">
        <w:rPr>
          <w:rFonts w:eastAsia="Times New Roman" w:cs="Arial"/>
          <w:color w:val="222222"/>
          <w:sz w:val="24"/>
          <w:szCs w:val="24"/>
          <w:shd w:val="clear" w:color="auto" w:fill="FFFFFF"/>
          <w:lang w:eastAsia="en-GB"/>
        </w:rPr>
        <w:fldChar w:fldCharType="begin" w:fldLock="1"/>
      </w:r>
      <w:r w:rsidR="007D59CB">
        <w:rPr>
          <w:rFonts w:eastAsia="Times New Roman" w:cs="Arial"/>
          <w:color w:val="222222"/>
          <w:sz w:val="24"/>
          <w:szCs w:val="24"/>
          <w:shd w:val="clear" w:color="auto" w:fill="FFFFFF"/>
          <w:lang w:eastAsia="en-GB"/>
        </w:rPr>
        <w:instrText>ADDIN CSL_CITATION { "citationItems" : [ { "id" : "ITEM-1", "itemData" : { "DOI" : "10.1037/0022-3514.92.3.526", "ISBN" : "0022-3514 (Print)\\r0022-3514 (Linking)", "ISSN" : "0022-3514", "PMID" : "17352607", "abstract" : "In 8 studies, the authors investigated negative self-thinking as a mental habit. Mental content (negative self-thoughts) was distinguished from mental process (negative self-thinking habit). The negative self-thinking habit was assessed with a metacognitive instrument (Habit Index of Negative Thinking; HINT) measuring whether negative self-thoughts occur often, are unintended, are initiated without awareness, are difficult to control, and are self-descriptive. Controlling for negative cognitive content, the authors found that negative self-thinking habit was distinct from rumination and mindfulness, predicted explicit as well as implicit low self-esteem (name letter effect), attenuated a positivity bias in the processing of self-relevant stimuli, and predicted anxiety and depressive symptoms 9 months later. The results support the assumption that metacognitive reflection on negative self-thinking as mental habit may play an important role in self-evaluative processes.", "author" : [ { "dropping-particle" : "", "family" : "Verplanken", "given" : "Bas", "non-dropping-particle" : "", "parse-names" : false, "suffix" : "" }, { "dropping-particle" : "", "family" : "Friborg", "given" : "Oddgeir", "non-dropping-particle" : "", "parse-names" : false, "suffix" : "" }, { "dropping-particle" : "", "family" : "Wang", "given" : "Catharina E", "non-dropping-particle" : "", "parse-names" : false, "suffix" : "" }, { "dropping-particle" : "", "family" : "Trafimow", "given" : "David", "non-dropping-particle" : "", "parse-names" : false, "suffix" : "" }, { "dropping-particle" : "", "family" : "Woolf", "given" : "Kristin", "non-dropping-particle" : "", "parse-names" : false, "suffix" : "" } ], "container-title" : "Journal of personality and social psychology", "id" : "ITEM-1", "issue" : "APRIL 2007", "issued" : { "date-parts" : [ [ "2007" ] ] }, "page" : "526-541", "title" : "Mental habits: metacognitive reflection on negative self-thinking.", "type" : "article-journal", "volume" : "92" }, "uris" : [ "http://www.mendeley.com/documents/?uuid=5eb65706-4abe-4159-b915-3347e0598b88" ] } ], "mendeley" : { "formattedCitation" : "(Bas Verplanken, Friborg, Wang, Trafimow, &amp; Woolf, 2007)", "plainTextFormattedCitation" : "(Bas Verplanken, Friborg, Wang, Trafimow, &amp; Woolf, 2007)", "previouslyFormattedCitation" : "(Bas Verplanken, Friborg, Wang, Trafimow, &amp; Woolf, 2007)"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4B283F">
        <w:rPr>
          <w:rFonts w:eastAsia="Times New Roman" w:cs="Arial"/>
          <w:noProof/>
          <w:color w:val="222222"/>
          <w:sz w:val="24"/>
          <w:szCs w:val="24"/>
          <w:shd w:val="clear" w:color="auto" w:fill="FFFFFF"/>
          <w:lang w:eastAsia="en-GB"/>
        </w:rPr>
        <w:t>(</w:t>
      </w:r>
      <w:r w:rsidR="00A46B68" w:rsidRPr="00A46B68">
        <w:rPr>
          <w:rFonts w:eastAsia="Times New Roman" w:cs="Arial"/>
          <w:noProof/>
          <w:color w:val="222222"/>
          <w:sz w:val="24"/>
          <w:szCs w:val="24"/>
          <w:shd w:val="clear" w:color="auto" w:fill="FFFFFF"/>
          <w:lang w:eastAsia="en-GB"/>
        </w:rPr>
        <w:t>Verplanken, Friborg, Wang, Trafimow, &amp; Woolf, 2007)</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w:t>
      </w:r>
      <w:r w:rsidR="004B283F">
        <w:rPr>
          <w:rFonts w:eastAsia="Times New Roman" w:cs="Arial"/>
          <w:color w:val="222222"/>
          <w:sz w:val="24"/>
          <w:szCs w:val="24"/>
          <w:shd w:val="clear" w:color="auto" w:fill="FFFFFF"/>
          <w:lang w:eastAsia="en-GB"/>
        </w:rPr>
        <w:t xml:space="preserve"> The SRHI</w:t>
      </w:r>
      <w:r w:rsidRPr="00D05EBD">
        <w:rPr>
          <w:rFonts w:eastAsia="Times New Roman" w:cs="Arial"/>
          <w:color w:val="222222"/>
          <w:sz w:val="24"/>
          <w:szCs w:val="24"/>
          <w:shd w:val="clear" w:color="auto" w:fill="FFFFFF"/>
          <w:lang w:eastAsia="en-GB"/>
        </w:rPr>
        <w:t xml:space="preserve"> has shown to be reliable and to have good content, discriminant and predictive validity. However, it has not yet been used to measure the extent to which people habitually use different emotion regulation strategies. </w:t>
      </w:r>
      <w:r w:rsidR="00B06E70">
        <w:rPr>
          <w:rFonts w:eastAsia="Times New Roman" w:cs="Arial"/>
          <w:color w:val="222222"/>
          <w:sz w:val="24"/>
          <w:szCs w:val="24"/>
          <w:shd w:val="clear" w:color="auto" w:fill="FFFFFF"/>
          <w:lang w:eastAsia="en-GB"/>
        </w:rPr>
        <w:fldChar w:fldCharType="begin" w:fldLock="1"/>
      </w:r>
      <w:r w:rsidR="000B0AFB">
        <w:rPr>
          <w:rFonts w:eastAsia="Times New Roman" w:cs="Arial"/>
          <w:color w:val="222222"/>
          <w:sz w:val="24"/>
          <w:szCs w:val="24"/>
          <w:shd w:val="clear" w:color="auto" w:fill="FFFFFF"/>
          <w:lang w:eastAsia="en-GB"/>
        </w:rPr>
        <w:instrText>ADDIN CSL_CITATION { "citationItems" : [ { "id" : "ITEM-1", "itemData" : { "DOI" : "10.1186/1479-5868-9-102", "ISBN" : "14795868 (ISSN)", "ISSN" : "1479-5868", "PMID" : "22935297", "abstract" : "BACKGROUND: The twelve-item Self-Report Habit Index (SRHI) is the most popular measure of energy-balance related habits. This measure characterises habit by automatic activation, behavioural frequency, and relevance to self-identity. Previous empirical research suggests that the SRHI may be abbreviated with no losses in reliability or predictive utility. Drawing on recent theorising suggesting that automaticity is the 'active ingredient' of habit-behaviour relationships, we tested whether an automaticity-specific SRHI subscale could capture habit-based behaviour patterns in self-report data.\\n\\nMETHODS: A content validity task was undertaken to identify a subset of automaticity indicators within the SRHI. The reliability, convergent validity and predictive validity of the automaticity item subset was subsequently tested in secondary analyses of all previous SRHI applications, identified via systematic review, and in primary analyses of four raw datasets relating to energy-balance relevant behaviours (inactive travel, active travel, snacking, and alcohol consumption).\\n\\nRESULTS: A four-item automaticity subscale (the 'Self-Report Behavioural Automaticity Index'; 'SRBAI') was found to be reliable and sensitive to two hypothesised effects of habit on behaviour: a habit-behaviour correlation, and a moderating effect of habit on the intention-behaviour relationship.\\n\\nCONCLUSION: The SRBAI offers a parsimonious measure that adequately captures habitual behaviour patterns. The SRBAI may be of particular utility in predicting future behaviour and in studies tracking habit formation or disruption.", "author" : [ { "dropping-particle" : "", "family" : "Gardner", "given" : "Benjamin", "non-dropping-particle" : "", "parse-names" : false, "suffix" : "" }, { "dropping-particle" : "", "family" : "Abraham", "given" : "Charles", "non-dropping-particle" : "", "parse-names" : false, "suffix" : "" }, { "dropping-particle" : "", "family" : "Lally", "given" : "Phillippa", "non-dropping-particle" : "", "parse-names" : false, "suffix" : "" }, { "dropping-particle" : "", "family" : "Bruijn", "given" : "Gert-Jan", "non-dropping-particle" : "de", "parse-names" : false, "suffix" : "" } ], "container-title" : "The international journal of behavioral nutrition and physical activity", "id" : "ITEM-1", "issued" : { "date-parts" : [ [ "2012" ] ] }, "page" : "102", "title" : "Towards parsimony in habit measurement: testing the convergent and predictive validity of an automaticity subscale of the Self-Report Habit Index.", "type" : "article-journal", "volume" : "9" }, "uris" : [ "http://www.mendeley.com/documents/?uuid=fba3267a-b7e4-36cf-bffd-b02de7b1d6ca" ] } ], "mendeley" : { "formattedCitation" : "(Gardner, Abraham, Lally, &amp; de Bruijn, 2012)", "manualFormatting" : "Gardner, Abraham, Lally, and de Bruijn (2012)", "plainTextFormattedCitation" : "(Gardner, Abraham, Lally, &amp; de Bruijn, 2012)", "previouslyFormattedCitation" : "(Gardner, Abraham, Lally, &amp; de Bruijn, 2012)"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0B0AFB" w:rsidRPr="000B0AFB">
        <w:rPr>
          <w:rFonts w:eastAsia="Times New Roman" w:cs="Arial"/>
          <w:noProof/>
          <w:color w:val="222222"/>
          <w:sz w:val="24"/>
          <w:szCs w:val="24"/>
          <w:shd w:val="clear" w:color="auto" w:fill="FFFFFF"/>
          <w:lang w:eastAsia="en-GB"/>
        </w:rPr>
        <w:t>Gardn</w:t>
      </w:r>
      <w:r w:rsidR="000B0AFB">
        <w:rPr>
          <w:rFonts w:eastAsia="Times New Roman" w:cs="Arial"/>
          <w:noProof/>
          <w:color w:val="222222"/>
          <w:sz w:val="24"/>
          <w:szCs w:val="24"/>
          <w:shd w:val="clear" w:color="auto" w:fill="FFFFFF"/>
          <w:lang w:eastAsia="en-GB"/>
        </w:rPr>
        <w:t>er, Abraham, Lally, and de Bruijn</w:t>
      </w:r>
      <w:r w:rsidR="000B0AFB" w:rsidRPr="000B0AFB">
        <w:rPr>
          <w:rFonts w:eastAsia="Times New Roman" w:cs="Arial"/>
          <w:noProof/>
          <w:color w:val="222222"/>
          <w:sz w:val="24"/>
          <w:szCs w:val="24"/>
          <w:shd w:val="clear" w:color="auto" w:fill="FFFFFF"/>
          <w:lang w:eastAsia="en-GB"/>
        </w:rPr>
        <w:t xml:space="preserve"> </w:t>
      </w:r>
      <w:r w:rsidR="000B0AFB">
        <w:rPr>
          <w:rFonts w:eastAsia="Times New Roman" w:cs="Arial"/>
          <w:noProof/>
          <w:color w:val="222222"/>
          <w:sz w:val="24"/>
          <w:szCs w:val="24"/>
          <w:shd w:val="clear" w:color="auto" w:fill="FFFFFF"/>
          <w:lang w:eastAsia="en-GB"/>
        </w:rPr>
        <w:t>(</w:t>
      </w:r>
      <w:r w:rsidR="000B0AFB" w:rsidRPr="000B0AFB">
        <w:rPr>
          <w:rFonts w:eastAsia="Times New Roman" w:cs="Arial"/>
          <w:noProof/>
          <w:color w:val="222222"/>
          <w:sz w:val="24"/>
          <w:szCs w:val="24"/>
          <w:shd w:val="clear" w:color="auto" w:fill="FFFFFF"/>
          <w:lang w:eastAsia="en-GB"/>
        </w:rPr>
        <w:t>2012)</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xml:space="preserve"> created a short scale of the SRHI and named it the Self-Report Behavioural Automaticity Index or SRBAI as they only focused on the automaticity feature, which they consider the defining feature of habits </w:t>
      </w:r>
      <w:r w:rsidR="00B06E70">
        <w:rPr>
          <w:rFonts w:eastAsia="Times New Roman" w:cs="Arial"/>
          <w:color w:val="222222"/>
          <w:sz w:val="24"/>
          <w:szCs w:val="24"/>
          <w:shd w:val="clear" w:color="auto" w:fill="FFFFFF"/>
          <w:lang w:eastAsia="en-GB"/>
        </w:rPr>
        <w:fldChar w:fldCharType="begin" w:fldLock="1"/>
      </w:r>
      <w:r w:rsidR="007D59CB">
        <w:rPr>
          <w:rFonts w:eastAsia="Times New Roman" w:cs="Arial"/>
          <w:color w:val="222222"/>
          <w:sz w:val="24"/>
          <w:szCs w:val="24"/>
          <w:shd w:val="clear" w:color="auto" w:fill="FFFFFF"/>
          <w:lang w:eastAsia="en-GB"/>
        </w:rPr>
        <w:instrText>ADDIN CSL_CITATION { "citationItems" : [ { "id" : "ITEM-1", "itemData" : { "DOI" : "10.1186/1479-5868-9-102", "ISBN" : "14795868 (ISSN)", "ISSN" : "1479-5868", "PMID" : "22935297", "abstract" : "BACKGROUND: The twelve-item Self-Report Habit Index (SRHI) is the most popular measure of energy-balance related habits. This measure characterises habit by automatic activation, behavioural frequency, and relevance to self-identity. Previous empirical research suggests that the SRHI may be abbreviated with no losses in reliability or predictive utility. Drawing on recent theorising suggesting that automaticity is the 'active ingredient' of habit-behaviour relationships, we tested whether an automaticity-specific SRHI subscale could capture habit-based behaviour patterns in self-report data.\\n\\nMETHODS: A content validity task was undertaken to identify a subset of automaticity indicators within the SRHI. The reliability, convergent validity and predictive validity of the automaticity item subset was subsequently tested in secondary analyses of all previous SRHI applications, identified via systematic review, and in primary analyses of four raw datasets relating to energy-balance relevant behaviours (inactive travel, active travel, snacking, and alcohol consumption).\\n\\nRESULTS: A four-item automaticity subscale (the 'Self-Report Behavioural Automaticity Index'; 'SRBAI') was found to be reliable and sensitive to two hypothesised effects of habit on behaviour: a habit-behaviour correlation, and a moderating effect of habit on the intention-behaviour relationship.\\n\\nCONCLUSION: The SRBAI offers a parsimonious measure that adequately captures habitual behaviour patterns. The SRBAI may be of particular utility in predicting future behaviour and in studies tracking habit formation or disruption.", "author" : [ { "dropping-particle" : "", "family" : "Gardner", "given" : "Benjamin", "non-dropping-particle" : "", "parse-names" : false, "suffix" : "" }, { "dropping-particle" : "", "family" : "Abraham", "given" : "Charles", "non-dropping-particle" : "", "parse-names" : false, "suffix" : "" }, { "dropping-particle" : "", "family" : "Lally", "given" : "Phillippa", "non-dropping-particle" : "", "parse-names" : false, "suffix" : "" }, { "dropping-particle" : "", "family" : "Bruijn", "given" : "Gert-Jan", "non-dropping-particle" : "de", "parse-names" : false, "suffix" : "" } ], "container-title" : "The international journal of behavioral nutrition and physical activity", "id" : "ITEM-1", "issued" : { "date-parts" : [ [ "2012" ] ] }, "page" : "102", "title" : "Towards parsimony in habit measurement: testing the convergent and predictive validity of an automaticity subscale of the Self-Report Habit Index.", "type" : "article-journal", "volume" : "9" }, "uris" : [ "http://www.mendeley.com/documents/?uuid=fba3267a-b7e4-36cf-bffd-b02de7b1d6ca" ] }, { "id" : "ITEM-2", "itemData" : { "DOI" : "10.1016/j.psychsport.2007.01.002", "ISBN" : "1469-0292", "ISSN" : "14690292", "PMID" : "14690292", "abstract" : "Objectives: Habit has been an undervalued concept in the behavioral sciences during the past few decades. One reason may be that habit has been equated with behavioral frequency. This leaves out an important characteristic of habits, i.e., the fact that repeated behavior may acquire a degree of automaticity. The present study aimed to demonstrate that exercising habit can be reliably measured, can empirically be distinguished from past frequency of exercising, and can thus be adopted as a meaningful criterion. Design and methods: A longitudinal study was conducted with two measurements one month apart among 111 students. Intentions to exercise, perceived behavioral control of exercising, past exercising frequency, and exercising habit were assessed at both measurements through an internet-based questionnaire. Exercising habit was assessed by the Self-Report Habit Index [Verplanken &amp; Orbell (2003). Reflections on past behaviour: A self-report index of habit strength. Journal of Applied Social Psychology, 33, 1313-1330]), which breaks down the habit concept in the subjective experience of repetition and automaticity. Results: The results showed that exercising habit can be reliably measured, is stable over time, and can be distinguished from mere exercising frequency. Conclusions: In addition to frequency of behavior, measuring habit provides information about the way behavior is executed. An important element of exercising behavior is the decision to go exercise. It is argued that the habit concept is therefore particularly relevant for the initiation of and adherence to exercising. Implications of distinguishing behavioral frequency and habit for interventions are discussed. \u00a9 2007 Elsevier Ltd. All rights reserved.", "author" : [ { "dropping-particle" : "", "family" : "Verplanken", "given" : "Bas", "non-dropping-particle" : "", "parse-names" : false, "suffix" : "" }, { "dropping-particle" : "", "family" : "Melkevik", "given" : "Ole", "non-dropping-particle" : "", "parse-names" : false, "suffix" : "" } ], "container-title" : "Psychology of Sport and Exercise", "id" : "ITEM-2", "issue" : "1", "issued" : { "date-parts" : [ [ "2008" ] ] }, "page" : "15-26", "title" : "Predicting habit: The case of physical exercise", "type" : "article-journal", "volume" : "9" }, "uris" : [ "http://www.mendeley.com/documents/?uuid=a218497a-01e9-34cf-996f-8fe64d03c404" ] } ], "mendeley" : { "formattedCitation" : "(Gardner et al., 2012; Bas Verplanken &amp; Melkevik, 2008)", "plainTextFormattedCitation" : "(Gardner et al., 2012; Bas Verplanken &amp; Melkevik, 2008)", "previouslyFormattedCitation" : "(Gardner et al., 2012; Bas Verplanken &amp; Melkevik, 2008)"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4B283F">
        <w:rPr>
          <w:rFonts w:eastAsia="Times New Roman" w:cs="Arial"/>
          <w:noProof/>
          <w:color w:val="222222"/>
          <w:sz w:val="24"/>
          <w:szCs w:val="24"/>
          <w:shd w:val="clear" w:color="auto" w:fill="FFFFFF"/>
          <w:lang w:eastAsia="en-GB"/>
        </w:rPr>
        <w:t xml:space="preserve">(Gardner et al., 2012; </w:t>
      </w:r>
      <w:r w:rsidR="00A46B68" w:rsidRPr="00A46B68">
        <w:rPr>
          <w:rFonts w:eastAsia="Times New Roman" w:cs="Arial"/>
          <w:noProof/>
          <w:color w:val="222222"/>
          <w:sz w:val="24"/>
          <w:szCs w:val="24"/>
          <w:shd w:val="clear" w:color="auto" w:fill="FFFFFF"/>
          <w:lang w:eastAsia="en-GB"/>
        </w:rPr>
        <w:t>Verplanken &amp; Melkevik, 2008)</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xml:space="preserve">. </w:t>
      </w:r>
      <w:r w:rsidR="000B0AFB">
        <w:rPr>
          <w:rFonts w:eastAsia="Times New Roman" w:cs="Arial"/>
          <w:color w:val="222222"/>
          <w:sz w:val="24"/>
          <w:szCs w:val="24"/>
          <w:shd w:val="clear" w:color="auto" w:fill="FFFFFF"/>
          <w:lang w:eastAsia="en-GB"/>
        </w:rPr>
        <w:t>Gardner and colleagues</w:t>
      </w:r>
      <w:r w:rsidRPr="000B0AFB">
        <w:rPr>
          <w:rFonts w:eastAsia="Times New Roman" w:cs="Arial"/>
          <w:color w:val="222222"/>
          <w:sz w:val="24"/>
          <w:szCs w:val="24"/>
          <w:shd w:val="clear" w:color="auto" w:fill="FFFFFF"/>
          <w:lang w:eastAsia="en-GB"/>
        </w:rPr>
        <w:t xml:space="preserve"> (2012) fo</w:t>
      </w:r>
      <w:r w:rsidRPr="00D05EBD">
        <w:rPr>
          <w:rFonts w:eastAsia="Times New Roman" w:cs="Arial"/>
          <w:color w:val="222222"/>
          <w:sz w:val="24"/>
          <w:szCs w:val="24"/>
          <w:shd w:val="clear" w:color="auto" w:fill="FFFFFF"/>
          <w:lang w:eastAsia="en-GB"/>
        </w:rPr>
        <w:t xml:space="preserve">und the SRBAI to be reliable and to adequately capture habitual behaviours. Research that has used the SRBAI to study habits in the use of active (bicycle) and inactive (car) travelling, in unhealthy snacking, and in alcohol consumption </w:t>
      </w:r>
      <w:r w:rsidR="00B06E70">
        <w:rPr>
          <w:rFonts w:eastAsia="Times New Roman" w:cs="Arial"/>
          <w:color w:val="222222"/>
          <w:sz w:val="24"/>
          <w:szCs w:val="24"/>
          <w:shd w:val="clear" w:color="auto" w:fill="FFFFFF"/>
          <w:lang w:eastAsia="en-GB"/>
        </w:rPr>
        <w:fldChar w:fldCharType="begin" w:fldLock="1"/>
      </w:r>
      <w:r w:rsidR="000B0AFB">
        <w:rPr>
          <w:rFonts w:eastAsia="Times New Roman" w:cs="Arial"/>
          <w:color w:val="222222"/>
          <w:sz w:val="24"/>
          <w:szCs w:val="24"/>
          <w:shd w:val="clear" w:color="auto" w:fill="FFFFFF"/>
          <w:lang w:eastAsia="en-GB"/>
        </w:rPr>
        <w:instrText>ADDIN CSL_CITATION { "citationItems" : [ { "id" : "ITEM-1", "itemData" : { "DOI" : "10.1186/1479-5868-9-102", "ISBN" : "14795868 (ISSN)", "ISSN" : "1479-5868", "PMID" : "22935297", "abstract" : "BACKGROUND: The twelve-item Self-Report Habit Index (SRHI) is the most popular measure of energy-balance related habits. This measure characterises habit by automatic activation, behavioural frequency, and relevance to self-identity. Previous empirical research suggests that the SRHI may be abbreviated with no losses in reliability or predictive utility. Drawing on recent theorising suggesting that automaticity is the 'active ingredient' of habit-behaviour relationships, we tested whether an automaticity-specific SRHI subscale could capture habit-based behaviour patterns in self-report data.\\n\\nMETHODS: A content validity task was undertaken to identify a subset of automaticity indicators within the SRHI. The reliability, convergent validity and predictive validity of the automaticity item subset was subsequently tested in secondary analyses of all previous SRHI applications, identified via systematic review, and in primary analyses of four raw datasets relating to energy-balance relevant behaviours (inactive travel, active travel, snacking, and alcohol consumption).\\n\\nRESULTS: A four-item automaticity subscale (the 'Self-Report Behavioural Automaticity Index'; 'SRBAI') was found to be reliable and sensitive to two hypothesised effects of habit on behaviour: a habit-behaviour correlation, and a moderating effect of habit on the intention-behaviour relationship.\\n\\nCONCLUSION: The SRBAI offers a parsimonious measure that adequately captures habitual behaviour patterns. The SRBAI may be of particular utility in predicting future behaviour and in studies tracking habit formation or disruption.", "author" : [ { "dropping-particle" : "", "family" : "Gardner", "given" : "Benjamin", "non-dropping-particle" : "", "parse-names" : false, "suffix" : "" }, { "dropping-particle" : "", "family" : "Abraham", "given" : "Charles", "non-dropping-particle" : "", "parse-names" : false, "suffix" : "" }, { "dropping-particle" : "", "family" : "Lally", "given" : "Phillippa", "non-dropping-particle" : "", "parse-names" : false, "suffix" : "" }, { "dropping-particle" : "", "family" : "Bruijn", "given" : "Gert-Jan", "non-dropping-particle" : "de", "parse-names" : false, "suffix" : "" } ], "container-title" : "The international journal of behavioral nutrition and physical activity", "id" : "ITEM-1", "issued" : { "date-parts" : [ [ "2012" ] ] }, "page" : "102", "title" : "Towards parsimony in habit measurement: testing the convergent and predictive validity of an automaticity subscale of the Self-Report Habit Index.", "type" : "article-journal", "volume" : "9" }, "uris" : [ "http://www.mendeley.com/documents/?uuid=fba3267a-b7e4-36cf-bffd-b02de7b1d6ca" ] } ], "mendeley" : { "formattedCitation" : "(Gardner et al., 2012)", "plainTextFormattedCitation" : "(Gardner et al., 2012)", "previouslyFormattedCitation" : "(Gardner et al., 2012)"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0B0AFB" w:rsidRPr="000B0AFB">
        <w:rPr>
          <w:rFonts w:eastAsia="Times New Roman" w:cs="Arial"/>
          <w:noProof/>
          <w:color w:val="222222"/>
          <w:sz w:val="24"/>
          <w:szCs w:val="24"/>
          <w:shd w:val="clear" w:color="auto" w:fill="FFFFFF"/>
          <w:lang w:eastAsia="en-GB"/>
        </w:rPr>
        <w:t>(Gardner et al., 2012)</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xml:space="preserve"> has also found it reliable. It has</w:t>
      </w:r>
      <w:r w:rsidR="004B283F">
        <w:rPr>
          <w:rFonts w:eastAsia="Times New Roman" w:cs="Arial"/>
          <w:color w:val="222222"/>
          <w:sz w:val="24"/>
          <w:szCs w:val="24"/>
          <w:shd w:val="clear" w:color="auto" w:fill="FFFFFF"/>
          <w:lang w:eastAsia="en-GB"/>
        </w:rPr>
        <w:t xml:space="preserve"> also</w:t>
      </w:r>
      <w:r w:rsidRPr="00D05EBD">
        <w:rPr>
          <w:rFonts w:eastAsia="Times New Roman" w:cs="Arial"/>
          <w:color w:val="222222"/>
          <w:sz w:val="24"/>
          <w:szCs w:val="24"/>
          <w:shd w:val="clear" w:color="auto" w:fill="FFFFFF"/>
          <w:lang w:eastAsia="en-GB"/>
        </w:rPr>
        <w:t xml:space="preserve"> been successfully used to measure habit as a mediator between past and future physical activity </w:t>
      </w:r>
      <w:r w:rsidR="00B06E70">
        <w:rPr>
          <w:rFonts w:eastAsia="Times New Roman" w:cs="Arial"/>
          <w:color w:val="222222"/>
          <w:sz w:val="24"/>
          <w:szCs w:val="24"/>
          <w:shd w:val="clear" w:color="auto" w:fill="FFFFFF"/>
          <w:lang w:eastAsia="en-GB"/>
        </w:rPr>
        <w:fldChar w:fldCharType="begin" w:fldLock="1"/>
      </w:r>
      <w:r w:rsidR="00B3516D">
        <w:rPr>
          <w:rFonts w:eastAsia="Times New Roman" w:cs="Arial"/>
          <w:color w:val="222222"/>
          <w:sz w:val="24"/>
          <w:szCs w:val="24"/>
          <w:shd w:val="clear" w:color="auto" w:fill="FFFFFF"/>
          <w:lang w:eastAsia="en-GB"/>
        </w:rPr>
        <w:instrText>ADDIN CSL_CITATION { "citationItems" : [ { "id" : "ITEM-1", "itemData" : { "DOI" : "10.1016/j.psychsport.2015.03.006", "ISSN" : "14690292", "abstract" : "Objectives: Habit has been proposed as an explanation of why prior behavior is a good predictor of later behavior. This study examined whether habit mediates the relationship between prior and later physical activity (PA), within the framework of the attitude-social influences-efficacy (ASE) model and the theory of planned behavior (TPB). Design: A longitudinal design was used. Methods: A total of 1976 older adults completed questionnaires on ASE/TPB constructs and PA at baseline, intention at three months, habit at six months, and PA at twelve months. Results: Path analyses showed that habit significantly mediates the relationship between prior and later PA, after ASE/TPB variables were taken into account. Conclusions: Habit is a partial solution to the question why prior PA is a good predictor of later PA. It is recommended to incorporate habit into the ASE/TPB model.", "author" : [ { "dropping-particle" : "", "family" : "Bree", "given" : "Rob J H", "non-dropping-particle" : "van", "parse-names" : false, "suffix" : "" }, { "dropping-particle" : "", "family" : "Stralen", "given" : "Maartje M.", "non-dropping-particle" : "van", "parse-names" : false, "suffix" : "" }, { "dropping-particle" : "", "family" : "Mudde", "given" : "Aart N.", "non-dropping-particle" : "", "parse-names" : false, "suffix" : "" }, { "dropping-particle" : "", "family" : "Bolman", "given" : "Catherine", "non-dropping-particle" : "", "parse-names" : false, "suffix" : "" }, { "dropping-particle" : "", "family" : "Vries", "given" : "Hein", "non-dropping-particle" : "de", "parse-names" : false, "suffix" : "" }, { "dropping-particle" : "", "family" : "Lechner", "given" : "Lilian", "non-dropping-particle" : "", "parse-names" : false, "suffix" : "" } ], "container-title" : "Psychology of Sport and Exercise", "id" : "ITEM-1", "issued" : { "date-parts" : [ [ "2015" ] ] }, "page" : "95-102", "title" : "Habit as mediator of the relationship between prior and later physical activity: A longitudinal study in older adults", "type" : "article-journal", "volume" : "19" }, "uris" : [ "http://www.mendeley.com/documents/?uuid=a320144f-610b-3050-9b6b-07a0cab58b07" ] } ], "mendeley" : { "formattedCitation" : "(van Bree et al., 2015)", "plainTextFormattedCitation" : "(van Bree et al., 2015)", "previouslyFormattedCitation" : "(van Bree et al., 2015)"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0B0AFB" w:rsidRPr="000B0AFB">
        <w:rPr>
          <w:rFonts w:eastAsia="Times New Roman" w:cs="Arial"/>
          <w:noProof/>
          <w:color w:val="222222"/>
          <w:sz w:val="24"/>
          <w:szCs w:val="24"/>
          <w:shd w:val="clear" w:color="auto" w:fill="FFFFFF"/>
          <w:lang w:eastAsia="en-GB"/>
        </w:rPr>
        <w:t xml:space="preserve">(van Bree et al., </w:t>
      </w:r>
      <w:r w:rsidR="000B0AFB" w:rsidRPr="000B0AFB">
        <w:rPr>
          <w:rFonts w:eastAsia="Times New Roman" w:cs="Arial"/>
          <w:noProof/>
          <w:color w:val="222222"/>
          <w:sz w:val="24"/>
          <w:szCs w:val="24"/>
          <w:shd w:val="clear" w:color="auto" w:fill="FFFFFF"/>
          <w:lang w:eastAsia="en-GB"/>
        </w:rPr>
        <w:lastRenderedPageBreak/>
        <w:t>2015)</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As the focus of the present research is the automaticity of IER, the SRBAI will be used to ask participants to report on how automatic their use of several IER behaviours is (the methods section will provide more information about this).</w:t>
      </w:r>
    </w:p>
    <w:p w:rsidR="00C04C18" w:rsidRDefault="00C04C18" w:rsidP="00AE640B">
      <w:pPr>
        <w:spacing w:after="0" w:line="480" w:lineRule="auto"/>
        <w:jc w:val="both"/>
        <w:rPr>
          <w:b/>
          <w:sz w:val="24"/>
          <w:szCs w:val="24"/>
        </w:rPr>
      </w:pPr>
    </w:p>
    <w:p w:rsidR="00FB1389" w:rsidRDefault="00FB1389" w:rsidP="00AE640B">
      <w:pPr>
        <w:spacing w:after="0" w:line="480" w:lineRule="auto"/>
        <w:jc w:val="both"/>
        <w:rPr>
          <w:rFonts w:eastAsia="Times New Roman" w:cs="Arial"/>
          <w:color w:val="222222"/>
          <w:sz w:val="24"/>
          <w:szCs w:val="24"/>
          <w:shd w:val="clear" w:color="auto" w:fill="FFFFFF"/>
          <w:lang w:eastAsia="en-GB"/>
        </w:rPr>
      </w:pPr>
      <w:r w:rsidRPr="00D05EBD">
        <w:rPr>
          <w:b/>
          <w:sz w:val="24"/>
          <w:szCs w:val="24"/>
        </w:rPr>
        <w:t>2.3 Study 1</w:t>
      </w:r>
      <w:r w:rsidRPr="00D05EBD">
        <w:rPr>
          <w:rFonts w:eastAsia="Times New Roman" w:cs="Arial"/>
          <w:color w:val="222222"/>
          <w:sz w:val="24"/>
          <w:szCs w:val="24"/>
          <w:shd w:val="clear" w:color="auto" w:fill="FFFFFF"/>
          <w:lang w:eastAsia="en-GB"/>
        </w:rPr>
        <w:tab/>
      </w:r>
    </w:p>
    <w:p w:rsidR="002D45C9" w:rsidRPr="00D05EBD" w:rsidRDefault="002D45C9" w:rsidP="00AE640B">
      <w:pPr>
        <w:spacing w:after="0" w:line="480" w:lineRule="auto"/>
        <w:jc w:val="both"/>
        <w:rPr>
          <w:rFonts w:eastAsia="Times New Roman" w:cs="Arial"/>
          <w:color w:val="222222"/>
          <w:sz w:val="24"/>
          <w:szCs w:val="24"/>
          <w:shd w:val="clear" w:color="auto" w:fill="FFFFFF"/>
          <w:lang w:eastAsia="en-GB"/>
        </w:rPr>
      </w:pPr>
    </w:p>
    <w:p w:rsidR="00FB1389" w:rsidRPr="00D05EBD" w:rsidRDefault="00FB1389" w:rsidP="00AE640B">
      <w:pPr>
        <w:spacing w:after="0" w:line="480" w:lineRule="auto"/>
        <w:jc w:val="both"/>
        <w:rPr>
          <w:i/>
          <w:sz w:val="24"/>
          <w:szCs w:val="24"/>
        </w:rPr>
      </w:pPr>
      <w:r w:rsidRPr="00D05EBD">
        <w:rPr>
          <w:sz w:val="24"/>
          <w:szCs w:val="24"/>
        </w:rPr>
        <w:tab/>
        <w:t xml:space="preserve">The present research will look at the automatic use of interpersonal emotion regulation strategies aimed at improving and at worsening emotion via a self-report questionnaire. Two contexts in which IER is used will be explored, the context of close relationships and non-close relationships. As aforementioned, close-relationships provide a good opportunity to explore the use of AIER strategies for two main reasons: </w:t>
      </w:r>
      <w:proofErr w:type="spellStart"/>
      <w:r w:rsidRPr="00D05EBD">
        <w:rPr>
          <w:sz w:val="24"/>
          <w:szCs w:val="24"/>
        </w:rPr>
        <w:t>i</w:t>
      </w:r>
      <w:proofErr w:type="spellEnd"/>
      <w:r w:rsidRPr="00D05EBD">
        <w:rPr>
          <w:sz w:val="24"/>
          <w:szCs w:val="24"/>
        </w:rPr>
        <w:t xml:space="preserve">) firstly, people are more likely to engage in IER behaviours </w:t>
      </w:r>
      <w:r w:rsidR="00B06E70">
        <w:rPr>
          <w:sz w:val="24"/>
          <w:szCs w:val="24"/>
        </w:rPr>
        <w:fldChar w:fldCharType="begin" w:fldLock="1"/>
      </w:r>
      <w:r w:rsidR="00B3516D">
        <w:rPr>
          <w:sz w:val="24"/>
          <w:szCs w:val="24"/>
        </w:rPr>
        <w:instrText>ADDIN CSL_CITATION { "citationItems" : [ { "id" : "ITEM-1", "itemData" : { "DOI" : "10.1037/a0033839", "ISBN" : "1-59385-148-0; 978-1-59385-148-4", "ISSN" : "1931-1516", "PMID" : "24098929", "abstract" : "Contemporary emotion regulation research emphasizes intrapersonal processes such as cognitive reappraisal and expressive suppression, but people experiencing affect commonly choose not to go it alone. Instead, individuals often turn to others for help in shaping their affective lives. How and under what circumstances does such interpersonal regulation modulate emotional experience? Although scientists have examined allied phenomena such as social sharing, empathy, social support, and prosocial behavior for decades, there have been surprisingly few attempts to integrate these data into a single conceptual framework of interpersonal regulation. Here we propose such a framework. We first map a \"space\" differentiating classes of interpersonal regulation according to whether an individual uses an interpersonal regulatory episode to alter their own or another person's emotion. We then identify 2 types of processes--response-dependent and response-independent--that could support interpersonal regulation. This framework classifies an array of processes through which interpersonal contact fulfills regulatory goals. More broadly, it organizes diffuse, heretofore independent data on \"pieces\" of interpersonal regulation, and identifies growth points for this young and exciting research domain.", "author" : [ { "dropping-particle" : "", "family" : "Zaki", "given" : "Jamil", "non-dropping-particle" : "", "parse-names" : false, "suffix" : "" }, { "dropping-particle" : "", "family" : "Williams", "given" : "W Craig", "non-dropping-particle" : "", "parse-names" : false, "suffix" : "" } ], "container-title" : "Emotion (Washington, D.C.)", "id" : "ITEM-1", "issue" : "5", "issued" : { "date-parts" : [ [ "2013" ] ] }, "page" : "803-10", "title" : "Interpersonal emotion regulation.", "type" : "article-journal", "volume" : "13" }, "uris" : [ "http://www.mendeley.com/documents/?uuid=1df2865a-93a2-3b24-98f8-83648dc5c5bb" ] } ], "mendeley" : { "formattedCitation" : "(Zaki &amp; Williams, 2013)", "plainTextFormattedCitation" : "(Zaki &amp; Williams, 2013)", "previouslyFormattedCitation" : "(Zaki &amp; Williams, 2013)" }, "properties" : { "noteIndex" : 0 }, "schema" : "https://github.com/citation-style-language/schema/raw/master/csl-citation.json" }</w:instrText>
      </w:r>
      <w:r w:rsidR="00B06E70">
        <w:rPr>
          <w:sz w:val="24"/>
          <w:szCs w:val="24"/>
        </w:rPr>
        <w:fldChar w:fldCharType="separate"/>
      </w:r>
      <w:r w:rsidR="00B3516D" w:rsidRPr="00B3516D">
        <w:rPr>
          <w:noProof/>
          <w:sz w:val="24"/>
          <w:szCs w:val="24"/>
        </w:rPr>
        <w:t>(Zaki &amp; Williams, 2013)</w:t>
      </w:r>
      <w:r w:rsidR="00B06E70">
        <w:rPr>
          <w:sz w:val="24"/>
          <w:szCs w:val="24"/>
        </w:rPr>
        <w:fldChar w:fldCharType="end"/>
      </w:r>
      <w:r w:rsidRPr="00D05EBD">
        <w:rPr>
          <w:sz w:val="24"/>
          <w:szCs w:val="24"/>
        </w:rPr>
        <w:t xml:space="preserve"> as the feelings and thoughts shared between people are strong </w:t>
      </w:r>
      <w:r w:rsidR="00B06E70">
        <w:rPr>
          <w:sz w:val="24"/>
          <w:szCs w:val="24"/>
        </w:rPr>
        <w:fldChar w:fldCharType="begin" w:fldLock="1"/>
      </w:r>
      <w:r w:rsidR="00B3516D">
        <w:rPr>
          <w:sz w:val="24"/>
          <w:szCs w:val="24"/>
        </w:rPr>
        <w:instrText>ADDIN CSL_CITATION { "citationItems" : [ { "id" : "ITEM-1", "itemData" : { "abstract" : "A n y layperson or scientist comes to interpersonal relationships with a large set of preexisting ideas, concepts, labels, implicit and explicit theories, beliefs about causes of important phenomena, and expectations about conse-quences of various states or events. The complexity of existing scientific information bearing on interpersonal relationships can be seen by examining a recent propositional inventory of research on the family (Goode, Hopkins, &amp; McClure, 1971). Some 3,000 propositions are listed that bear on the interpersonal relations found within and around the family (dating, husband-wife, parent-chiId, siblings, and so on). Each of these propositions is of the form \"X leads to Y,\" or \"X is associated with Y.\" For example, \"the less the husband and wife depend on each other, the greater are their chances of splitting up\"; \"maternal possessiveness is negatively correlated with edu-cation of the mother\"; \"status differentials in the type of labor will frequently be a source of conflict between siblings.\" The 3,000 two-variable propositions in this fermat could be generated by a cnmbinati~n nf a few as 78 variables (X's and Y's) or by as many as 6,000 variables (if each X and Y in each proposition were unique to it). A rough estimate suggests that the actual total of X and Y variables in Goode et al.'s inventory approximates 700. Thus, in this one encyclopedic source (whose 2,000-item bibliography is hardly complete), the student of interpersonal relationships is confronted with some 700 variables (terms, concepts, factors) and their possible interrelations. A dozen examples will suggest their variety: favoritism, aggression, ordinal ANALYZING CLOSE RELATIONSHIPS 21 position, schizophrenia, discipline, economic security, father absence, pri-vacy, affinal relations, achievement, marital adjustment, and social change. Faced with such a profusion of variables and propositions in the literature on relationships, we have found it necessary to go back to basics. We have adopted the approach of a visitor from outer space, attempting to specify what it is that such an alien, not having the extensive experience with human interpersonal relationships that all earthlings have, would see and hear, and what such an alien would do in the way of analysis, interpretation, and inference in order to make sense of these data. Using this approach, we try to characterize the essentials of what the scientist does in the study of interpersonal relations. We especially\u2026", "author" : [ { "dropping-particle" : "", "family" : "Kelley", "given" : "Harold H", "non-dropping-particle" : "", "parse-names" : false, "suffix" : "" }, { "dropping-particle" : "", "family" : "Berscheid", "given" : "Ellen", "non-dropping-particle" : "", "parse-names" : false, "suffix" : "" }, { "dropping-particle" : "", "family" : "Christensen", "given" : "Andrew", "non-dropping-particle" : "", "parse-names" : false, "suffix" : "" }, { "dropping-particle" : "", "family" : "Harvey", "given" : "John H", "non-dropping-particle" : "", "parse-names" : false, "suffix" : "" }, { "dropping-particle" : "", "family" : "Huston", "given" : "Ted L", "non-dropping-particle" : "", "parse-names" : false, "suffix" : "" }, { "dropping-particle" : "", "family" : "Levinger", "given" : "George", "non-dropping-particle" : "", "parse-names" : false, "suffix" : "" }, { "dropping-particle" : "", "family" : "McClintock", "given" : "Evie", "non-dropping-particle" : "", "parse-names" : false, "suffix" : "" }, { "dropping-particle" : "", "family" : "Peplau", "given" : "Letitia Anne", "non-dropping-particle" : "", "parse-names" : false, "suffix" : "" }, { "dropping-particle" : "", "family" : "Peterson", "given" : "Donald R", "non-dropping-particle" : "", "parse-names" : false, "suffix" : "" } ], "chapter-number" : "2", "container-title" : "Close Relationships", "editor" : [ { "dropping-particle" : "", "family" : "Kelley", "given" : "Harold H", "non-dropping-particle" : "", "parse-names" : false, "suffix" : "" } ], "id" : "ITEM-1", "issued" : { "date-parts" : [ [ "1983" ] ] }, "page" : "20-67", "publisher" : "W.H.Freeman &amp; Co Ltd", "publisher-place" : "New York, NY", "title" : "Analyzing close relationships", "type" : "chapter" }, "uris" : [ "http://www.mendeley.com/documents/?uuid=5d23c95b-e101-3f4d-bb3b-20baa90b5225" ] } ], "mendeley" : { "formattedCitation" : "(Kelley et al., 1983)", "plainTextFormattedCitation" : "(Kelley et al., 1983)", "previouslyFormattedCitation" : "(Kelley et al., 1983)" }, "properties" : { "noteIndex" : 0 }, "schema" : "https://github.com/citation-style-language/schema/raw/master/csl-citation.json" }</w:instrText>
      </w:r>
      <w:r w:rsidR="00B06E70">
        <w:rPr>
          <w:sz w:val="24"/>
          <w:szCs w:val="24"/>
        </w:rPr>
        <w:fldChar w:fldCharType="separate"/>
      </w:r>
      <w:r w:rsidR="00B3516D" w:rsidRPr="00B3516D">
        <w:rPr>
          <w:noProof/>
          <w:sz w:val="24"/>
          <w:szCs w:val="24"/>
        </w:rPr>
        <w:t>(Kelley et al., 1983)</w:t>
      </w:r>
      <w:r w:rsidR="00B06E70">
        <w:rPr>
          <w:sz w:val="24"/>
          <w:szCs w:val="24"/>
        </w:rPr>
        <w:fldChar w:fldCharType="end"/>
      </w:r>
      <w:r w:rsidRPr="00D05EBD">
        <w:rPr>
          <w:sz w:val="24"/>
          <w:szCs w:val="24"/>
        </w:rPr>
        <w:t xml:space="preserve">; ii) secondly, it is plausible that the frequency of contact between people close to each other could promote a more habitual or automatic use of IER behaviours </w:t>
      </w:r>
      <w:r w:rsidR="00B06E70">
        <w:rPr>
          <w:sz w:val="24"/>
          <w:szCs w:val="24"/>
        </w:rPr>
        <w:fldChar w:fldCharType="begin" w:fldLock="1"/>
      </w:r>
      <w:r w:rsidR="00691B49">
        <w:rPr>
          <w:sz w:val="24"/>
          <w:szCs w:val="24"/>
        </w:rPr>
        <w:instrText>ADDIN CSL_CITATION { "citationItems" : [ { "id" : "ITEM-1", "itemData" : { "DOI" : "10.1016/j.jesp.2011.10.011", "ISBN" : "0022-1031", "ISSN" : "00221031", "abstract" : "What are the psychological mechanisms that trigger habits in daily life? Two studies reveal that strong habits are influenced by context cues associated with past performance (e.g., locations) but are relatively unaffected by current goals. Specifically, performance contexts-but not goals-automatically triggered strongly habitual behaviors in memory (Experiment 1) and triggered overt habit performance (Experiment 2). Nonetheless, habits sometimes appear to be linked to goals because people self-perceive their habits to be guided by goals. Furthermore, habits of moderate strength are automatically influenced by goals, yielding a curvilinear, U-shaped relation between habit strength and actual goal influence. Thus, research that taps self-perceptions or moderately strong habits may find habits to be linked to goals. ?? 2011 Elsevier Inc..", "author" : [ { "dropping-particle" : "", "family" : "Neal", "given" : "David T.", "non-dropping-particle" : "", "parse-names" : false, "suffix" : "" }, { "dropping-particle" : "", "family" : "Wood", "given" : "Wendy", "non-dropping-particle" : "", "parse-names" : false, "suffix" : "" }, { "dropping-particle" : "", "family" : "Labrecque", "given" : "Jennifer S.", "non-dropping-particle" : "", "parse-names" : false, "suffix" : "" }, { "dropping-particle" : "", "family" : "Lally", "given" : "Phillippa", "non-dropping-particle" : "", "parse-names" : false, "suffix" : "" } ], "container-title" : "Journal of Experimental Social Psychology", "id" : "ITEM-1", "issue" : "2", "issued" : { "date-parts" : [ [ "2012" ] ] }, "page" : "492-498", "title" : "How do habits guide behavior? Perceived and actual triggers of habits in daily life", "type" : "article-journal", "volume" : "48" }, "uris" : [ "http://www.mendeley.com/documents/?uuid=e87a586a-7a54-31e4-9292-ade5611c07cc" ] } ], "mendeley" : { "formattedCitation" : "(Neal et al., 2012)", "plainTextFormattedCitation" : "(Neal et al., 2012)", "previouslyFormattedCitation" : "(Neal et al., 2012)" }, "properties" : { "noteIndex" : 0 }, "schema" : "https://github.com/citation-style-language/schema/raw/master/csl-citation.json" }</w:instrText>
      </w:r>
      <w:r w:rsidR="00B06E70">
        <w:rPr>
          <w:sz w:val="24"/>
          <w:szCs w:val="24"/>
        </w:rPr>
        <w:fldChar w:fldCharType="separate"/>
      </w:r>
      <w:r w:rsidR="00B3516D" w:rsidRPr="00B3516D">
        <w:rPr>
          <w:noProof/>
          <w:sz w:val="24"/>
          <w:szCs w:val="24"/>
        </w:rPr>
        <w:t>(Neal et al., 2012)</w:t>
      </w:r>
      <w:r w:rsidR="00B06E70">
        <w:rPr>
          <w:sz w:val="24"/>
          <w:szCs w:val="24"/>
        </w:rPr>
        <w:fldChar w:fldCharType="end"/>
      </w:r>
      <w:r w:rsidRPr="00D05EBD">
        <w:rPr>
          <w:sz w:val="24"/>
          <w:szCs w:val="24"/>
        </w:rPr>
        <w:t>. Comparing the use of IER strategies between people close to each other and people non-close to each other, may help to identify the kind of relationship where AIER is more likely</w:t>
      </w:r>
      <w:r w:rsidR="004B283F">
        <w:rPr>
          <w:sz w:val="24"/>
          <w:szCs w:val="24"/>
        </w:rPr>
        <w:t xml:space="preserve"> to</w:t>
      </w:r>
      <w:r w:rsidRPr="00D05EBD">
        <w:rPr>
          <w:sz w:val="24"/>
          <w:szCs w:val="24"/>
        </w:rPr>
        <w:t xml:space="preserve"> happen.</w:t>
      </w:r>
      <w:r w:rsidR="004B283F">
        <w:rPr>
          <w:sz w:val="24"/>
          <w:szCs w:val="24"/>
        </w:rPr>
        <w:t xml:space="preserve"> Furthermore, using the SRBAI to explore AIER may provide researchers on AER with an initial point to explore AIER, as it would be the first time this scale would be used to study AIER.</w:t>
      </w:r>
      <w:r w:rsidRPr="00D05EBD">
        <w:rPr>
          <w:sz w:val="24"/>
          <w:szCs w:val="24"/>
        </w:rPr>
        <w:t xml:space="preserve"> Based on the evidence provided in the introduction of this chapter Study 1 predicts that: </w:t>
      </w:r>
      <w:proofErr w:type="spellStart"/>
      <w:r w:rsidRPr="00D05EBD">
        <w:rPr>
          <w:sz w:val="24"/>
          <w:szCs w:val="24"/>
        </w:rPr>
        <w:t>i</w:t>
      </w:r>
      <w:proofErr w:type="spellEnd"/>
      <w:r w:rsidRPr="00D05EBD">
        <w:rPr>
          <w:sz w:val="24"/>
          <w:szCs w:val="24"/>
        </w:rPr>
        <w:t xml:space="preserve">) </w:t>
      </w:r>
      <w:r w:rsidRPr="00D05EBD">
        <w:rPr>
          <w:i/>
          <w:sz w:val="24"/>
          <w:szCs w:val="24"/>
        </w:rPr>
        <w:t>the</w:t>
      </w:r>
      <w:r w:rsidRPr="00D05EBD">
        <w:rPr>
          <w:sz w:val="24"/>
          <w:szCs w:val="24"/>
        </w:rPr>
        <w:t xml:space="preserve"> </w:t>
      </w:r>
      <w:r w:rsidRPr="00D05EBD">
        <w:rPr>
          <w:i/>
          <w:sz w:val="24"/>
          <w:szCs w:val="24"/>
        </w:rPr>
        <w:t>strategies aimed at improving someone else's emotions will be reported by participants as being used more automatically when interacting with a close other but not when interacting with an acquaintance,</w:t>
      </w:r>
      <w:r w:rsidRPr="00D05EBD">
        <w:rPr>
          <w:sz w:val="24"/>
          <w:szCs w:val="24"/>
        </w:rPr>
        <w:t xml:space="preserve"> </w:t>
      </w:r>
      <w:r w:rsidRPr="00D05EBD">
        <w:rPr>
          <w:i/>
          <w:sz w:val="24"/>
          <w:szCs w:val="24"/>
        </w:rPr>
        <w:t>ii)</w:t>
      </w:r>
      <w:r w:rsidRPr="00D05EBD">
        <w:rPr>
          <w:sz w:val="24"/>
          <w:szCs w:val="24"/>
        </w:rPr>
        <w:t xml:space="preserve"> </w:t>
      </w:r>
      <w:r w:rsidRPr="00D05EBD">
        <w:rPr>
          <w:i/>
          <w:sz w:val="24"/>
          <w:szCs w:val="24"/>
        </w:rPr>
        <w:t>the</w:t>
      </w:r>
      <w:r w:rsidRPr="00D05EBD">
        <w:rPr>
          <w:sz w:val="24"/>
          <w:szCs w:val="24"/>
        </w:rPr>
        <w:t xml:space="preserve"> </w:t>
      </w:r>
      <w:r w:rsidRPr="00D05EBD">
        <w:rPr>
          <w:i/>
          <w:sz w:val="24"/>
          <w:szCs w:val="24"/>
        </w:rPr>
        <w:t xml:space="preserve">strategies aimed at worsening someone else’s emotions will be reported as more </w:t>
      </w:r>
      <w:r w:rsidRPr="00D05EBD">
        <w:rPr>
          <w:i/>
          <w:sz w:val="24"/>
          <w:szCs w:val="24"/>
        </w:rPr>
        <w:lastRenderedPageBreak/>
        <w:t>automatic when the participant reports on a person close to them than when the participant reports on an acquaintance and</w:t>
      </w:r>
      <w:r w:rsidRPr="00D05EBD">
        <w:rPr>
          <w:sz w:val="24"/>
          <w:szCs w:val="24"/>
        </w:rPr>
        <w:t xml:space="preserve">, </w:t>
      </w:r>
      <w:r w:rsidRPr="00D05EBD">
        <w:rPr>
          <w:i/>
          <w:sz w:val="24"/>
          <w:szCs w:val="24"/>
        </w:rPr>
        <w:t>iii)</w:t>
      </w:r>
      <w:r w:rsidRPr="00D05EBD">
        <w:rPr>
          <w:sz w:val="24"/>
          <w:szCs w:val="24"/>
        </w:rPr>
        <w:t xml:space="preserve"> </w:t>
      </w:r>
      <w:r w:rsidRPr="00D05EBD">
        <w:rPr>
          <w:i/>
          <w:sz w:val="24"/>
          <w:szCs w:val="24"/>
        </w:rPr>
        <w:t xml:space="preserve">participants will report using more automatic forms of IER aimed at improving the emotions of someone else, both with close others and with acquaintances.  </w:t>
      </w:r>
    </w:p>
    <w:p w:rsidR="00FB1389" w:rsidRPr="00D05EBD" w:rsidRDefault="00FB1389" w:rsidP="00AE640B">
      <w:pPr>
        <w:spacing w:after="0" w:line="480" w:lineRule="auto"/>
        <w:jc w:val="both"/>
        <w:rPr>
          <w:sz w:val="24"/>
          <w:szCs w:val="24"/>
        </w:rPr>
      </w:pPr>
      <w:r w:rsidRPr="00D05EBD">
        <w:rPr>
          <w:b/>
          <w:sz w:val="24"/>
          <w:szCs w:val="24"/>
        </w:rPr>
        <w:t xml:space="preserve"> </w:t>
      </w:r>
    </w:p>
    <w:p w:rsidR="00FB1389" w:rsidRPr="00D05EBD" w:rsidRDefault="00FB1389" w:rsidP="00AE640B">
      <w:pPr>
        <w:keepNext/>
        <w:spacing w:after="0" w:line="480" w:lineRule="auto"/>
        <w:jc w:val="both"/>
        <w:rPr>
          <w:b/>
          <w:sz w:val="24"/>
          <w:szCs w:val="24"/>
        </w:rPr>
      </w:pPr>
      <w:r w:rsidRPr="00D05EBD">
        <w:rPr>
          <w:b/>
          <w:sz w:val="24"/>
          <w:szCs w:val="24"/>
        </w:rPr>
        <w:tab/>
        <w:t>2.3.1 Method</w:t>
      </w:r>
    </w:p>
    <w:p w:rsidR="00FB1389" w:rsidRPr="00D05EBD" w:rsidRDefault="00FB1389" w:rsidP="00AE640B">
      <w:pPr>
        <w:keepNext/>
        <w:spacing w:after="0" w:line="480" w:lineRule="auto"/>
        <w:jc w:val="both"/>
        <w:rPr>
          <w:i/>
          <w:sz w:val="24"/>
          <w:szCs w:val="24"/>
        </w:rPr>
      </w:pPr>
      <w:r w:rsidRPr="00D05EBD">
        <w:rPr>
          <w:b/>
          <w:sz w:val="24"/>
          <w:szCs w:val="24"/>
        </w:rPr>
        <w:tab/>
      </w:r>
      <w:r w:rsidRPr="00D05EBD">
        <w:rPr>
          <w:b/>
          <w:sz w:val="24"/>
          <w:szCs w:val="24"/>
        </w:rPr>
        <w:tab/>
      </w:r>
      <w:r w:rsidRPr="00D05EBD">
        <w:rPr>
          <w:i/>
          <w:sz w:val="24"/>
          <w:szCs w:val="24"/>
        </w:rPr>
        <w:t>2.3.1.1 Participants</w:t>
      </w:r>
    </w:p>
    <w:p w:rsidR="00FB1389" w:rsidRPr="00D05EBD" w:rsidRDefault="00FB1389" w:rsidP="00AE640B">
      <w:pPr>
        <w:spacing w:after="0" w:line="480" w:lineRule="auto"/>
        <w:jc w:val="both"/>
        <w:rPr>
          <w:b/>
          <w:sz w:val="24"/>
          <w:szCs w:val="24"/>
        </w:rPr>
      </w:pPr>
    </w:p>
    <w:p w:rsidR="00FB1389" w:rsidRPr="00D05EBD" w:rsidRDefault="00FB1389" w:rsidP="00AE640B">
      <w:pPr>
        <w:spacing w:after="0" w:line="480" w:lineRule="auto"/>
        <w:jc w:val="both"/>
        <w:rPr>
          <w:sz w:val="24"/>
          <w:szCs w:val="24"/>
        </w:rPr>
      </w:pPr>
      <w:r w:rsidRPr="00D05EBD">
        <w:rPr>
          <w:sz w:val="24"/>
          <w:szCs w:val="24"/>
        </w:rPr>
        <w:tab/>
        <w:t>185 participants took part in this study (98 women). Ages ranged from 15 to 99</w:t>
      </w:r>
      <w:r w:rsidR="007E5FC8">
        <w:rPr>
          <w:sz w:val="24"/>
          <w:szCs w:val="24"/>
        </w:rPr>
        <w:t xml:space="preserve"> years</w:t>
      </w:r>
      <w:r w:rsidRPr="00D05EBD">
        <w:rPr>
          <w:sz w:val="24"/>
          <w:szCs w:val="24"/>
        </w:rPr>
        <w:t xml:space="preserve"> (</w:t>
      </w:r>
      <w:r w:rsidRPr="00D05EBD">
        <w:rPr>
          <w:i/>
          <w:sz w:val="24"/>
          <w:szCs w:val="24"/>
        </w:rPr>
        <w:t xml:space="preserve">M </w:t>
      </w:r>
      <w:r w:rsidRPr="00D05EBD">
        <w:rPr>
          <w:sz w:val="24"/>
          <w:szCs w:val="24"/>
        </w:rPr>
        <w:t xml:space="preserve">= 32.16 yr, </w:t>
      </w:r>
      <w:r w:rsidRPr="00D05EBD">
        <w:rPr>
          <w:i/>
          <w:sz w:val="24"/>
          <w:szCs w:val="24"/>
        </w:rPr>
        <w:t xml:space="preserve">SD </w:t>
      </w:r>
      <w:r w:rsidRPr="00D05EBD">
        <w:rPr>
          <w:sz w:val="24"/>
          <w:szCs w:val="24"/>
        </w:rPr>
        <w:t xml:space="preserve">= 12.30). 67.6% participants described themselves as white (25.9% UK heritage and 41.6% white other), 17.3% as Latin American, 3.8% as Indian, 1.6 % as Chinese, 1.1% as Pakistani, and 8.6% as other (Turkish, Inuit, Korean, White-Nordic, Asian, East Indian-Caribbean, Bi-racial, Japanese, Arab, Russian, Jewish, American Indian, Scottish, Mixed race, American, Bulgarian). A priori power analysis for a medium effect for a two-way repeated measures ANOVA indicated that 18 participants were sufficient for a power at .80 where p &lt; .05. </w:t>
      </w:r>
    </w:p>
    <w:p w:rsidR="00FB1389" w:rsidRPr="00D05EBD" w:rsidRDefault="00FB1389" w:rsidP="00AE640B">
      <w:pPr>
        <w:spacing w:after="0" w:line="480" w:lineRule="auto"/>
        <w:jc w:val="both"/>
        <w:rPr>
          <w:b/>
          <w:sz w:val="24"/>
          <w:szCs w:val="24"/>
        </w:rPr>
      </w:pPr>
    </w:p>
    <w:p w:rsidR="00FB1389" w:rsidRPr="00D05EBD" w:rsidRDefault="00FB1389" w:rsidP="00AE640B">
      <w:pPr>
        <w:spacing w:after="0" w:line="480" w:lineRule="auto"/>
        <w:jc w:val="both"/>
        <w:rPr>
          <w:i/>
          <w:sz w:val="24"/>
          <w:szCs w:val="24"/>
        </w:rPr>
      </w:pPr>
      <w:r w:rsidRPr="00D05EBD">
        <w:rPr>
          <w:b/>
          <w:sz w:val="24"/>
          <w:szCs w:val="24"/>
        </w:rPr>
        <w:tab/>
      </w:r>
      <w:r w:rsidRPr="00D05EBD">
        <w:rPr>
          <w:b/>
          <w:sz w:val="24"/>
          <w:szCs w:val="24"/>
        </w:rPr>
        <w:tab/>
      </w:r>
      <w:r w:rsidRPr="00D05EBD">
        <w:rPr>
          <w:i/>
          <w:sz w:val="24"/>
          <w:szCs w:val="24"/>
        </w:rPr>
        <w:t>2.3.1.2 Procedure</w:t>
      </w:r>
    </w:p>
    <w:p w:rsidR="00FB1389" w:rsidRPr="00D05EBD" w:rsidRDefault="00FB1389" w:rsidP="00AE640B">
      <w:pPr>
        <w:spacing w:after="0" w:line="480" w:lineRule="auto"/>
        <w:jc w:val="both"/>
        <w:rPr>
          <w:i/>
          <w:sz w:val="24"/>
          <w:szCs w:val="24"/>
        </w:rPr>
      </w:pPr>
    </w:p>
    <w:p w:rsidR="00FB1389" w:rsidRPr="00D05EBD" w:rsidRDefault="00FB1389" w:rsidP="00AE640B">
      <w:pPr>
        <w:spacing w:after="0" w:line="480" w:lineRule="auto"/>
        <w:ind w:firstLine="720"/>
        <w:jc w:val="both"/>
        <w:rPr>
          <w:rFonts w:cs="Arial"/>
          <w:i/>
          <w:color w:val="000000"/>
          <w:sz w:val="24"/>
          <w:szCs w:val="24"/>
          <w:shd w:val="clear" w:color="auto" w:fill="FFFFFF"/>
        </w:rPr>
      </w:pPr>
      <w:r w:rsidRPr="00D05EBD">
        <w:rPr>
          <w:sz w:val="24"/>
          <w:szCs w:val="24"/>
        </w:rPr>
        <w:t xml:space="preserve">Participants were recruited through personal contacts, through snowball sampling and by posting a link to the online questionnaire on the </w:t>
      </w:r>
      <w:r w:rsidRPr="00D05EBD">
        <w:rPr>
          <w:i/>
          <w:sz w:val="24"/>
          <w:szCs w:val="24"/>
        </w:rPr>
        <w:t>r/</w:t>
      </w:r>
      <w:proofErr w:type="spellStart"/>
      <w:r w:rsidRPr="00D05EBD">
        <w:rPr>
          <w:i/>
          <w:sz w:val="24"/>
          <w:szCs w:val="24"/>
        </w:rPr>
        <w:t>SampleSize</w:t>
      </w:r>
      <w:proofErr w:type="spellEnd"/>
      <w:r w:rsidRPr="00D05EBD">
        <w:rPr>
          <w:sz w:val="24"/>
          <w:szCs w:val="24"/>
        </w:rPr>
        <w:t xml:space="preserve"> forum in </w:t>
      </w:r>
      <w:proofErr w:type="spellStart"/>
      <w:r w:rsidRPr="00D05EBD">
        <w:rPr>
          <w:sz w:val="24"/>
          <w:szCs w:val="24"/>
        </w:rPr>
        <w:t>reddit</w:t>
      </w:r>
      <w:proofErr w:type="spellEnd"/>
      <w:r w:rsidRPr="00973AEB">
        <w:rPr>
          <w:rStyle w:val="Refdenotaalpie"/>
        </w:rPr>
        <w:footnoteReference w:id="9"/>
      </w:r>
      <w:r w:rsidRPr="00D05EBD">
        <w:rPr>
          <w:sz w:val="24"/>
          <w:szCs w:val="24"/>
        </w:rPr>
        <w:t xml:space="preserve">. To be eligible to take part, people had to be fluent in English. Once participants </w:t>
      </w:r>
      <w:r w:rsidRPr="00D05EBD">
        <w:rPr>
          <w:sz w:val="24"/>
          <w:szCs w:val="24"/>
        </w:rPr>
        <w:lastRenderedPageBreak/>
        <w:t xml:space="preserve">agreed to take part in the study, they were invited to complete a questionnaire exploring the way in which people manage the emotions of close others and acquaintances (an email with the link to the questionnaire was sent to personal contacts and snowball sampling participants). The questionnaire was designed using an online survey software tool called </w:t>
      </w:r>
      <w:proofErr w:type="spellStart"/>
      <w:r w:rsidRPr="00D05EBD">
        <w:rPr>
          <w:sz w:val="24"/>
          <w:szCs w:val="24"/>
        </w:rPr>
        <w:t>Qualtrics</w:t>
      </w:r>
      <w:proofErr w:type="spellEnd"/>
      <w:r w:rsidRPr="00D05EBD">
        <w:rPr>
          <w:sz w:val="24"/>
          <w:szCs w:val="24"/>
        </w:rPr>
        <w:t xml:space="preserve">. The questionnaire took around 15 minutes to complete. Participants were given two different sets of instructions – to nominate someone that they considered close to them and to nominate an acquaintance. The instructions for nominating the close person were as follows: </w:t>
      </w:r>
      <w:r w:rsidRPr="00D05EBD">
        <w:rPr>
          <w:rFonts w:cs="Arial"/>
          <w:i/>
          <w:color w:val="000000"/>
          <w:sz w:val="24"/>
          <w:szCs w:val="24"/>
          <w:shd w:val="clear" w:color="auto" w:fill="FFFFFF"/>
        </w:rPr>
        <w:t>The next set of questions asks you about your relationship with a person that you feel close to (e.g. that you spend a considerable amount of time with and that you know very well). This person could be a romantic partner, a close friend, a relative, etc.  Please write the (first) name of the person that you are thinking about below (e.g., James).</w:t>
      </w:r>
      <w:r w:rsidRPr="00D05EBD">
        <w:rPr>
          <w:sz w:val="24"/>
          <w:szCs w:val="24"/>
        </w:rPr>
        <w:t xml:space="preserve"> The instructions for nominating the acquaintance were as follows: </w:t>
      </w:r>
      <w:r w:rsidRPr="00D05EBD">
        <w:rPr>
          <w:rFonts w:cs="Arial"/>
          <w:i/>
          <w:color w:val="000000"/>
          <w:sz w:val="24"/>
          <w:szCs w:val="24"/>
          <w:shd w:val="clear" w:color="auto" w:fill="FFFFFF"/>
        </w:rPr>
        <w:t>The next set of questions asks you about your relationship with an acquaintance that you see and talk to rarely (e.g. a work-colleague, the friend of a friend, a neighbour, a distant relative). Please write the (first) name of the person that you are thinking about if you know his/her name (e.g., Emma) or write a word or phrase to refer to this person (e.g. blue house neighbour).</w:t>
      </w:r>
    </w:p>
    <w:p w:rsidR="00FB1389" w:rsidRPr="00D05EBD" w:rsidRDefault="00FB1389" w:rsidP="00AE640B">
      <w:pPr>
        <w:spacing w:after="0" w:line="480" w:lineRule="auto"/>
        <w:ind w:firstLine="720"/>
        <w:jc w:val="both"/>
        <w:rPr>
          <w:sz w:val="24"/>
          <w:szCs w:val="24"/>
        </w:rPr>
      </w:pPr>
      <w:r w:rsidRPr="00D05EBD">
        <w:rPr>
          <w:sz w:val="24"/>
          <w:szCs w:val="24"/>
        </w:rPr>
        <w:t xml:space="preserve">Having nominated someone close and an acquaintance, participants </w:t>
      </w:r>
      <w:r w:rsidR="007E5FC8" w:rsidRPr="00D05EBD">
        <w:rPr>
          <w:sz w:val="24"/>
          <w:szCs w:val="24"/>
        </w:rPr>
        <w:t>were asked about how close they feel to each of the nominated people as a check on the manipulation</w:t>
      </w:r>
      <w:r w:rsidR="007E5FC8">
        <w:rPr>
          <w:sz w:val="24"/>
          <w:szCs w:val="24"/>
        </w:rPr>
        <w:t>. After, participants</w:t>
      </w:r>
      <w:r w:rsidR="007E5FC8" w:rsidRPr="00D05EBD">
        <w:rPr>
          <w:sz w:val="24"/>
          <w:szCs w:val="24"/>
        </w:rPr>
        <w:t xml:space="preserve"> </w:t>
      </w:r>
      <w:r w:rsidRPr="00D05EBD">
        <w:rPr>
          <w:sz w:val="24"/>
          <w:szCs w:val="24"/>
        </w:rPr>
        <w:t xml:space="preserve">completed two different measures for each one of their nominees, thus completing 4 measures in total. </w:t>
      </w:r>
      <w:r w:rsidR="007E5FC8">
        <w:rPr>
          <w:sz w:val="24"/>
          <w:szCs w:val="24"/>
        </w:rPr>
        <w:t>Each of these measures asked participants how</w:t>
      </w:r>
      <w:r w:rsidRPr="00D05EBD">
        <w:rPr>
          <w:sz w:val="24"/>
          <w:szCs w:val="24"/>
        </w:rPr>
        <w:t xml:space="preserve"> they regulate the emotions of each of these people</w:t>
      </w:r>
      <w:r w:rsidR="007E5FC8">
        <w:rPr>
          <w:sz w:val="24"/>
          <w:szCs w:val="24"/>
        </w:rPr>
        <w:t xml:space="preserve"> (i.e. how participants make their nominated close-others and acquaintances feel good or bad)</w:t>
      </w:r>
      <w:r w:rsidRPr="00D05EBD">
        <w:rPr>
          <w:sz w:val="24"/>
          <w:szCs w:val="24"/>
        </w:rPr>
        <w:t xml:space="preserve">. </w:t>
      </w:r>
      <w:r w:rsidRPr="00D05EBD">
        <w:rPr>
          <w:sz w:val="24"/>
          <w:szCs w:val="24"/>
        </w:rPr>
        <w:lastRenderedPageBreak/>
        <w:t>The order of the four measures was counterbalanced. Participants were informed their answers would be anonymous and that the study had received ethical approval from the Research Ethics Committee in the Department of Psychology</w:t>
      </w:r>
      <w:r w:rsidR="00D04317">
        <w:rPr>
          <w:sz w:val="24"/>
          <w:szCs w:val="24"/>
        </w:rPr>
        <w:t xml:space="preserve"> at the University of Sheffield. </w:t>
      </w:r>
      <w:r w:rsidRPr="00D05EBD">
        <w:rPr>
          <w:sz w:val="24"/>
          <w:szCs w:val="24"/>
        </w:rPr>
        <w:t>Informed consent was obtained from each of the participants at the start of the survey. The survey was online for a month; the completion rate was 44%.</w:t>
      </w:r>
    </w:p>
    <w:p w:rsidR="00FB1389" w:rsidRPr="00D05EBD" w:rsidRDefault="00FB1389" w:rsidP="00AE640B">
      <w:pPr>
        <w:spacing w:after="0" w:line="480" w:lineRule="auto"/>
        <w:jc w:val="both"/>
        <w:rPr>
          <w:b/>
          <w:sz w:val="24"/>
          <w:szCs w:val="24"/>
        </w:rPr>
      </w:pPr>
    </w:p>
    <w:p w:rsidR="00FB1389" w:rsidRPr="00D05EBD" w:rsidRDefault="00FB1389" w:rsidP="00AE640B">
      <w:pPr>
        <w:spacing w:after="0" w:line="480" w:lineRule="auto"/>
        <w:jc w:val="both"/>
        <w:rPr>
          <w:i/>
          <w:sz w:val="24"/>
          <w:szCs w:val="24"/>
        </w:rPr>
      </w:pPr>
      <w:r w:rsidRPr="00D05EBD">
        <w:rPr>
          <w:b/>
          <w:sz w:val="24"/>
          <w:szCs w:val="24"/>
        </w:rPr>
        <w:tab/>
      </w:r>
      <w:r w:rsidRPr="00D05EBD">
        <w:rPr>
          <w:b/>
          <w:sz w:val="24"/>
          <w:szCs w:val="24"/>
        </w:rPr>
        <w:tab/>
      </w:r>
      <w:r w:rsidRPr="00D05EBD">
        <w:rPr>
          <w:i/>
          <w:sz w:val="24"/>
          <w:szCs w:val="24"/>
        </w:rPr>
        <w:t>2.3.1.3 Materials</w:t>
      </w:r>
      <w:r w:rsidR="005C1643">
        <w:rPr>
          <w:rStyle w:val="Refdenotaalpie"/>
          <w:i/>
          <w:sz w:val="24"/>
          <w:szCs w:val="24"/>
        </w:rPr>
        <w:footnoteReference w:id="10"/>
      </w:r>
    </w:p>
    <w:p w:rsidR="00FB1389" w:rsidRPr="00D05EBD" w:rsidRDefault="00FB1389" w:rsidP="00AE640B">
      <w:pPr>
        <w:spacing w:after="0" w:line="480" w:lineRule="auto"/>
        <w:jc w:val="both"/>
        <w:rPr>
          <w:i/>
          <w:sz w:val="24"/>
          <w:szCs w:val="24"/>
        </w:rPr>
      </w:pPr>
    </w:p>
    <w:p w:rsidR="00FB1389" w:rsidRPr="00D05EBD" w:rsidRDefault="00FB1389" w:rsidP="00AE640B">
      <w:pPr>
        <w:spacing w:after="0" w:line="480" w:lineRule="auto"/>
        <w:jc w:val="both"/>
        <w:rPr>
          <w:sz w:val="24"/>
          <w:szCs w:val="24"/>
        </w:rPr>
      </w:pPr>
      <w:r w:rsidRPr="00D05EBD">
        <w:rPr>
          <w:i/>
          <w:sz w:val="24"/>
          <w:szCs w:val="24"/>
        </w:rPr>
        <w:tab/>
        <w:t xml:space="preserve">The </w:t>
      </w:r>
      <w:proofErr w:type="spellStart"/>
      <w:r w:rsidRPr="00D05EBD">
        <w:rPr>
          <w:i/>
          <w:sz w:val="24"/>
          <w:szCs w:val="24"/>
        </w:rPr>
        <w:t>Unidimensional</w:t>
      </w:r>
      <w:proofErr w:type="spellEnd"/>
      <w:r w:rsidRPr="00D05EBD">
        <w:rPr>
          <w:i/>
          <w:sz w:val="24"/>
          <w:szCs w:val="24"/>
        </w:rPr>
        <w:t xml:space="preserve"> Relationship Closeness Scale </w:t>
      </w:r>
      <w:r w:rsidRPr="00D05EBD">
        <w:rPr>
          <w:sz w:val="24"/>
          <w:szCs w:val="24"/>
        </w:rPr>
        <w:t>(URCS;</w:t>
      </w:r>
      <w:r w:rsidR="00B06E70">
        <w:rPr>
          <w:sz w:val="24"/>
          <w:szCs w:val="24"/>
        </w:rPr>
        <w:fldChar w:fldCharType="begin" w:fldLock="1"/>
      </w:r>
      <w:r w:rsidR="00691B49">
        <w:rPr>
          <w:sz w:val="24"/>
          <w:szCs w:val="24"/>
        </w:rPr>
        <w:instrText>ADDIN CSL_CITATION { "citationItems" : [ { "id" : "ITEM-1", "itemData" : { "DOI" : "10.1037/a0026265", "ISBN" : "1939-134X(Electronic);1040-3590(Print)", "ISSN" : "1040-3590", "PMID" : "22082035", "abstract" : "A fundamental dimension along which all social and personal relationships vary is closeness. The Unidimensional Relationship Closeness Scale (URCS) is a 12-item self-report scale measuring the closeness of social and personal relationships. The reliability and validity of the URCS were assessed with college dating couples (N = 192), female friends and strangers (N = 330), friends (N = 170), and family members (N = 155). The results show that the scale is unidimensional, with high reliability across relationship types (M \u03b1 = .96). Evidence consistent with validity included substantial within-couple agreement for the romantic couples (intraclass correlation = .41), substantial friend-stranger discrimination for the female friends (\u03b7\u00b2 = .82), and measurement invariance across relationship types. Evidence of convergent and divergent validity was obtained for inclusion of other in the self and relational satisfaction, respectively.", "author" : [ { "dropping-particle" : "", "family" : "Dibble", "given" : "Jayson L", "non-dropping-particle" : "", "parse-names" : false, "suffix" : "" }, { "dropping-particle" : "", "family" : "Levine", "given" : "Timothy R", "non-dropping-particle" : "", "parse-names" : false, "suffix" : "" }, { "dropping-particle" : "", "family" : "Park", "given" : "Hee Sun", "non-dropping-particle" : "", "parse-names" : false, "suffix" : "" } ], "container-title" : "Psychological Assessment", "id" : "ITEM-1", "issue" : "3", "issued" : { "date-parts" : [ [ "2012" ] ] }, "page" : "565-572", "title" : "The Unidimensional Relationship Closeness Scale (URCS): Reliability and validity evidence for a new measure of relationship closeness.", "type" : "article-journal", "volume" : "24" }, "uris" : [ "http://www.mendeley.com/documents/?uuid=ea4bd3ef-ea05-3bc9-a7b6-795af4069eb2" ] } ], "mendeley" : { "formattedCitation" : "(Dibble, Levine, &amp; Park, 2012)", "manualFormatting" : " Dibble, Levine, &amp; Park, 2012)", "plainTextFormattedCitation" : "(Dibble, Levine, &amp; Park, 2012)", "previouslyFormattedCitation" : "(Dibble, Levine, &amp; Park, 2012)" }, "properties" : { "noteIndex" : 0 }, "schema" : "https://github.com/citation-style-language/schema/raw/master/csl-citation.json" }</w:instrText>
      </w:r>
      <w:r w:rsidR="00B06E70">
        <w:rPr>
          <w:sz w:val="24"/>
          <w:szCs w:val="24"/>
        </w:rPr>
        <w:fldChar w:fldCharType="separate"/>
      </w:r>
      <w:r w:rsidR="00691B49">
        <w:rPr>
          <w:noProof/>
          <w:sz w:val="24"/>
          <w:szCs w:val="24"/>
        </w:rPr>
        <w:t xml:space="preserve"> </w:t>
      </w:r>
      <w:r w:rsidR="00691B49" w:rsidRPr="00691B49">
        <w:rPr>
          <w:noProof/>
          <w:sz w:val="24"/>
          <w:szCs w:val="24"/>
        </w:rPr>
        <w:t>Dibble, Levine, &amp; Park, 2012)</w:t>
      </w:r>
      <w:r w:rsidR="00B06E70">
        <w:rPr>
          <w:sz w:val="24"/>
          <w:szCs w:val="24"/>
        </w:rPr>
        <w:fldChar w:fldCharType="end"/>
      </w:r>
      <w:r w:rsidRPr="00D05EBD">
        <w:rPr>
          <w:sz w:val="24"/>
          <w:szCs w:val="24"/>
        </w:rPr>
        <w:t xml:space="preserve"> was used to explore how close participants felt to their nominated "close other" and to their nominated "acquaintance". Relationship closeness is defined here as the degree of interdependence occurring between relationship partners that can be experienced cognitively, emotionally, and behaviourally, and that can vary temporally within and across relationships</w:t>
      </w:r>
      <w:r w:rsidR="00691B49">
        <w:rPr>
          <w:sz w:val="24"/>
          <w:szCs w:val="24"/>
        </w:rPr>
        <w:t xml:space="preserve"> </w:t>
      </w:r>
      <w:r w:rsidR="00B06E70">
        <w:rPr>
          <w:sz w:val="24"/>
          <w:szCs w:val="24"/>
        </w:rPr>
        <w:fldChar w:fldCharType="begin" w:fldLock="1"/>
      </w:r>
      <w:r w:rsidR="00691B49">
        <w:rPr>
          <w:sz w:val="24"/>
          <w:szCs w:val="24"/>
        </w:rPr>
        <w:instrText>ADDIN CSL_CITATION { "citationItems" : [ { "id" : "ITEM-1", "itemData" : { "DOI" : "10.1037/a0026265", "ISBN" : "1939-134X(Electronic);1040-3590(Print)", "ISSN" : "1040-3590", "PMID" : "22082035", "abstract" : "A fundamental dimension along which all social and personal relationships vary is closeness. The Unidimensional Relationship Closeness Scale (URCS) is a 12-item self-report scale measuring the closeness of social and personal relationships. The reliability and validity of the URCS were assessed with college dating couples (N = 192), female friends and strangers (N = 330), friends (N = 170), and family members (N = 155). The results show that the scale is unidimensional, with high reliability across relationship types (M \u03b1 = .96). Evidence consistent with validity included substantial within-couple agreement for the romantic couples (intraclass correlation = .41), substantial friend-stranger discrimination for the female friends (\u03b7\u00b2 = .82), and measurement invariance across relationship types. Evidence of convergent and divergent validity was obtained for inclusion of other in the self and relational satisfaction, respectively.", "author" : [ { "dropping-particle" : "", "family" : "Dibble", "given" : "Jayson L", "non-dropping-particle" : "", "parse-names" : false, "suffix" : "" }, { "dropping-particle" : "", "family" : "Levine", "given" : "Timothy R", "non-dropping-particle" : "", "parse-names" : false, "suffix" : "" }, { "dropping-particle" : "", "family" : "Park", "given" : "Hee Sun", "non-dropping-particle" : "", "parse-names" : false, "suffix" : "" } ], "container-title" : "Psychological Assessment", "id" : "ITEM-1", "issue" : "3", "issued" : { "date-parts" : [ [ "2012" ] ] }, "page" : "565-572", "title" : "The Unidimensional Relationship Closeness Scale (URCS): Reliability and validity evidence for a new measure of relationship closeness.", "type" : "article-journal", "volume" : "24" }, "uris" : [ "http://www.mendeley.com/documents/?uuid=ea4bd3ef-ea05-3bc9-a7b6-795af4069eb2" ] } ], "mendeley" : { "formattedCitation" : "(Dibble et al., 2012)", "plainTextFormattedCitation" : "(Dibble et al., 2012)", "previouslyFormattedCitation" : "(Dibble et al., 2012)" }, "properties" : { "noteIndex" : 0 }, "schema" : "https://github.com/citation-style-language/schema/raw/master/csl-citation.json" }</w:instrText>
      </w:r>
      <w:r w:rsidR="00B06E70">
        <w:rPr>
          <w:sz w:val="24"/>
          <w:szCs w:val="24"/>
        </w:rPr>
        <w:fldChar w:fldCharType="separate"/>
      </w:r>
      <w:r w:rsidR="00691B49" w:rsidRPr="00691B49">
        <w:rPr>
          <w:noProof/>
          <w:sz w:val="24"/>
          <w:szCs w:val="24"/>
        </w:rPr>
        <w:t>(Dibble et al., 2012)</w:t>
      </w:r>
      <w:r w:rsidR="00B06E70">
        <w:rPr>
          <w:sz w:val="24"/>
          <w:szCs w:val="24"/>
        </w:rPr>
        <w:fldChar w:fldCharType="end"/>
      </w:r>
      <w:r w:rsidRPr="00D05EBD">
        <w:rPr>
          <w:sz w:val="24"/>
          <w:szCs w:val="24"/>
        </w:rPr>
        <w:t>.</w:t>
      </w:r>
      <w:r w:rsidR="00691B49">
        <w:rPr>
          <w:sz w:val="24"/>
          <w:szCs w:val="24"/>
        </w:rPr>
        <w:t xml:space="preserve"> </w:t>
      </w:r>
      <w:r w:rsidRPr="00D05EBD">
        <w:rPr>
          <w:sz w:val="24"/>
          <w:szCs w:val="24"/>
        </w:rPr>
        <w:t xml:space="preserve">The URCS consists of 12 items that participants were asked to respond to on a 7-point Likert scale where 1 reflects a total lack of meaningful relationship closeness and 7 reflects the highest relationship closeness. Examples of these items included: </w:t>
      </w:r>
      <w:r w:rsidRPr="00D05EBD">
        <w:rPr>
          <w:i/>
          <w:sz w:val="24"/>
          <w:szCs w:val="24"/>
        </w:rPr>
        <w:t>#nominee# and I have a strong connection, #nominee# and I disclose important personal things to each other</w:t>
      </w:r>
      <w:r w:rsidRPr="00D05EBD">
        <w:rPr>
          <w:sz w:val="24"/>
          <w:szCs w:val="24"/>
        </w:rPr>
        <w:t>. The 12 items of the URCS proved internally reliable (</w:t>
      </w:r>
      <w:r w:rsidRPr="00D05EBD">
        <w:rPr>
          <w:i/>
          <w:sz w:val="24"/>
          <w:szCs w:val="24"/>
        </w:rPr>
        <w:t xml:space="preserve">α </w:t>
      </w:r>
      <w:r w:rsidR="003210F6">
        <w:rPr>
          <w:sz w:val="24"/>
          <w:szCs w:val="24"/>
        </w:rPr>
        <w:t>= .90)</w:t>
      </w:r>
      <w:r w:rsidRPr="00D05EBD">
        <w:rPr>
          <w:sz w:val="24"/>
          <w:szCs w:val="24"/>
        </w:rPr>
        <w:t xml:space="preserve">. </w:t>
      </w:r>
    </w:p>
    <w:p w:rsidR="00FB1389" w:rsidRPr="00D05EBD" w:rsidRDefault="00FB1389" w:rsidP="00AE640B">
      <w:pPr>
        <w:spacing w:after="0" w:line="480" w:lineRule="auto"/>
        <w:jc w:val="both"/>
        <w:rPr>
          <w:i/>
          <w:sz w:val="24"/>
          <w:szCs w:val="24"/>
        </w:rPr>
      </w:pPr>
    </w:p>
    <w:p w:rsidR="00FB1389" w:rsidRPr="00D05EBD" w:rsidRDefault="00FB1389" w:rsidP="00AE640B">
      <w:pPr>
        <w:spacing w:after="0" w:line="480" w:lineRule="auto"/>
        <w:jc w:val="both"/>
        <w:rPr>
          <w:sz w:val="24"/>
          <w:szCs w:val="24"/>
        </w:rPr>
      </w:pPr>
      <w:r w:rsidRPr="00D05EBD">
        <w:rPr>
          <w:i/>
          <w:sz w:val="24"/>
          <w:szCs w:val="24"/>
        </w:rPr>
        <w:tab/>
        <w:t>The Self-report behavioural automaticity index</w:t>
      </w:r>
      <w:r w:rsidRPr="00D05EBD">
        <w:rPr>
          <w:sz w:val="24"/>
          <w:szCs w:val="24"/>
        </w:rPr>
        <w:t xml:space="preserve"> (SRBAI; </w:t>
      </w:r>
      <w:r w:rsidR="00B06E70">
        <w:rPr>
          <w:sz w:val="24"/>
          <w:szCs w:val="24"/>
        </w:rPr>
        <w:fldChar w:fldCharType="begin" w:fldLock="1"/>
      </w:r>
      <w:r w:rsidR="00691B49">
        <w:rPr>
          <w:sz w:val="24"/>
          <w:szCs w:val="24"/>
        </w:rPr>
        <w:instrText>ADDIN CSL_CITATION { "citationItems" : [ { "id" : "ITEM-1", "itemData" : { "DOI" : "10.1186/1479-5868-9-102", "ISBN" : "14795868 (ISSN)", "ISSN" : "1479-5868", "PMID" : "22935297", "abstract" : "BACKGROUND: The twelve-item Self-Report Habit Index (SRHI) is the most popular measure of energy-balance related habits. This measure characterises habit by automatic activation, behavioural frequency, and relevance to self-identity. Previous empirical research suggests that the SRHI may be abbreviated with no losses in reliability or predictive utility. Drawing on recent theorising suggesting that automaticity is the 'active ingredient' of habit-behaviour relationships, we tested whether an automaticity-specific SRHI subscale could capture habit-based behaviour patterns in self-report data.\\n\\nMETHODS: A content validity task was undertaken to identify a subset of automaticity indicators within the SRHI. The reliability, convergent validity and predictive validity of the automaticity item subset was subsequently tested in secondary analyses of all previous SRHI applications, identified via systematic review, and in primary analyses of four raw datasets relating to energy-balance relevant behaviours (inactive travel, active travel, snacking, and alcohol consumption).\\n\\nRESULTS: A four-item automaticity subscale (the 'Self-Report Behavioural Automaticity Index'; 'SRBAI') was found to be reliable and sensitive to two hypothesised effects of habit on behaviour: a habit-behaviour correlation, and a moderating effect of habit on the intention-behaviour relationship.\\n\\nCONCLUSION: The SRBAI offers a parsimonious measure that adequately captures habitual behaviour patterns. The SRBAI may be of particular utility in predicting future behaviour and in studies tracking habit formation or disruption.", "author" : [ { "dropping-particle" : "", "family" : "Gardner", "given" : "Benjamin", "non-dropping-particle" : "", "parse-names" : false, "suffix" : "" }, { "dropping-particle" : "", "family" : "Abraham", "given" : "Charles", "non-dropping-particle" : "", "parse-names" : false, "suffix" : "" }, { "dropping-particle" : "", "family" : "Lally", "given" : "Phillippa", "non-dropping-particle" : "", "parse-names" : false, "suffix" : "" }, { "dropping-particle" : "", "family" : "Bruijn", "given" : "Gert-Jan", "non-dropping-particle" : "de", "parse-names" : false, "suffix" : "" } ], "container-title" : "The international journal of behavioral nutrition and physical activity", "id" : "ITEM-1", "issued" : { "date-parts" : [ [ "2012" ] ] }, "page" : "102", "title" : "Towards parsimony in habit measurement: testing the convergent and predictive validity of an automaticity subscale of the Self-Report Habit Index.", "type" : "article-journal", "volume" : "9" }, "uris" : [ "http://www.mendeley.com/documents/?uuid=fba3267a-b7e4-36cf-bffd-b02de7b1d6ca" ] } ], "mendeley" : { "formattedCitation" : "(Gardner et al., 2012)", "manualFormatting" : "Gardner et al., 2012)", "plainTextFormattedCitation" : "(Gardner et al., 2012)", "previouslyFormattedCitation" : "(Gardner et al., 2012)" }, "properties" : { "noteIndex" : 0 }, "schema" : "https://github.com/citation-style-language/schema/raw/master/csl-citation.json" }</w:instrText>
      </w:r>
      <w:r w:rsidR="00B06E70">
        <w:rPr>
          <w:sz w:val="24"/>
          <w:szCs w:val="24"/>
        </w:rPr>
        <w:fldChar w:fldCharType="separate"/>
      </w:r>
      <w:r w:rsidR="00691B49" w:rsidRPr="00691B49">
        <w:rPr>
          <w:noProof/>
          <w:sz w:val="24"/>
          <w:szCs w:val="24"/>
        </w:rPr>
        <w:t>Gardner et al., 2012)</w:t>
      </w:r>
      <w:r w:rsidR="00B06E70">
        <w:rPr>
          <w:sz w:val="24"/>
          <w:szCs w:val="24"/>
        </w:rPr>
        <w:fldChar w:fldCharType="end"/>
      </w:r>
      <w:r w:rsidR="00691B49">
        <w:rPr>
          <w:sz w:val="24"/>
          <w:szCs w:val="24"/>
        </w:rPr>
        <w:t xml:space="preserve"> </w:t>
      </w:r>
      <w:r w:rsidRPr="00D05EBD">
        <w:rPr>
          <w:sz w:val="24"/>
          <w:szCs w:val="24"/>
        </w:rPr>
        <w:t xml:space="preserve">was used to explore the automaticity of IER. The SRBAI is composed of 4 items with answers ranging from 1 (completely disagree) to 7 (completely agree). The questionnaire for the </w:t>
      </w:r>
      <w:r w:rsidRPr="00D05EBD">
        <w:rPr>
          <w:sz w:val="24"/>
          <w:szCs w:val="24"/>
        </w:rPr>
        <w:lastRenderedPageBreak/>
        <w:t>present research used three of these</w:t>
      </w:r>
      <w:r w:rsidR="003210F6">
        <w:rPr>
          <w:sz w:val="24"/>
          <w:szCs w:val="24"/>
        </w:rPr>
        <w:t xml:space="preserve"> items to explore AIER (i.e</w:t>
      </w:r>
      <w:r w:rsidRPr="00D05EBD">
        <w:rPr>
          <w:sz w:val="24"/>
          <w:szCs w:val="24"/>
        </w:rPr>
        <w:t>. “</w:t>
      </w:r>
      <w:r w:rsidRPr="00D05EBD">
        <w:rPr>
          <w:i/>
          <w:sz w:val="24"/>
          <w:szCs w:val="24"/>
        </w:rPr>
        <w:t>Behaviour x” is something I do automatically, “Behaviour x” is something I do without thinking</w:t>
      </w:r>
      <w:r w:rsidRPr="00D05EBD">
        <w:rPr>
          <w:sz w:val="24"/>
          <w:szCs w:val="24"/>
        </w:rPr>
        <w:t>, and, “</w:t>
      </w:r>
      <w:r w:rsidRPr="00D05EBD">
        <w:rPr>
          <w:i/>
          <w:sz w:val="24"/>
          <w:szCs w:val="24"/>
        </w:rPr>
        <w:t>Behaviour x” is something I start doing before I realise I am doing it</w:t>
      </w:r>
      <w:r w:rsidRPr="00D05EBD">
        <w:rPr>
          <w:sz w:val="24"/>
          <w:szCs w:val="24"/>
        </w:rPr>
        <w:t>)</w:t>
      </w:r>
      <w:r w:rsidRPr="00973AEB">
        <w:rPr>
          <w:rStyle w:val="Refdenotaalpie"/>
        </w:rPr>
        <w:footnoteReference w:id="11"/>
      </w:r>
      <w:r w:rsidRPr="00D05EBD">
        <w:rPr>
          <w:sz w:val="24"/>
          <w:szCs w:val="24"/>
        </w:rPr>
        <w:t xml:space="preserve">. Participants responded to each of these items with respect to 13 IER strategies taken from the Classification of Controlled Interpersonal Affect Regulation Strategies </w:t>
      </w:r>
      <w:r w:rsidR="00B06E70">
        <w:rPr>
          <w:sz w:val="24"/>
          <w:szCs w:val="24"/>
        </w:rPr>
        <w:fldChar w:fldCharType="begin" w:fldLock="1"/>
      </w:r>
      <w:r w:rsidR="00E747F1">
        <w:rPr>
          <w:sz w:val="24"/>
          <w:szCs w:val="24"/>
        </w:rPr>
        <w:instrText>ADDIN CSL_CITATION { "citationItems" : [ { "id" : "ITEM-1", "itemData" : { "DOI" : "10.1037/a0015962", "ISBN" : "1528-3542 1931-1516", "ISSN" : "1931-1516", "PMID" : "19653772", "abstract" : "Controlled interpersonal affect regulation refers to the deliberate regulation of someone else's affect. Building on existing research concerning this everyday process, the authors describe the development of a theoretical classification scheme that distinguishes between the types of strategy used to achieve interpersonal affect regulation. To test the theoretical classification, the authors generated a corpus of 378 distinct strategies using self-report questionnaires and diaries completed by student and working samples. Twenty participants then performed a card-sort of the strategies. Hierarchical cluster analysis was used to determine how well the theoretical classification represented spontaneous understandings of controlled interpersonal affect regulation. The final classification primarily distinguished between strategies used to improve versus those used to worsen others' affect, and between strategies that engaged the target in a situation or affective state versus relationship-oriented strategies. The classification provides a meaningful basis for organizing existing research and making future conceptual and empirical distinctions.", "author" : [ { "dropping-particle" : "", "family" : "Niven", "given" : "Karen", "non-dropping-particle" : "", "parse-names" : false, "suffix" : "" }, { "dropping-particle" : "", "family" : "Totterdell", "given" : "Peter", "non-dropping-particle" : "", "parse-names" : false, "suffix" : "" }, { "dropping-particle" : "", "family" : "Holman", "given" : "David", "non-dropping-particle" : "", "parse-names" : false, "suffix" : "" } ], "container-title" : "Emotion", "id" : "ITEM-1", "issue" : "4", "issued" : { "date-parts" : [ [ "2009" ] ] }, "page" : "498-509", "title" : "A classification of controlled interpersonal affect regulation strategies.", "type" : "article-journal", "volume" : "9" }, "uris" : [ "http://www.mendeley.com/documents/?uuid=ef880a8e-77d6-36af-8aa2-b9c5b926699d" ] } ], "mendeley" : { "formattedCitation" : "(Niven et al., 2009)", "plainTextFormattedCitation" : "(Niven et al., 2009)", "previouslyFormattedCitation" : "(Niven et al., 2009)" }, "properties" : { "noteIndex" : 0 }, "schema" : "https://github.com/citation-style-language/schema/raw/master/csl-citation.json" }</w:instrText>
      </w:r>
      <w:r w:rsidR="00B06E70">
        <w:rPr>
          <w:sz w:val="24"/>
          <w:szCs w:val="24"/>
        </w:rPr>
        <w:fldChar w:fldCharType="separate"/>
      </w:r>
      <w:r w:rsidR="00691B49" w:rsidRPr="00691B49">
        <w:rPr>
          <w:noProof/>
          <w:sz w:val="24"/>
          <w:szCs w:val="24"/>
        </w:rPr>
        <w:t>(Niven et al., 2009)</w:t>
      </w:r>
      <w:r w:rsidR="00B06E70">
        <w:rPr>
          <w:sz w:val="24"/>
          <w:szCs w:val="24"/>
        </w:rPr>
        <w:fldChar w:fldCharType="end"/>
      </w:r>
      <w:r w:rsidRPr="00D05EBD">
        <w:rPr>
          <w:sz w:val="24"/>
          <w:szCs w:val="24"/>
        </w:rPr>
        <w:t xml:space="preserve"> for both, their nominated close other and their nominated acquaintance. The SRBAI for a close other and for an acquaintance proved to be highly reliable </w:t>
      </w:r>
      <w:r w:rsidRPr="00D05EBD">
        <w:rPr>
          <w:i/>
          <w:sz w:val="24"/>
          <w:szCs w:val="24"/>
        </w:rPr>
        <w:t xml:space="preserve">α </w:t>
      </w:r>
      <w:r w:rsidRPr="00D05EBD">
        <w:rPr>
          <w:sz w:val="24"/>
          <w:szCs w:val="24"/>
        </w:rPr>
        <w:t xml:space="preserve">= .90, </w:t>
      </w:r>
      <w:r w:rsidRPr="00D05EBD">
        <w:rPr>
          <w:i/>
          <w:sz w:val="24"/>
          <w:szCs w:val="24"/>
        </w:rPr>
        <w:t xml:space="preserve">α </w:t>
      </w:r>
      <w:r w:rsidRPr="00D05EBD">
        <w:rPr>
          <w:sz w:val="24"/>
          <w:szCs w:val="24"/>
        </w:rPr>
        <w:t>= .95 respectively.</w:t>
      </w: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jc w:val="both"/>
        <w:rPr>
          <w:sz w:val="24"/>
          <w:szCs w:val="24"/>
        </w:rPr>
      </w:pPr>
      <w:r w:rsidRPr="00D05EBD">
        <w:rPr>
          <w:sz w:val="24"/>
          <w:szCs w:val="24"/>
        </w:rPr>
        <w:tab/>
        <w:t xml:space="preserve">In the Classification of Controlled Affect Regulation Strategies </w:t>
      </w:r>
      <w:r w:rsidR="00B06E70" w:rsidRPr="00E747F1">
        <w:rPr>
          <w:sz w:val="24"/>
          <w:szCs w:val="24"/>
        </w:rPr>
        <w:fldChar w:fldCharType="begin" w:fldLock="1"/>
      </w:r>
      <w:r w:rsidR="006028A0">
        <w:rPr>
          <w:sz w:val="24"/>
          <w:szCs w:val="24"/>
        </w:rPr>
        <w:instrText>ADDIN CSL_CITATION { "citationItems" : [ { "id" : "ITEM-1", "itemData" : { "DOI" : "10.1037/a0015962", "ISBN" : "1528-3542 1931-1516", "ISSN" : "1931-1516", "PMID" : "19653772", "abstract" : "Controlled interpersonal affect regulation refers to the deliberate regulation of someone else's affect. Building on existing research concerning this everyday process, the authors describe the development of a theoretical classification scheme that distinguishes between the types of strategy used to achieve interpersonal affect regulation. To test the theoretical classification, the authors generated a corpus of 378 distinct strategies using self-report questionnaires and diaries completed by student and working samples. Twenty participants then performed a card-sort of the strategies. Hierarchical cluster analysis was used to determine how well the theoretical classification represented spontaneous understandings of controlled interpersonal affect regulation. The final classification primarily distinguished between strategies used to improve versus those used to worsen others' affect, and between strategies that engaged the target in a situation or affective state versus relationship-oriented strategies. The classification provides a meaningful basis for organizing existing research and making future conceptual and empirical distinctions.", "author" : [ { "dropping-particle" : "", "family" : "Niven", "given" : "Karen", "non-dropping-particle" : "", "parse-names" : false, "suffix" : "" }, { "dropping-particle" : "", "family" : "Totterdell", "given" : "Peter", "non-dropping-particle" : "", "parse-names" : false, "suffix" : "" }, { "dropping-particle" : "", "family" : "Holman", "given" : "David", "non-dropping-particle" : "", "parse-names" : false, "suffix" : "" } ], "container-title" : "Emotion", "id" : "ITEM-1", "issue" : "4", "issued" : { "date-parts" : [ [ "2009" ] ] }, "page" : "498-509", "title" : "A classification of controlled interpersonal affect regulation strategies.", "type" : "article-journal", "volume" : "9" }, "uris" : [ "http://www.mendeley.com/documents/?uuid=1a5e317c-06e5-4f36-a72c-45d8ca0f6e2d" ] } ], "mendeley" : { "formattedCitation" : "(Niven et al., 2009)", "plainTextFormattedCitation" : "(Niven et al., 2009)", "previouslyFormattedCitation" : "(Niven et al., 2009)" }, "properties" : { "noteIndex" : 0 }, "schema" : "https://github.com/citation-style-language/schema/raw/master/csl-citation.json" }</w:instrText>
      </w:r>
      <w:r w:rsidR="00B06E70" w:rsidRPr="00E747F1">
        <w:rPr>
          <w:sz w:val="24"/>
          <w:szCs w:val="24"/>
        </w:rPr>
        <w:fldChar w:fldCharType="separate"/>
      </w:r>
      <w:r w:rsidR="00E747F1" w:rsidRPr="00E747F1">
        <w:rPr>
          <w:noProof/>
          <w:sz w:val="24"/>
          <w:szCs w:val="24"/>
        </w:rPr>
        <w:t>(Niven et al., 2009)</w:t>
      </w:r>
      <w:r w:rsidR="00B06E70" w:rsidRPr="00E747F1">
        <w:rPr>
          <w:sz w:val="24"/>
          <w:szCs w:val="24"/>
        </w:rPr>
        <w:fldChar w:fldCharType="end"/>
      </w:r>
      <w:r w:rsidRPr="00E747F1">
        <w:rPr>
          <w:sz w:val="24"/>
          <w:szCs w:val="24"/>
        </w:rPr>
        <w:t xml:space="preserve"> t</w:t>
      </w:r>
      <w:r w:rsidRPr="00D05EBD">
        <w:rPr>
          <w:sz w:val="24"/>
          <w:szCs w:val="24"/>
        </w:rPr>
        <w:t>he strategies were clustered according to three levels of abstraction, the first one concerning whether the motive behind the use of the IER strategy was to improve or to worsen the target's feelings (e.g. making time for the target, being unfriendly toward the target, respectively). The second level referred to the means used to achieve IER (e.g. positive engagement, acceptance, negative engagement and rejection). Finally, the third level of abstraction concerned more specific means to achieve IER (e.g. valuing the target, putting one's own feelings first). The first level of abstraction (improving and worsening) was used in the present research</w:t>
      </w:r>
      <w:r w:rsidRPr="00973AEB">
        <w:rPr>
          <w:rStyle w:val="Refdenotaalpie"/>
        </w:rPr>
        <w:footnoteReference w:id="12"/>
      </w:r>
      <w:r w:rsidRPr="00D05EBD">
        <w:rPr>
          <w:sz w:val="24"/>
          <w:szCs w:val="24"/>
        </w:rPr>
        <w:t>. Strategies described as the most prototypical by Niven and colleagues (strategies that were closest to the meaning of this level of abstraction) were chosen, resulting in 6 i</w:t>
      </w:r>
      <w:r w:rsidR="003210F6">
        <w:rPr>
          <w:sz w:val="24"/>
          <w:szCs w:val="24"/>
        </w:rPr>
        <w:t>mproving IER strategies (i</w:t>
      </w:r>
      <w:r w:rsidR="002D45C9">
        <w:rPr>
          <w:sz w:val="24"/>
          <w:szCs w:val="24"/>
        </w:rPr>
        <w:t>.e</w:t>
      </w:r>
      <w:r w:rsidRPr="00D05EBD">
        <w:rPr>
          <w:sz w:val="24"/>
          <w:szCs w:val="24"/>
        </w:rPr>
        <w:t xml:space="preserve">. </w:t>
      </w:r>
      <w:r w:rsidRPr="00D05EBD">
        <w:rPr>
          <w:i/>
          <w:sz w:val="24"/>
          <w:szCs w:val="24"/>
        </w:rPr>
        <w:t xml:space="preserve">Listening to </w:t>
      </w:r>
      <w:r w:rsidRPr="00D05EBD">
        <w:rPr>
          <w:i/>
          <w:sz w:val="24"/>
          <w:szCs w:val="24"/>
        </w:rPr>
        <w:lastRenderedPageBreak/>
        <w:t>#name# problems</w:t>
      </w:r>
      <w:r w:rsidRPr="00D05EBD">
        <w:rPr>
          <w:sz w:val="24"/>
          <w:szCs w:val="24"/>
        </w:rPr>
        <w:t xml:space="preserve">..., </w:t>
      </w:r>
      <w:r w:rsidRPr="00D05EBD">
        <w:rPr>
          <w:i/>
          <w:sz w:val="24"/>
          <w:szCs w:val="24"/>
        </w:rPr>
        <w:t>Discussing all the positive characteristics of #name#</w:t>
      </w:r>
      <w:r w:rsidRPr="00D05EBD">
        <w:rPr>
          <w:sz w:val="24"/>
          <w:szCs w:val="24"/>
        </w:rPr>
        <w:t xml:space="preserve">..., </w:t>
      </w:r>
      <w:r w:rsidRPr="00D05EBD">
        <w:rPr>
          <w:i/>
          <w:sz w:val="24"/>
          <w:szCs w:val="24"/>
        </w:rPr>
        <w:t>Giving #name# advice</w:t>
      </w:r>
      <w:r w:rsidRPr="00D05EBD">
        <w:rPr>
          <w:sz w:val="24"/>
          <w:szCs w:val="24"/>
        </w:rPr>
        <w:t xml:space="preserve">..., </w:t>
      </w:r>
      <w:r w:rsidRPr="00D05EBD">
        <w:rPr>
          <w:i/>
          <w:sz w:val="24"/>
          <w:szCs w:val="24"/>
        </w:rPr>
        <w:t>Arranging a social activity including #name#</w:t>
      </w:r>
      <w:r w:rsidRPr="00D05EBD">
        <w:rPr>
          <w:sz w:val="24"/>
          <w:szCs w:val="24"/>
        </w:rPr>
        <w:t xml:space="preserve">..., </w:t>
      </w:r>
      <w:r w:rsidRPr="00D05EBD">
        <w:rPr>
          <w:i/>
          <w:sz w:val="24"/>
          <w:szCs w:val="24"/>
        </w:rPr>
        <w:t>Valuing #name#</w:t>
      </w:r>
      <w:r w:rsidRPr="00D05EBD">
        <w:rPr>
          <w:sz w:val="24"/>
          <w:szCs w:val="24"/>
        </w:rPr>
        <w:t xml:space="preserve">..., </w:t>
      </w:r>
      <w:r w:rsidRPr="00D05EBD">
        <w:rPr>
          <w:i/>
          <w:sz w:val="24"/>
          <w:szCs w:val="24"/>
        </w:rPr>
        <w:t>Acting silly to make #name# laugh</w:t>
      </w:r>
      <w:r w:rsidRPr="00D05EBD">
        <w:rPr>
          <w:sz w:val="24"/>
          <w:szCs w:val="24"/>
        </w:rPr>
        <w:t xml:space="preserve">...) and </w:t>
      </w:r>
      <w:r w:rsidR="003210F6">
        <w:rPr>
          <w:sz w:val="24"/>
          <w:szCs w:val="24"/>
        </w:rPr>
        <w:t>in 7 worsening IER strategies (i.e</w:t>
      </w:r>
      <w:r w:rsidRPr="00D05EBD">
        <w:rPr>
          <w:sz w:val="24"/>
          <w:szCs w:val="24"/>
        </w:rPr>
        <w:t xml:space="preserve">. </w:t>
      </w:r>
      <w:r w:rsidRPr="00D05EBD">
        <w:rPr>
          <w:i/>
          <w:sz w:val="24"/>
          <w:szCs w:val="24"/>
        </w:rPr>
        <w:t>Explaining to #name# why he/she has made me feel bad</w:t>
      </w:r>
      <w:r w:rsidRPr="00D05EBD">
        <w:rPr>
          <w:sz w:val="24"/>
          <w:szCs w:val="24"/>
        </w:rPr>
        <w:t xml:space="preserve">..., </w:t>
      </w:r>
      <w:r w:rsidRPr="00D05EBD">
        <w:rPr>
          <w:i/>
          <w:sz w:val="24"/>
          <w:szCs w:val="24"/>
        </w:rPr>
        <w:t>Letting #name# I think he/she is not pulling his/her weight</w:t>
      </w:r>
      <w:r w:rsidRPr="00D05EBD">
        <w:rPr>
          <w:sz w:val="24"/>
          <w:szCs w:val="24"/>
        </w:rPr>
        <w:t xml:space="preserve">..., </w:t>
      </w:r>
      <w:r w:rsidRPr="00D05EBD">
        <w:rPr>
          <w:i/>
          <w:sz w:val="24"/>
          <w:szCs w:val="24"/>
        </w:rPr>
        <w:t>Acting very annoyed towards #name#,</w:t>
      </w:r>
      <w:r w:rsidRPr="00D05EBD">
        <w:rPr>
          <w:sz w:val="24"/>
          <w:szCs w:val="24"/>
        </w:rPr>
        <w:t xml:space="preserve"> </w:t>
      </w:r>
      <w:r w:rsidRPr="00D05EBD">
        <w:rPr>
          <w:i/>
          <w:sz w:val="24"/>
          <w:szCs w:val="24"/>
        </w:rPr>
        <w:t>Bragging to #name# about how good I am</w:t>
      </w:r>
      <w:r w:rsidRPr="00D05EBD">
        <w:rPr>
          <w:sz w:val="24"/>
          <w:szCs w:val="24"/>
        </w:rPr>
        <w:t xml:space="preserve">..., </w:t>
      </w:r>
      <w:r w:rsidRPr="00D05EBD">
        <w:rPr>
          <w:i/>
          <w:sz w:val="24"/>
          <w:szCs w:val="24"/>
        </w:rPr>
        <w:t>Refusing to talk to #name#</w:t>
      </w:r>
      <w:r w:rsidRPr="00D05EBD">
        <w:rPr>
          <w:sz w:val="24"/>
          <w:szCs w:val="24"/>
        </w:rPr>
        <w:t xml:space="preserve">..., </w:t>
      </w:r>
      <w:r w:rsidR="003210F6">
        <w:rPr>
          <w:i/>
          <w:sz w:val="24"/>
          <w:szCs w:val="24"/>
        </w:rPr>
        <w:t>Pointing out #</w:t>
      </w:r>
      <w:proofErr w:type="spellStart"/>
      <w:r w:rsidR="003210F6">
        <w:rPr>
          <w:i/>
          <w:sz w:val="24"/>
          <w:szCs w:val="24"/>
        </w:rPr>
        <w:t>name#’s</w:t>
      </w:r>
      <w:proofErr w:type="spellEnd"/>
      <w:r w:rsidR="003210F6">
        <w:rPr>
          <w:i/>
          <w:sz w:val="24"/>
          <w:szCs w:val="24"/>
        </w:rPr>
        <w:t xml:space="preserve"> flaw</w:t>
      </w:r>
      <w:r w:rsidRPr="00D05EBD">
        <w:rPr>
          <w:i/>
          <w:sz w:val="24"/>
          <w:szCs w:val="24"/>
        </w:rPr>
        <w:t>s</w:t>
      </w:r>
      <w:r w:rsidRPr="00D05EBD">
        <w:rPr>
          <w:sz w:val="24"/>
          <w:szCs w:val="24"/>
        </w:rPr>
        <w:t xml:space="preserve">..., </w:t>
      </w:r>
      <w:r w:rsidRPr="00D05EBD">
        <w:rPr>
          <w:i/>
          <w:sz w:val="24"/>
          <w:szCs w:val="24"/>
        </w:rPr>
        <w:t>Being rude to #name#</w:t>
      </w:r>
      <w:r w:rsidRPr="00D05EBD">
        <w:rPr>
          <w:sz w:val="24"/>
          <w:szCs w:val="24"/>
        </w:rPr>
        <w:t>...). Each of these 13 strategies w</w:t>
      </w:r>
      <w:r w:rsidR="003210F6">
        <w:rPr>
          <w:sz w:val="24"/>
          <w:szCs w:val="24"/>
        </w:rPr>
        <w:t>as</w:t>
      </w:r>
      <w:r w:rsidRPr="00D05EBD">
        <w:rPr>
          <w:sz w:val="24"/>
          <w:szCs w:val="24"/>
        </w:rPr>
        <w:t xml:space="preserve"> followed by the thre</w:t>
      </w:r>
      <w:r w:rsidR="003210F6">
        <w:rPr>
          <w:sz w:val="24"/>
          <w:szCs w:val="24"/>
        </w:rPr>
        <w:t>e items chosen from the SRBAI (i.e</w:t>
      </w:r>
      <w:r w:rsidRPr="00D05EBD">
        <w:rPr>
          <w:sz w:val="24"/>
          <w:szCs w:val="24"/>
        </w:rPr>
        <w:t xml:space="preserve">. </w:t>
      </w:r>
      <w:r w:rsidRPr="00D05EBD">
        <w:rPr>
          <w:i/>
          <w:sz w:val="24"/>
          <w:szCs w:val="24"/>
        </w:rPr>
        <w:t>Giving #name# advice is something I do automatically, Giving #name# advice is something I do without thinking</w:t>
      </w:r>
      <w:r w:rsidRPr="00D05EBD">
        <w:rPr>
          <w:sz w:val="24"/>
          <w:szCs w:val="24"/>
        </w:rPr>
        <w:t>, and,</w:t>
      </w:r>
      <w:r w:rsidRPr="00D05EBD">
        <w:rPr>
          <w:i/>
          <w:sz w:val="24"/>
          <w:szCs w:val="24"/>
        </w:rPr>
        <w:t xml:space="preserve"> Giving #name# advice is something I start doing before I realise I am doing it</w:t>
      </w:r>
      <w:r w:rsidRPr="00D05EBD">
        <w:rPr>
          <w:sz w:val="24"/>
          <w:szCs w:val="24"/>
        </w:rPr>
        <w:t xml:space="preserve">). </w:t>
      </w:r>
    </w:p>
    <w:p w:rsidR="00FB1389" w:rsidRPr="00D05EBD" w:rsidRDefault="00FB1389" w:rsidP="00AE640B">
      <w:pPr>
        <w:keepNext/>
        <w:spacing w:after="0" w:line="480" w:lineRule="auto"/>
        <w:jc w:val="both"/>
        <w:rPr>
          <w:b/>
          <w:sz w:val="24"/>
          <w:szCs w:val="24"/>
        </w:rPr>
      </w:pPr>
      <w:r w:rsidRPr="00D05EBD">
        <w:rPr>
          <w:b/>
          <w:sz w:val="24"/>
          <w:szCs w:val="24"/>
        </w:rPr>
        <w:tab/>
      </w:r>
    </w:p>
    <w:p w:rsidR="00FB1389" w:rsidRPr="00D05EBD" w:rsidRDefault="00FB1389" w:rsidP="00AE640B">
      <w:pPr>
        <w:keepNext/>
        <w:spacing w:after="0" w:line="480" w:lineRule="auto"/>
        <w:ind w:firstLine="720"/>
        <w:jc w:val="both"/>
        <w:rPr>
          <w:b/>
          <w:sz w:val="24"/>
          <w:szCs w:val="24"/>
        </w:rPr>
      </w:pPr>
      <w:r w:rsidRPr="00D05EBD">
        <w:rPr>
          <w:b/>
          <w:sz w:val="24"/>
          <w:szCs w:val="24"/>
        </w:rPr>
        <w:t>2.3.2 Results</w:t>
      </w:r>
    </w:p>
    <w:p w:rsidR="00FB1389" w:rsidRDefault="00FB1389" w:rsidP="00AE640B">
      <w:pPr>
        <w:keepNext/>
        <w:spacing w:after="0" w:line="480" w:lineRule="auto"/>
        <w:jc w:val="both"/>
        <w:rPr>
          <w:i/>
          <w:sz w:val="24"/>
          <w:szCs w:val="24"/>
        </w:rPr>
      </w:pPr>
      <w:r w:rsidRPr="00D05EBD">
        <w:rPr>
          <w:i/>
          <w:sz w:val="24"/>
          <w:szCs w:val="24"/>
        </w:rPr>
        <w:tab/>
      </w:r>
      <w:r w:rsidRPr="00D05EBD">
        <w:rPr>
          <w:i/>
          <w:sz w:val="24"/>
          <w:szCs w:val="24"/>
        </w:rPr>
        <w:tab/>
        <w:t>2.3.2.1 Manipulation check</w:t>
      </w:r>
    </w:p>
    <w:p w:rsidR="002D45C9" w:rsidRPr="00D05EBD" w:rsidRDefault="002D45C9" w:rsidP="00AE640B">
      <w:pPr>
        <w:keepNext/>
        <w:spacing w:after="0" w:line="480" w:lineRule="auto"/>
        <w:jc w:val="both"/>
        <w:rPr>
          <w:i/>
          <w:sz w:val="24"/>
          <w:szCs w:val="24"/>
        </w:rPr>
      </w:pPr>
    </w:p>
    <w:p w:rsidR="00FB1389" w:rsidRPr="00D05EBD" w:rsidRDefault="00FB1389" w:rsidP="00AE640B">
      <w:pPr>
        <w:spacing w:after="0" w:line="480" w:lineRule="auto"/>
        <w:jc w:val="both"/>
        <w:rPr>
          <w:sz w:val="24"/>
          <w:szCs w:val="24"/>
        </w:rPr>
      </w:pPr>
      <w:r w:rsidRPr="00D05EBD">
        <w:rPr>
          <w:sz w:val="24"/>
          <w:szCs w:val="24"/>
        </w:rPr>
        <w:tab/>
      </w:r>
      <w:r w:rsidRPr="00D05EBD">
        <w:rPr>
          <w:rFonts w:eastAsia="Times New Roman" w:cs="Times New Roman"/>
          <w:sz w:val="24"/>
          <w:szCs w:val="24"/>
        </w:rPr>
        <w:t xml:space="preserve">To test whether the automaticity of IER was affected by </w:t>
      </w:r>
      <w:r w:rsidRPr="00D05EBD">
        <w:rPr>
          <w:sz w:val="24"/>
          <w:szCs w:val="24"/>
        </w:rPr>
        <w:t xml:space="preserve">the nature of the relationship (close other and acquaintance) and the nature of the IER (positive or negative) a doubly </w:t>
      </w:r>
      <w:r w:rsidRPr="00D05EBD">
        <w:rPr>
          <w:rFonts w:eastAsia="Times New Roman" w:cs="Times New Roman"/>
          <w:sz w:val="24"/>
          <w:szCs w:val="24"/>
        </w:rPr>
        <w:t>repeated measures ANOVA was conducted. Before running the actual analysis and in accordance with repeated measures ANOVA assumptions, all 4 dependent variables (scores for worsening IER strategies used with a close other, improving IER strategies used with a close other, worsening IER strategies used with an acquaintance and, improving IER strategies used with an acquaintance</w:t>
      </w:r>
      <w:r w:rsidRPr="00D05EBD">
        <w:rPr>
          <w:rFonts w:cs="Times New Roman"/>
          <w:sz w:val="24"/>
          <w:szCs w:val="24"/>
        </w:rPr>
        <w:t>)</w:t>
      </w:r>
      <w:r w:rsidRPr="00D05EBD">
        <w:rPr>
          <w:rFonts w:eastAsia="Times New Roman" w:cs="Times New Roman"/>
          <w:sz w:val="24"/>
          <w:szCs w:val="24"/>
        </w:rPr>
        <w:t xml:space="preserve"> were checked for outliers and normal distribution. </w:t>
      </w:r>
      <w:r w:rsidRPr="00D05EBD">
        <w:rPr>
          <w:sz w:val="24"/>
          <w:szCs w:val="24"/>
        </w:rPr>
        <w:t xml:space="preserve">Histograms and the </w:t>
      </w:r>
      <w:proofErr w:type="spellStart"/>
      <w:r w:rsidRPr="00D05EBD">
        <w:rPr>
          <w:sz w:val="24"/>
          <w:szCs w:val="24"/>
        </w:rPr>
        <w:t>Kolmogorov</w:t>
      </w:r>
      <w:proofErr w:type="spellEnd"/>
      <w:r w:rsidRPr="00D05EBD">
        <w:rPr>
          <w:sz w:val="24"/>
          <w:szCs w:val="24"/>
        </w:rPr>
        <w:t xml:space="preserve">-Smirnov </w:t>
      </w:r>
      <w:r w:rsidRPr="00D05EBD">
        <w:rPr>
          <w:rFonts w:eastAsia="Times New Roman" w:cs="Times New Roman"/>
          <w:sz w:val="24"/>
          <w:szCs w:val="24"/>
        </w:rPr>
        <w:t>(</w:t>
      </w:r>
      <w:r w:rsidRPr="00D05EBD">
        <w:rPr>
          <w:sz w:val="24"/>
          <w:szCs w:val="24"/>
        </w:rPr>
        <w:t>K-S</w:t>
      </w:r>
      <w:r w:rsidRPr="00D05EBD">
        <w:rPr>
          <w:rFonts w:eastAsia="Times New Roman" w:cs="Times New Roman"/>
          <w:sz w:val="24"/>
          <w:szCs w:val="24"/>
        </w:rPr>
        <w:t>)</w:t>
      </w:r>
      <w:r w:rsidRPr="00D05EBD">
        <w:rPr>
          <w:sz w:val="24"/>
          <w:szCs w:val="24"/>
        </w:rPr>
        <w:t xml:space="preserve"> test for the four DVs indicated that the data were non-normally distributed for the four DVs. To improve the distribution, the outliers were removed using the z score method, z-</w:t>
      </w:r>
      <w:r w:rsidRPr="00D05EBD">
        <w:rPr>
          <w:sz w:val="24"/>
          <w:szCs w:val="24"/>
        </w:rPr>
        <w:lastRenderedPageBreak/>
        <w:t xml:space="preserve">scores greater than 3.29 were removed from the analysis. After removing the outliers only the </w:t>
      </w:r>
      <w:r w:rsidRPr="00D05EBD">
        <w:rPr>
          <w:rFonts w:eastAsia="Times New Roman" w:cs="Times New Roman"/>
          <w:sz w:val="24"/>
          <w:szCs w:val="24"/>
        </w:rPr>
        <w:t>worsening and improving IER strategies used with a close other became normal.</w:t>
      </w:r>
      <w:r w:rsidRPr="00D05EBD">
        <w:rPr>
          <w:sz w:val="24"/>
          <w:szCs w:val="24"/>
        </w:rPr>
        <w:t xml:space="preserve"> Nevertheless, the selection of a repeated measures ANOVA was kept as it is a robust test that can still yield reliable results with non-normal distributions.</w:t>
      </w: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ind w:firstLine="720"/>
        <w:jc w:val="both"/>
        <w:rPr>
          <w:rFonts w:eastAsia="Times New Roman" w:cs="Times New Roman"/>
          <w:sz w:val="24"/>
          <w:szCs w:val="24"/>
        </w:rPr>
      </w:pPr>
      <w:r w:rsidRPr="00D05EBD">
        <w:rPr>
          <w:sz w:val="24"/>
          <w:szCs w:val="24"/>
        </w:rPr>
        <w:t>To check that participants truly selected a person close to them and an acquaintance, a paired t-test was conducted to compare the mean score for the Relationship Closeness Scale between the close other and the acquaintance. There was a significant difference between the relationship closeness score for the close other (</w:t>
      </w:r>
      <w:r w:rsidRPr="00D05EBD">
        <w:rPr>
          <w:i/>
          <w:sz w:val="24"/>
          <w:szCs w:val="24"/>
        </w:rPr>
        <w:t xml:space="preserve">M </w:t>
      </w:r>
      <w:r w:rsidRPr="00D05EBD">
        <w:rPr>
          <w:sz w:val="24"/>
          <w:szCs w:val="24"/>
        </w:rPr>
        <w:t xml:space="preserve">= 6.08, </w:t>
      </w:r>
      <w:r w:rsidRPr="00D05EBD">
        <w:rPr>
          <w:i/>
          <w:sz w:val="24"/>
          <w:szCs w:val="24"/>
        </w:rPr>
        <w:t xml:space="preserve">SD </w:t>
      </w:r>
      <w:r w:rsidRPr="00D05EBD">
        <w:rPr>
          <w:sz w:val="24"/>
          <w:szCs w:val="24"/>
        </w:rPr>
        <w:t>= 0.80) and for the acquaintance (</w:t>
      </w:r>
      <w:r w:rsidRPr="00D05EBD">
        <w:rPr>
          <w:i/>
          <w:sz w:val="24"/>
          <w:szCs w:val="24"/>
        </w:rPr>
        <w:t xml:space="preserve">M </w:t>
      </w:r>
      <w:r w:rsidRPr="00D05EBD">
        <w:rPr>
          <w:sz w:val="24"/>
          <w:szCs w:val="24"/>
        </w:rPr>
        <w:t xml:space="preserve">= 2.27, </w:t>
      </w:r>
      <w:r w:rsidRPr="00D05EBD">
        <w:rPr>
          <w:i/>
          <w:sz w:val="24"/>
          <w:szCs w:val="24"/>
        </w:rPr>
        <w:t xml:space="preserve">SD </w:t>
      </w:r>
      <w:r w:rsidRPr="00D05EBD">
        <w:rPr>
          <w:sz w:val="24"/>
          <w:szCs w:val="24"/>
        </w:rPr>
        <w:t xml:space="preserve">= 0.85), </w:t>
      </w:r>
      <w:r w:rsidRPr="00D05EBD">
        <w:rPr>
          <w:i/>
          <w:sz w:val="24"/>
          <w:szCs w:val="24"/>
        </w:rPr>
        <w:t>t</w:t>
      </w:r>
      <w:r w:rsidRPr="00D05EBD">
        <w:rPr>
          <w:sz w:val="24"/>
          <w:szCs w:val="24"/>
        </w:rPr>
        <w:t xml:space="preserve">(184) = 40.89, </w:t>
      </w:r>
      <w:r w:rsidRPr="00D05EBD">
        <w:rPr>
          <w:i/>
          <w:sz w:val="24"/>
          <w:szCs w:val="24"/>
        </w:rPr>
        <w:t xml:space="preserve">p </w:t>
      </w:r>
      <w:r w:rsidRPr="00D05EBD">
        <w:rPr>
          <w:sz w:val="24"/>
          <w:szCs w:val="24"/>
        </w:rPr>
        <w:t xml:space="preserve">&lt; 0.05. This result indicates that participants indeed felt closer to their nominated close other than to their nominated acquaintance. </w:t>
      </w:r>
    </w:p>
    <w:p w:rsidR="00FB1389" w:rsidRPr="00D05EBD" w:rsidRDefault="00FB1389" w:rsidP="00AE640B">
      <w:pPr>
        <w:spacing w:after="0" w:line="480" w:lineRule="auto"/>
        <w:jc w:val="both"/>
        <w:rPr>
          <w:sz w:val="24"/>
          <w:szCs w:val="24"/>
        </w:rPr>
      </w:pPr>
    </w:p>
    <w:p w:rsidR="00FB1389" w:rsidRDefault="00FB1389" w:rsidP="00AE640B">
      <w:pPr>
        <w:spacing w:after="0" w:line="480" w:lineRule="auto"/>
        <w:jc w:val="both"/>
        <w:rPr>
          <w:sz w:val="24"/>
          <w:szCs w:val="24"/>
        </w:rPr>
      </w:pPr>
      <w:r w:rsidRPr="00D05EBD">
        <w:rPr>
          <w:sz w:val="24"/>
          <w:szCs w:val="24"/>
        </w:rPr>
        <w:tab/>
        <w:t xml:space="preserve">With respect to the gender of the nominated close other and acquaintance that  the participants chose, two separate Chi-square tests reported that there was a significant association between the gender of the participants and whether they chose a male or a female as their close other </w:t>
      </w:r>
      <w:r w:rsidRPr="00D05EBD">
        <w:rPr>
          <w:i/>
          <w:sz w:val="24"/>
          <w:szCs w:val="24"/>
        </w:rPr>
        <w:t>χ</w:t>
      </w:r>
      <w:r w:rsidRPr="00D05EBD">
        <w:rPr>
          <w:i/>
          <w:sz w:val="24"/>
          <w:szCs w:val="24"/>
          <w:vertAlign w:val="superscript"/>
        </w:rPr>
        <w:t>2</w:t>
      </w:r>
      <w:r w:rsidRPr="00D05EBD">
        <w:rPr>
          <w:sz w:val="24"/>
          <w:szCs w:val="24"/>
        </w:rPr>
        <w:t xml:space="preserve">(1) = 25.45, </w:t>
      </w:r>
      <w:r w:rsidRPr="00D05EBD">
        <w:rPr>
          <w:i/>
          <w:sz w:val="24"/>
          <w:szCs w:val="24"/>
        </w:rPr>
        <w:t>p</w:t>
      </w:r>
      <w:r w:rsidRPr="00D05EBD">
        <w:rPr>
          <w:sz w:val="24"/>
          <w:szCs w:val="24"/>
        </w:rPr>
        <w:t xml:space="preserve"> &lt; .001 and as their acquaintance  χ</w:t>
      </w:r>
      <w:r w:rsidRPr="00D05EBD">
        <w:rPr>
          <w:i/>
          <w:sz w:val="24"/>
          <w:szCs w:val="24"/>
          <w:vertAlign w:val="superscript"/>
        </w:rPr>
        <w:t>2</w:t>
      </w:r>
      <w:r w:rsidRPr="00D05EBD">
        <w:rPr>
          <w:sz w:val="24"/>
          <w:szCs w:val="24"/>
        </w:rPr>
        <w:t xml:space="preserve">(1) = 18.85, </w:t>
      </w:r>
      <w:r w:rsidRPr="00D05EBD">
        <w:rPr>
          <w:i/>
          <w:sz w:val="24"/>
          <w:szCs w:val="24"/>
        </w:rPr>
        <w:t>p</w:t>
      </w:r>
      <w:r w:rsidRPr="00D05EBD">
        <w:rPr>
          <w:sz w:val="24"/>
          <w:szCs w:val="24"/>
        </w:rPr>
        <w:t xml:space="preserve"> &lt; .001. Table </w:t>
      </w:r>
      <w:r w:rsidR="00667ED1">
        <w:rPr>
          <w:sz w:val="24"/>
          <w:szCs w:val="24"/>
        </w:rPr>
        <w:t>I</w:t>
      </w:r>
      <w:r w:rsidRPr="00D05EBD">
        <w:rPr>
          <w:sz w:val="24"/>
          <w:szCs w:val="24"/>
        </w:rPr>
        <w:t>I</w:t>
      </w:r>
      <w:r w:rsidR="000D0F25">
        <w:rPr>
          <w:sz w:val="24"/>
          <w:szCs w:val="24"/>
        </w:rPr>
        <w:t>.1</w:t>
      </w:r>
      <w:r w:rsidRPr="00D05EBD">
        <w:rPr>
          <w:sz w:val="24"/>
          <w:szCs w:val="24"/>
        </w:rPr>
        <w:t xml:space="preserve"> shows that female participants tended to choose a man more often as their close other than male participants, while male participants tended to choose a woman more often as their close other than female participants. The pattern was reversed when it came to choose an acquaintance. </w:t>
      </w:r>
    </w:p>
    <w:p w:rsidR="007D017D" w:rsidRDefault="007D017D" w:rsidP="00AE640B">
      <w:pPr>
        <w:spacing w:after="0" w:line="480" w:lineRule="auto"/>
        <w:jc w:val="both"/>
        <w:rPr>
          <w:sz w:val="24"/>
          <w:szCs w:val="24"/>
        </w:rPr>
      </w:pPr>
    </w:p>
    <w:p w:rsidR="007D017D" w:rsidRPr="00D05EBD" w:rsidRDefault="007D017D" w:rsidP="00AE640B">
      <w:pPr>
        <w:spacing w:after="0" w:line="480" w:lineRule="auto"/>
        <w:jc w:val="both"/>
        <w:rPr>
          <w:sz w:val="24"/>
          <w:szCs w:val="24"/>
        </w:rPr>
      </w:pPr>
    </w:p>
    <w:tbl>
      <w:tblPr>
        <w:tblW w:w="5000" w:type="pct"/>
        <w:tblLook w:val="04A0"/>
      </w:tblPr>
      <w:tblGrid>
        <w:gridCol w:w="1611"/>
        <w:gridCol w:w="1048"/>
        <w:gridCol w:w="1027"/>
        <w:gridCol w:w="1055"/>
        <w:gridCol w:w="1029"/>
        <w:gridCol w:w="1027"/>
        <w:gridCol w:w="1055"/>
        <w:gridCol w:w="1030"/>
      </w:tblGrid>
      <w:tr w:rsidR="00FB1389" w:rsidRPr="00E747F1" w:rsidTr="00E747F1">
        <w:trPr>
          <w:trHeight w:val="627"/>
        </w:trPr>
        <w:tc>
          <w:tcPr>
            <w:tcW w:w="5000" w:type="pct"/>
            <w:gridSpan w:val="8"/>
            <w:tcBorders>
              <w:top w:val="nil"/>
              <w:left w:val="nil"/>
              <w:bottom w:val="single" w:sz="8" w:space="0" w:color="000000"/>
              <w:right w:val="nil"/>
            </w:tcBorders>
            <w:shd w:val="clear" w:color="auto" w:fill="auto"/>
            <w:vAlign w:val="center"/>
            <w:hideMark/>
          </w:tcPr>
          <w:p w:rsidR="00FB1389" w:rsidRPr="00E747F1" w:rsidRDefault="00667ED1" w:rsidP="00E747F1">
            <w:pPr>
              <w:spacing w:after="0" w:line="240" w:lineRule="auto"/>
              <w:jc w:val="both"/>
              <w:rPr>
                <w:rFonts w:eastAsia="Times New Roman" w:cs="Times New Roman"/>
                <w:color w:val="000000"/>
                <w:lang w:eastAsia="en-GB"/>
              </w:rPr>
            </w:pPr>
            <w:r>
              <w:rPr>
                <w:rFonts w:eastAsia="Times New Roman" w:cs="Times New Roman"/>
                <w:color w:val="000000"/>
                <w:lang w:val="en-US" w:eastAsia="en-GB"/>
              </w:rPr>
              <w:lastRenderedPageBreak/>
              <w:t>Table II</w:t>
            </w:r>
            <w:r w:rsidR="000D0F25">
              <w:rPr>
                <w:rFonts w:eastAsia="Times New Roman" w:cs="Times New Roman"/>
                <w:color w:val="000000"/>
                <w:lang w:val="en-US" w:eastAsia="en-GB"/>
              </w:rPr>
              <w:t>.1</w:t>
            </w:r>
            <w:r w:rsidR="00FB1389" w:rsidRPr="00E747F1">
              <w:rPr>
                <w:rFonts w:eastAsia="Times New Roman" w:cs="Times New Roman"/>
                <w:color w:val="000000"/>
                <w:lang w:val="en-US" w:eastAsia="en-GB"/>
              </w:rPr>
              <w:t>. What is the gender of your CLOSE other and of your ACQUAINTANCE?</w:t>
            </w:r>
          </w:p>
        </w:tc>
      </w:tr>
      <w:tr w:rsidR="00FB1389" w:rsidRPr="00E747F1" w:rsidTr="00E747F1">
        <w:trPr>
          <w:trHeight w:val="417"/>
        </w:trPr>
        <w:tc>
          <w:tcPr>
            <w:tcW w:w="1497" w:type="pct"/>
            <w:gridSpan w:val="2"/>
            <w:vMerge w:val="restart"/>
            <w:tcBorders>
              <w:top w:val="single" w:sz="8" w:space="0" w:color="000000"/>
              <w:left w:val="nil"/>
              <w:bottom w:val="single" w:sz="8" w:space="0" w:color="000000"/>
              <w:right w:val="single" w:sz="8" w:space="0" w:color="000000"/>
            </w:tcBorders>
            <w:shd w:val="clear" w:color="auto" w:fill="auto"/>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n-US" w:eastAsia="en-GB"/>
              </w:rPr>
              <w:t> </w:t>
            </w:r>
          </w:p>
        </w:tc>
        <w:tc>
          <w:tcPr>
            <w:tcW w:w="1751" w:type="pct"/>
            <w:gridSpan w:val="3"/>
            <w:tcBorders>
              <w:top w:val="single" w:sz="8" w:space="0" w:color="000000"/>
              <w:left w:val="nil"/>
              <w:bottom w:val="single" w:sz="8" w:space="0" w:color="000000"/>
              <w:right w:val="single" w:sz="8" w:space="0" w:color="000000"/>
            </w:tcBorders>
            <w:shd w:val="clear" w:color="auto" w:fill="auto"/>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n-US" w:eastAsia="en-GB"/>
              </w:rPr>
              <w:t>Gender of the close OTHER</w:t>
            </w:r>
          </w:p>
        </w:tc>
        <w:tc>
          <w:tcPr>
            <w:tcW w:w="1751" w:type="pct"/>
            <w:gridSpan w:val="3"/>
            <w:tcBorders>
              <w:top w:val="single" w:sz="8" w:space="0" w:color="000000"/>
              <w:left w:val="nil"/>
              <w:bottom w:val="single" w:sz="8" w:space="0" w:color="000000"/>
              <w:right w:val="nil"/>
            </w:tcBorders>
            <w:shd w:val="clear" w:color="auto" w:fill="auto"/>
            <w:vAlign w:val="center"/>
            <w:hideMark/>
          </w:tcPr>
          <w:p w:rsidR="00FB1389" w:rsidRPr="00E747F1" w:rsidRDefault="00FB1389" w:rsidP="00E747F1">
            <w:pPr>
              <w:spacing w:after="0" w:line="240" w:lineRule="auto"/>
              <w:jc w:val="both"/>
              <w:rPr>
                <w:rFonts w:eastAsia="Times New Roman" w:cs="Times New Roman"/>
                <w:color w:val="000000"/>
                <w:lang w:eastAsia="en-GB"/>
              </w:rPr>
            </w:pPr>
            <w:proofErr w:type="spellStart"/>
            <w:r w:rsidRPr="00E747F1">
              <w:rPr>
                <w:rFonts w:eastAsia="Times New Roman" w:cs="Times New Roman"/>
                <w:color w:val="000000"/>
                <w:lang w:val="es-ES" w:eastAsia="en-GB"/>
              </w:rPr>
              <w:t>Gender</w:t>
            </w:r>
            <w:proofErr w:type="spellEnd"/>
            <w:r w:rsidRPr="00E747F1">
              <w:rPr>
                <w:rFonts w:eastAsia="Times New Roman" w:cs="Times New Roman"/>
                <w:color w:val="000000"/>
                <w:lang w:val="es-ES" w:eastAsia="en-GB"/>
              </w:rPr>
              <w:t xml:space="preserve"> of </w:t>
            </w:r>
            <w:proofErr w:type="spellStart"/>
            <w:r w:rsidRPr="00E747F1">
              <w:rPr>
                <w:rFonts w:eastAsia="Times New Roman" w:cs="Times New Roman"/>
                <w:color w:val="000000"/>
                <w:lang w:val="es-ES" w:eastAsia="en-GB"/>
              </w:rPr>
              <w:t>the</w:t>
            </w:r>
            <w:proofErr w:type="spellEnd"/>
            <w:r w:rsidRPr="00E747F1">
              <w:rPr>
                <w:rFonts w:eastAsia="Times New Roman" w:cs="Times New Roman"/>
                <w:color w:val="000000"/>
                <w:lang w:val="es-ES" w:eastAsia="en-GB"/>
              </w:rPr>
              <w:t xml:space="preserve"> ACQUAINTANCE</w:t>
            </w:r>
          </w:p>
        </w:tc>
      </w:tr>
      <w:tr w:rsidR="00FB1389" w:rsidRPr="00E747F1" w:rsidTr="00D05EBD">
        <w:trPr>
          <w:trHeight w:val="330"/>
        </w:trPr>
        <w:tc>
          <w:tcPr>
            <w:tcW w:w="1497" w:type="pct"/>
            <w:gridSpan w:val="2"/>
            <w:vMerge/>
            <w:tcBorders>
              <w:top w:val="single" w:sz="8" w:space="0" w:color="000000"/>
              <w:left w:val="nil"/>
              <w:bottom w:val="single" w:sz="8" w:space="0" w:color="000000"/>
              <w:right w:val="single" w:sz="8" w:space="0" w:color="000000"/>
            </w:tcBorders>
            <w:vAlign w:val="center"/>
            <w:hideMark/>
          </w:tcPr>
          <w:p w:rsidR="00FB1389" w:rsidRPr="00E747F1" w:rsidRDefault="00FB1389" w:rsidP="00E747F1">
            <w:pPr>
              <w:spacing w:after="0" w:line="240" w:lineRule="auto"/>
              <w:jc w:val="both"/>
              <w:rPr>
                <w:rFonts w:eastAsia="Times New Roman" w:cs="Times New Roman"/>
                <w:color w:val="000000"/>
                <w:lang w:eastAsia="en-GB"/>
              </w:rPr>
            </w:pPr>
          </w:p>
        </w:tc>
        <w:tc>
          <w:tcPr>
            <w:tcW w:w="578" w:type="pct"/>
            <w:tcBorders>
              <w:top w:val="nil"/>
              <w:left w:val="nil"/>
              <w:bottom w:val="single" w:sz="8" w:space="0" w:color="000000"/>
              <w:right w:val="single" w:sz="8" w:space="0" w:color="000000"/>
            </w:tcBorders>
            <w:shd w:val="clear" w:color="auto" w:fill="auto"/>
            <w:vAlign w:val="center"/>
            <w:hideMark/>
          </w:tcPr>
          <w:p w:rsidR="00FB1389" w:rsidRPr="00E747F1" w:rsidRDefault="00FB1389" w:rsidP="00E747F1">
            <w:pPr>
              <w:spacing w:after="0" w:line="240" w:lineRule="auto"/>
              <w:jc w:val="both"/>
              <w:rPr>
                <w:rFonts w:eastAsia="Times New Roman" w:cs="Times New Roman"/>
                <w:color w:val="000000"/>
                <w:lang w:eastAsia="en-GB"/>
              </w:rPr>
            </w:pPr>
            <w:proofErr w:type="spellStart"/>
            <w:r w:rsidRPr="00E747F1">
              <w:rPr>
                <w:rFonts w:eastAsia="Times New Roman" w:cs="Times New Roman"/>
                <w:color w:val="000000"/>
                <w:lang w:val="es-ES" w:eastAsia="en-GB"/>
              </w:rPr>
              <w:t>Male</w:t>
            </w:r>
            <w:proofErr w:type="spellEnd"/>
          </w:p>
        </w:tc>
        <w:tc>
          <w:tcPr>
            <w:tcW w:w="594" w:type="pct"/>
            <w:tcBorders>
              <w:top w:val="nil"/>
              <w:left w:val="nil"/>
              <w:bottom w:val="single" w:sz="8" w:space="0" w:color="000000"/>
              <w:right w:val="single" w:sz="8" w:space="0" w:color="000000"/>
            </w:tcBorders>
            <w:shd w:val="clear" w:color="auto" w:fill="auto"/>
            <w:vAlign w:val="center"/>
            <w:hideMark/>
          </w:tcPr>
          <w:p w:rsidR="00FB1389" w:rsidRPr="00E747F1" w:rsidRDefault="00FB1389" w:rsidP="00E747F1">
            <w:pPr>
              <w:spacing w:after="0" w:line="240" w:lineRule="auto"/>
              <w:jc w:val="both"/>
              <w:rPr>
                <w:rFonts w:eastAsia="Times New Roman" w:cs="Times New Roman"/>
                <w:color w:val="000000"/>
                <w:lang w:eastAsia="en-GB"/>
              </w:rPr>
            </w:pPr>
            <w:proofErr w:type="spellStart"/>
            <w:r w:rsidRPr="00E747F1">
              <w:rPr>
                <w:rFonts w:eastAsia="Times New Roman" w:cs="Times New Roman"/>
                <w:color w:val="000000"/>
                <w:lang w:val="es-ES" w:eastAsia="en-GB"/>
              </w:rPr>
              <w:t>Female</w:t>
            </w:r>
            <w:proofErr w:type="spellEnd"/>
          </w:p>
        </w:tc>
        <w:tc>
          <w:tcPr>
            <w:tcW w:w="578" w:type="pct"/>
            <w:tcBorders>
              <w:top w:val="nil"/>
              <w:left w:val="nil"/>
              <w:bottom w:val="single" w:sz="8" w:space="0" w:color="000000"/>
              <w:right w:val="single" w:sz="8" w:space="0" w:color="000000"/>
            </w:tcBorders>
            <w:shd w:val="clear" w:color="auto" w:fill="auto"/>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Total</w:t>
            </w:r>
          </w:p>
        </w:tc>
        <w:tc>
          <w:tcPr>
            <w:tcW w:w="578" w:type="pct"/>
            <w:tcBorders>
              <w:top w:val="nil"/>
              <w:left w:val="nil"/>
              <w:bottom w:val="single" w:sz="8" w:space="0" w:color="000000"/>
              <w:right w:val="single" w:sz="8" w:space="0" w:color="000000"/>
            </w:tcBorders>
            <w:shd w:val="clear" w:color="auto" w:fill="auto"/>
            <w:vAlign w:val="center"/>
            <w:hideMark/>
          </w:tcPr>
          <w:p w:rsidR="00FB1389" w:rsidRPr="00E747F1" w:rsidRDefault="00FB1389" w:rsidP="00E747F1">
            <w:pPr>
              <w:spacing w:after="0" w:line="240" w:lineRule="auto"/>
              <w:jc w:val="both"/>
              <w:rPr>
                <w:rFonts w:eastAsia="Times New Roman" w:cs="Times New Roman"/>
                <w:color w:val="000000"/>
                <w:lang w:eastAsia="en-GB"/>
              </w:rPr>
            </w:pPr>
            <w:proofErr w:type="spellStart"/>
            <w:r w:rsidRPr="00E747F1">
              <w:rPr>
                <w:rFonts w:eastAsia="Times New Roman" w:cs="Times New Roman"/>
                <w:color w:val="000000"/>
                <w:lang w:val="es-ES" w:eastAsia="en-GB"/>
              </w:rPr>
              <w:t>Male</w:t>
            </w:r>
            <w:proofErr w:type="spellEnd"/>
          </w:p>
        </w:tc>
        <w:tc>
          <w:tcPr>
            <w:tcW w:w="594" w:type="pct"/>
            <w:tcBorders>
              <w:top w:val="nil"/>
              <w:left w:val="nil"/>
              <w:bottom w:val="single" w:sz="8" w:space="0" w:color="000000"/>
              <w:right w:val="single" w:sz="8" w:space="0" w:color="000000"/>
            </w:tcBorders>
            <w:shd w:val="clear" w:color="auto" w:fill="auto"/>
            <w:vAlign w:val="center"/>
            <w:hideMark/>
          </w:tcPr>
          <w:p w:rsidR="00FB1389" w:rsidRPr="00E747F1" w:rsidRDefault="00FB1389" w:rsidP="00E747F1">
            <w:pPr>
              <w:spacing w:after="0" w:line="240" w:lineRule="auto"/>
              <w:jc w:val="both"/>
              <w:rPr>
                <w:rFonts w:eastAsia="Times New Roman" w:cs="Times New Roman"/>
                <w:color w:val="000000"/>
                <w:lang w:eastAsia="en-GB"/>
              </w:rPr>
            </w:pPr>
            <w:proofErr w:type="spellStart"/>
            <w:r w:rsidRPr="00E747F1">
              <w:rPr>
                <w:rFonts w:eastAsia="Times New Roman" w:cs="Times New Roman"/>
                <w:color w:val="000000"/>
                <w:lang w:val="es-ES" w:eastAsia="en-GB"/>
              </w:rPr>
              <w:t>Female</w:t>
            </w:r>
            <w:proofErr w:type="spellEnd"/>
          </w:p>
        </w:tc>
        <w:tc>
          <w:tcPr>
            <w:tcW w:w="578" w:type="pct"/>
            <w:tcBorders>
              <w:top w:val="nil"/>
              <w:left w:val="nil"/>
              <w:bottom w:val="single" w:sz="8" w:space="0" w:color="000000"/>
              <w:right w:val="nil"/>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Total</w:t>
            </w:r>
          </w:p>
        </w:tc>
      </w:tr>
      <w:tr w:rsidR="00FB1389" w:rsidRPr="00E747F1" w:rsidTr="00D05EBD">
        <w:trPr>
          <w:trHeight w:val="615"/>
        </w:trPr>
        <w:tc>
          <w:tcPr>
            <w:tcW w:w="907" w:type="pct"/>
            <w:vMerge w:val="restart"/>
            <w:tcBorders>
              <w:top w:val="nil"/>
              <w:left w:val="nil"/>
              <w:bottom w:val="single" w:sz="8" w:space="0" w:color="000000"/>
              <w:right w:val="single" w:sz="8" w:space="0" w:color="000000"/>
            </w:tcBorders>
            <w:shd w:val="clear" w:color="auto" w:fill="auto"/>
            <w:vAlign w:val="center"/>
            <w:hideMark/>
          </w:tcPr>
          <w:p w:rsidR="00FB1389" w:rsidRPr="00E747F1" w:rsidRDefault="00FB1389" w:rsidP="00E747F1">
            <w:pPr>
              <w:spacing w:after="0" w:line="240" w:lineRule="auto"/>
              <w:jc w:val="both"/>
              <w:rPr>
                <w:rFonts w:eastAsia="Times New Roman" w:cs="Times New Roman"/>
                <w:color w:val="000000"/>
                <w:lang w:eastAsia="en-GB"/>
              </w:rPr>
            </w:pPr>
            <w:proofErr w:type="spellStart"/>
            <w:r w:rsidRPr="00E747F1">
              <w:rPr>
                <w:rFonts w:eastAsia="Times New Roman" w:cs="Times New Roman"/>
                <w:color w:val="000000"/>
                <w:lang w:val="es-ES" w:eastAsia="en-GB"/>
              </w:rPr>
              <w:t>Participan</w:t>
            </w:r>
            <w:r w:rsidRPr="00E747F1">
              <w:rPr>
                <w:rFonts w:eastAsia="Times New Roman" w:cs="Times New Roman"/>
                <w:lang w:val="es-ES" w:eastAsia="en-GB"/>
              </w:rPr>
              <w:t>t</w:t>
            </w:r>
            <w:r w:rsidRPr="00E747F1">
              <w:rPr>
                <w:rFonts w:eastAsia="Times New Roman" w:cs="Times New Roman"/>
                <w:color w:val="000000"/>
                <w:lang w:val="es-ES" w:eastAsia="en-GB"/>
              </w:rPr>
              <w:t>'s</w:t>
            </w:r>
            <w:proofErr w:type="spellEnd"/>
            <w:r w:rsidRPr="00E747F1">
              <w:rPr>
                <w:rFonts w:eastAsia="Times New Roman" w:cs="Times New Roman"/>
                <w:color w:val="008080"/>
                <w:u w:val="single"/>
                <w:lang w:val="es-ES" w:eastAsia="en-GB"/>
              </w:rPr>
              <w:t xml:space="preserve"> </w:t>
            </w:r>
            <w:proofErr w:type="spellStart"/>
            <w:r w:rsidRPr="00E747F1">
              <w:rPr>
                <w:rFonts w:eastAsia="Times New Roman" w:cs="Times New Roman"/>
                <w:color w:val="000000"/>
                <w:lang w:val="es-ES" w:eastAsia="en-GB"/>
              </w:rPr>
              <w:t>gender</w:t>
            </w:r>
            <w:proofErr w:type="spellEnd"/>
          </w:p>
        </w:tc>
        <w:tc>
          <w:tcPr>
            <w:tcW w:w="590" w:type="pct"/>
            <w:tcBorders>
              <w:top w:val="nil"/>
              <w:left w:val="nil"/>
              <w:bottom w:val="single" w:sz="8" w:space="0" w:color="000000"/>
              <w:right w:val="single" w:sz="8" w:space="0" w:color="000000"/>
            </w:tcBorders>
            <w:shd w:val="clear" w:color="auto" w:fill="auto"/>
            <w:vAlign w:val="center"/>
            <w:hideMark/>
          </w:tcPr>
          <w:p w:rsidR="00FB1389" w:rsidRPr="00E747F1" w:rsidRDefault="00FB1389" w:rsidP="00E747F1">
            <w:pPr>
              <w:spacing w:after="0" w:line="240" w:lineRule="auto"/>
              <w:jc w:val="both"/>
              <w:rPr>
                <w:rFonts w:eastAsia="Times New Roman" w:cs="Times New Roman"/>
                <w:color w:val="000000"/>
                <w:lang w:eastAsia="en-GB"/>
              </w:rPr>
            </w:pPr>
            <w:proofErr w:type="spellStart"/>
            <w:r w:rsidRPr="00E747F1">
              <w:rPr>
                <w:rFonts w:eastAsia="Times New Roman" w:cs="Times New Roman"/>
                <w:color w:val="000000"/>
                <w:lang w:val="es-ES" w:eastAsia="en-GB"/>
              </w:rPr>
              <w:t>Male</w:t>
            </w:r>
            <w:proofErr w:type="spellEnd"/>
          </w:p>
        </w:tc>
        <w:tc>
          <w:tcPr>
            <w:tcW w:w="578" w:type="pct"/>
            <w:tcBorders>
              <w:top w:val="nil"/>
              <w:left w:val="nil"/>
              <w:bottom w:val="single" w:sz="8" w:space="0" w:color="000000"/>
              <w:right w:val="single" w:sz="8" w:space="0" w:color="000000"/>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22</w:t>
            </w:r>
          </w:p>
        </w:tc>
        <w:tc>
          <w:tcPr>
            <w:tcW w:w="594" w:type="pct"/>
            <w:tcBorders>
              <w:top w:val="nil"/>
              <w:left w:val="nil"/>
              <w:bottom w:val="single" w:sz="8" w:space="0" w:color="000000"/>
              <w:right w:val="single" w:sz="8" w:space="0" w:color="000000"/>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65</w:t>
            </w:r>
          </w:p>
        </w:tc>
        <w:tc>
          <w:tcPr>
            <w:tcW w:w="578" w:type="pct"/>
            <w:tcBorders>
              <w:top w:val="nil"/>
              <w:left w:val="nil"/>
              <w:bottom w:val="single" w:sz="8" w:space="0" w:color="000000"/>
              <w:right w:val="single" w:sz="8" w:space="0" w:color="000000"/>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87</w:t>
            </w:r>
          </w:p>
        </w:tc>
        <w:tc>
          <w:tcPr>
            <w:tcW w:w="578" w:type="pct"/>
            <w:tcBorders>
              <w:top w:val="nil"/>
              <w:left w:val="nil"/>
              <w:bottom w:val="single" w:sz="8" w:space="0" w:color="000000"/>
              <w:right w:val="single" w:sz="8" w:space="0" w:color="000000"/>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58</w:t>
            </w:r>
          </w:p>
        </w:tc>
        <w:tc>
          <w:tcPr>
            <w:tcW w:w="594" w:type="pct"/>
            <w:tcBorders>
              <w:top w:val="nil"/>
              <w:left w:val="nil"/>
              <w:bottom w:val="single" w:sz="8" w:space="0" w:color="000000"/>
              <w:right w:val="single" w:sz="8" w:space="0" w:color="000000"/>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29</w:t>
            </w:r>
          </w:p>
        </w:tc>
        <w:tc>
          <w:tcPr>
            <w:tcW w:w="578" w:type="pct"/>
            <w:tcBorders>
              <w:top w:val="nil"/>
              <w:left w:val="nil"/>
              <w:bottom w:val="single" w:sz="8" w:space="0" w:color="000000"/>
              <w:right w:val="nil"/>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87</w:t>
            </w:r>
          </w:p>
        </w:tc>
      </w:tr>
      <w:tr w:rsidR="00FB1389" w:rsidRPr="00E747F1" w:rsidTr="00D05EBD">
        <w:trPr>
          <w:trHeight w:val="330"/>
        </w:trPr>
        <w:tc>
          <w:tcPr>
            <w:tcW w:w="907" w:type="pct"/>
            <w:vMerge/>
            <w:tcBorders>
              <w:top w:val="nil"/>
              <w:left w:val="nil"/>
              <w:bottom w:val="single" w:sz="8" w:space="0" w:color="000000"/>
              <w:right w:val="single" w:sz="8" w:space="0" w:color="000000"/>
            </w:tcBorders>
            <w:vAlign w:val="center"/>
            <w:hideMark/>
          </w:tcPr>
          <w:p w:rsidR="00FB1389" w:rsidRPr="00E747F1" w:rsidRDefault="00FB1389" w:rsidP="00E747F1">
            <w:pPr>
              <w:spacing w:after="0" w:line="240" w:lineRule="auto"/>
              <w:jc w:val="both"/>
              <w:rPr>
                <w:rFonts w:eastAsia="Times New Roman" w:cs="Times New Roman"/>
                <w:color w:val="000000"/>
                <w:lang w:eastAsia="en-GB"/>
              </w:rPr>
            </w:pPr>
          </w:p>
        </w:tc>
        <w:tc>
          <w:tcPr>
            <w:tcW w:w="590" w:type="pct"/>
            <w:tcBorders>
              <w:top w:val="nil"/>
              <w:left w:val="nil"/>
              <w:bottom w:val="single" w:sz="8" w:space="0" w:color="000000"/>
              <w:right w:val="single" w:sz="8" w:space="0" w:color="000000"/>
            </w:tcBorders>
            <w:shd w:val="clear" w:color="auto" w:fill="auto"/>
            <w:vAlign w:val="center"/>
            <w:hideMark/>
          </w:tcPr>
          <w:p w:rsidR="00FB1389" w:rsidRPr="00E747F1" w:rsidRDefault="00FB1389" w:rsidP="00E747F1">
            <w:pPr>
              <w:spacing w:after="0" w:line="240" w:lineRule="auto"/>
              <w:jc w:val="both"/>
              <w:rPr>
                <w:rFonts w:eastAsia="Times New Roman" w:cs="Times New Roman"/>
                <w:color w:val="000000"/>
                <w:lang w:eastAsia="en-GB"/>
              </w:rPr>
            </w:pPr>
            <w:proofErr w:type="spellStart"/>
            <w:r w:rsidRPr="00E747F1">
              <w:rPr>
                <w:rFonts w:eastAsia="Times New Roman" w:cs="Times New Roman"/>
                <w:color w:val="000000"/>
                <w:lang w:val="es-ES" w:eastAsia="en-GB"/>
              </w:rPr>
              <w:t>Female</w:t>
            </w:r>
            <w:proofErr w:type="spellEnd"/>
          </w:p>
        </w:tc>
        <w:tc>
          <w:tcPr>
            <w:tcW w:w="578" w:type="pct"/>
            <w:tcBorders>
              <w:top w:val="nil"/>
              <w:left w:val="nil"/>
              <w:bottom w:val="single" w:sz="8" w:space="0" w:color="000000"/>
              <w:right w:val="single" w:sz="8" w:space="0" w:color="000000"/>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61</w:t>
            </w:r>
          </w:p>
        </w:tc>
        <w:tc>
          <w:tcPr>
            <w:tcW w:w="594" w:type="pct"/>
            <w:tcBorders>
              <w:top w:val="nil"/>
              <w:left w:val="nil"/>
              <w:bottom w:val="single" w:sz="8" w:space="0" w:color="000000"/>
              <w:right w:val="single" w:sz="8" w:space="0" w:color="000000"/>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37</w:t>
            </w:r>
          </w:p>
        </w:tc>
        <w:tc>
          <w:tcPr>
            <w:tcW w:w="578" w:type="pct"/>
            <w:tcBorders>
              <w:top w:val="nil"/>
              <w:left w:val="nil"/>
              <w:bottom w:val="single" w:sz="8" w:space="0" w:color="000000"/>
              <w:right w:val="single" w:sz="8" w:space="0" w:color="000000"/>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98</w:t>
            </w:r>
          </w:p>
        </w:tc>
        <w:tc>
          <w:tcPr>
            <w:tcW w:w="578" w:type="pct"/>
            <w:tcBorders>
              <w:top w:val="nil"/>
              <w:left w:val="nil"/>
              <w:bottom w:val="single" w:sz="8" w:space="0" w:color="000000"/>
              <w:right w:val="single" w:sz="8" w:space="0" w:color="000000"/>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34</w:t>
            </w:r>
          </w:p>
        </w:tc>
        <w:tc>
          <w:tcPr>
            <w:tcW w:w="594" w:type="pct"/>
            <w:tcBorders>
              <w:top w:val="nil"/>
              <w:left w:val="nil"/>
              <w:bottom w:val="single" w:sz="8" w:space="0" w:color="000000"/>
              <w:right w:val="single" w:sz="8" w:space="0" w:color="000000"/>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64</w:t>
            </w:r>
          </w:p>
        </w:tc>
        <w:tc>
          <w:tcPr>
            <w:tcW w:w="578" w:type="pct"/>
            <w:tcBorders>
              <w:top w:val="nil"/>
              <w:left w:val="nil"/>
              <w:bottom w:val="single" w:sz="8" w:space="0" w:color="000000"/>
              <w:right w:val="nil"/>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98</w:t>
            </w:r>
          </w:p>
        </w:tc>
      </w:tr>
      <w:tr w:rsidR="00FB1389" w:rsidRPr="00E747F1" w:rsidTr="00D05EBD">
        <w:trPr>
          <w:trHeight w:val="330"/>
        </w:trPr>
        <w:tc>
          <w:tcPr>
            <w:tcW w:w="1497" w:type="pct"/>
            <w:gridSpan w:val="2"/>
            <w:tcBorders>
              <w:top w:val="single" w:sz="8" w:space="0" w:color="000000"/>
              <w:left w:val="nil"/>
              <w:bottom w:val="double" w:sz="6" w:space="0" w:color="000000"/>
              <w:right w:val="single" w:sz="8" w:space="0" w:color="000000"/>
            </w:tcBorders>
            <w:shd w:val="clear" w:color="auto" w:fill="auto"/>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Total</w:t>
            </w:r>
          </w:p>
        </w:tc>
        <w:tc>
          <w:tcPr>
            <w:tcW w:w="578" w:type="pct"/>
            <w:tcBorders>
              <w:top w:val="nil"/>
              <w:left w:val="nil"/>
              <w:bottom w:val="double" w:sz="6" w:space="0" w:color="000000"/>
              <w:right w:val="single" w:sz="8" w:space="0" w:color="000000"/>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83</w:t>
            </w:r>
          </w:p>
        </w:tc>
        <w:tc>
          <w:tcPr>
            <w:tcW w:w="594" w:type="pct"/>
            <w:tcBorders>
              <w:top w:val="nil"/>
              <w:left w:val="nil"/>
              <w:bottom w:val="double" w:sz="6" w:space="0" w:color="000000"/>
              <w:right w:val="single" w:sz="8" w:space="0" w:color="000000"/>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102</w:t>
            </w:r>
          </w:p>
        </w:tc>
        <w:tc>
          <w:tcPr>
            <w:tcW w:w="578" w:type="pct"/>
            <w:tcBorders>
              <w:top w:val="nil"/>
              <w:left w:val="nil"/>
              <w:bottom w:val="double" w:sz="6" w:space="0" w:color="000000"/>
              <w:right w:val="single" w:sz="8" w:space="0" w:color="000000"/>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185</w:t>
            </w:r>
          </w:p>
        </w:tc>
        <w:tc>
          <w:tcPr>
            <w:tcW w:w="578" w:type="pct"/>
            <w:tcBorders>
              <w:top w:val="nil"/>
              <w:left w:val="nil"/>
              <w:bottom w:val="double" w:sz="6" w:space="0" w:color="000000"/>
              <w:right w:val="single" w:sz="8" w:space="0" w:color="000000"/>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92</w:t>
            </w:r>
          </w:p>
        </w:tc>
        <w:tc>
          <w:tcPr>
            <w:tcW w:w="594" w:type="pct"/>
            <w:tcBorders>
              <w:top w:val="nil"/>
              <w:left w:val="nil"/>
              <w:bottom w:val="double" w:sz="6" w:space="0" w:color="000000"/>
              <w:right w:val="single" w:sz="8" w:space="0" w:color="000000"/>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93</w:t>
            </w:r>
          </w:p>
        </w:tc>
        <w:tc>
          <w:tcPr>
            <w:tcW w:w="578" w:type="pct"/>
            <w:tcBorders>
              <w:top w:val="nil"/>
              <w:left w:val="nil"/>
              <w:bottom w:val="double" w:sz="6" w:space="0" w:color="000000"/>
              <w:right w:val="nil"/>
            </w:tcBorders>
            <w:shd w:val="clear" w:color="auto" w:fill="auto"/>
            <w:noWrap/>
            <w:vAlign w:val="center"/>
            <w:hideMark/>
          </w:tcPr>
          <w:p w:rsidR="00FB1389" w:rsidRPr="00E747F1" w:rsidRDefault="00FB1389" w:rsidP="00E747F1">
            <w:pPr>
              <w:spacing w:after="0" w:line="240" w:lineRule="auto"/>
              <w:jc w:val="both"/>
              <w:rPr>
                <w:rFonts w:eastAsia="Times New Roman" w:cs="Times New Roman"/>
                <w:color w:val="000000"/>
                <w:lang w:eastAsia="en-GB"/>
              </w:rPr>
            </w:pPr>
            <w:r w:rsidRPr="00E747F1">
              <w:rPr>
                <w:rFonts w:eastAsia="Times New Roman" w:cs="Times New Roman"/>
                <w:color w:val="000000"/>
                <w:lang w:val="es-ES" w:eastAsia="en-GB"/>
              </w:rPr>
              <w:t>185</w:t>
            </w:r>
          </w:p>
        </w:tc>
      </w:tr>
    </w:tbl>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jc w:val="both"/>
        <w:rPr>
          <w:i/>
          <w:sz w:val="24"/>
          <w:szCs w:val="24"/>
        </w:rPr>
      </w:pPr>
      <w:r w:rsidRPr="00D05EBD">
        <w:rPr>
          <w:i/>
          <w:sz w:val="24"/>
          <w:szCs w:val="24"/>
        </w:rPr>
        <w:tab/>
      </w:r>
      <w:r w:rsidRPr="00D05EBD">
        <w:rPr>
          <w:i/>
          <w:sz w:val="24"/>
          <w:szCs w:val="24"/>
        </w:rPr>
        <w:tab/>
        <w:t>2.3.2.2 Self-reported AIER</w:t>
      </w:r>
    </w:p>
    <w:p w:rsidR="00FB1389" w:rsidRPr="00D05EBD" w:rsidRDefault="00FB1389" w:rsidP="00AE640B">
      <w:pPr>
        <w:spacing w:after="0" w:line="480" w:lineRule="auto"/>
        <w:jc w:val="both"/>
        <w:rPr>
          <w:i/>
          <w:sz w:val="24"/>
          <w:szCs w:val="24"/>
        </w:rPr>
      </w:pPr>
      <w:r w:rsidRPr="00D05EBD">
        <w:rPr>
          <w:i/>
          <w:sz w:val="24"/>
          <w:szCs w:val="24"/>
        </w:rPr>
        <w:t xml:space="preserve"> </w:t>
      </w:r>
    </w:p>
    <w:p w:rsidR="00FB1389" w:rsidRPr="00D05EBD" w:rsidRDefault="00FB1389" w:rsidP="00AE640B">
      <w:pPr>
        <w:pStyle w:val="Prrafodelista"/>
        <w:spacing w:after="0" w:line="480" w:lineRule="auto"/>
        <w:ind w:left="0"/>
        <w:jc w:val="both"/>
        <w:rPr>
          <w:sz w:val="24"/>
          <w:szCs w:val="24"/>
        </w:rPr>
      </w:pPr>
      <w:r w:rsidRPr="00D05EBD">
        <w:rPr>
          <w:sz w:val="24"/>
          <w:szCs w:val="24"/>
        </w:rPr>
        <w:tab/>
        <w:t>A two-way repeated measures ANOVA was conducted to look at the effect the nature of the relationship (close other and acquaintance) and the nature of the IER (positive or negative) had on the relative a</w:t>
      </w:r>
      <w:r w:rsidR="000D0F25">
        <w:rPr>
          <w:sz w:val="24"/>
          <w:szCs w:val="24"/>
        </w:rPr>
        <w:t xml:space="preserve">utomaticity of IER (see Table </w:t>
      </w:r>
      <w:r w:rsidR="00667ED1">
        <w:rPr>
          <w:sz w:val="24"/>
          <w:szCs w:val="24"/>
        </w:rPr>
        <w:t>I</w:t>
      </w:r>
      <w:r w:rsidR="000D0F25">
        <w:rPr>
          <w:sz w:val="24"/>
          <w:szCs w:val="24"/>
        </w:rPr>
        <w:t>I.2</w:t>
      </w:r>
      <w:r w:rsidRPr="00D05EBD">
        <w:rPr>
          <w:sz w:val="24"/>
          <w:szCs w:val="24"/>
        </w:rPr>
        <w:t>).</w:t>
      </w:r>
    </w:p>
    <w:tbl>
      <w:tblPr>
        <w:tblW w:w="5000" w:type="pct"/>
        <w:tblLook w:val="04A0"/>
      </w:tblPr>
      <w:tblGrid>
        <w:gridCol w:w="2962"/>
        <w:gridCol w:w="2961"/>
        <w:gridCol w:w="2959"/>
      </w:tblGrid>
      <w:tr w:rsidR="00FA33AF" w:rsidRPr="00FA33AF" w:rsidTr="00FA33AF">
        <w:trPr>
          <w:trHeight w:val="510"/>
        </w:trPr>
        <w:tc>
          <w:tcPr>
            <w:tcW w:w="5000" w:type="pct"/>
            <w:gridSpan w:val="3"/>
            <w:tcBorders>
              <w:top w:val="nil"/>
              <w:left w:val="nil"/>
              <w:bottom w:val="single" w:sz="4" w:space="0" w:color="auto"/>
              <w:right w:val="nil"/>
            </w:tcBorders>
            <w:shd w:val="clear" w:color="auto" w:fill="auto"/>
            <w:vAlign w:val="center"/>
            <w:hideMark/>
          </w:tcPr>
          <w:p w:rsidR="00FA33AF" w:rsidRPr="00FA33AF" w:rsidRDefault="00FA33AF" w:rsidP="00FA33AF">
            <w:pPr>
              <w:spacing w:after="0" w:line="240" w:lineRule="auto"/>
              <w:rPr>
                <w:rFonts w:ascii="Calibri" w:eastAsia="Times New Roman" w:hAnsi="Calibri" w:cs="Times New Roman"/>
                <w:color w:val="000000"/>
                <w:lang w:eastAsia="en-GB"/>
              </w:rPr>
            </w:pPr>
            <w:r w:rsidRPr="00FA33AF">
              <w:rPr>
                <w:rFonts w:ascii="Calibri" w:eastAsia="Times New Roman" w:hAnsi="Calibri" w:cs="Times New Roman"/>
                <w:color w:val="000000"/>
                <w:lang w:eastAsia="en-GB"/>
              </w:rPr>
              <w:t xml:space="preserve">Table </w:t>
            </w:r>
            <w:r w:rsidR="00667ED1">
              <w:rPr>
                <w:rFonts w:ascii="Calibri" w:eastAsia="Times New Roman" w:hAnsi="Calibri" w:cs="Times New Roman"/>
                <w:color w:val="000000"/>
                <w:lang w:eastAsia="en-GB"/>
              </w:rPr>
              <w:t>II.</w:t>
            </w:r>
            <w:r w:rsidRPr="00FA33AF">
              <w:rPr>
                <w:rFonts w:ascii="Calibri" w:eastAsia="Times New Roman" w:hAnsi="Calibri" w:cs="Times New Roman"/>
                <w:color w:val="000000"/>
                <w:lang w:eastAsia="en-GB"/>
              </w:rPr>
              <w:t>2. Mean of AIER by nature of relationship and nature of IER </w:t>
            </w:r>
          </w:p>
        </w:tc>
      </w:tr>
      <w:tr w:rsidR="00FA33AF" w:rsidRPr="00FA33AF" w:rsidTr="00FA33AF">
        <w:trPr>
          <w:trHeight w:val="510"/>
        </w:trPr>
        <w:tc>
          <w:tcPr>
            <w:tcW w:w="1667" w:type="pct"/>
            <w:tcBorders>
              <w:top w:val="nil"/>
              <w:left w:val="nil"/>
              <w:bottom w:val="single" w:sz="4" w:space="0" w:color="auto"/>
              <w:right w:val="nil"/>
            </w:tcBorders>
            <w:shd w:val="clear" w:color="auto" w:fill="auto"/>
            <w:noWrap/>
            <w:vAlign w:val="bottom"/>
            <w:hideMark/>
          </w:tcPr>
          <w:p w:rsidR="00FA33AF" w:rsidRPr="00FA33AF" w:rsidRDefault="00FA33AF" w:rsidP="00FA33AF">
            <w:pPr>
              <w:spacing w:after="0" w:line="240" w:lineRule="auto"/>
              <w:rPr>
                <w:rFonts w:ascii="Calibri" w:eastAsia="Times New Roman" w:hAnsi="Calibri" w:cs="Times New Roman"/>
                <w:color w:val="000000"/>
                <w:lang w:eastAsia="en-GB"/>
              </w:rPr>
            </w:pPr>
            <w:r w:rsidRPr="00FA33AF">
              <w:rPr>
                <w:rFonts w:ascii="Calibri" w:eastAsia="Times New Roman" w:hAnsi="Calibri" w:cs="Times New Roman"/>
                <w:color w:val="000000"/>
                <w:lang w:eastAsia="en-GB"/>
              </w:rPr>
              <w:t> </w:t>
            </w:r>
          </w:p>
        </w:tc>
        <w:tc>
          <w:tcPr>
            <w:tcW w:w="1667" w:type="pct"/>
            <w:tcBorders>
              <w:top w:val="nil"/>
              <w:left w:val="single" w:sz="4" w:space="0" w:color="auto"/>
              <w:bottom w:val="single" w:sz="4" w:space="0" w:color="auto"/>
              <w:right w:val="single" w:sz="4" w:space="0" w:color="auto"/>
            </w:tcBorders>
            <w:shd w:val="clear" w:color="auto" w:fill="auto"/>
            <w:vAlign w:val="center"/>
            <w:hideMark/>
          </w:tcPr>
          <w:p w:rsidR="00FA33AF" w:rsidRPr="00FA33AF" w:rsidRDefault="00FA33AF" w:rsidP="00FA33AF">
            <w:pPr>
              <w:spacing w:after="0" w:line="240" w:lineRule="auto"/>
              <w:rPr>
                <w:rFonts w:ascii="Calibri" w:eastAsia="Times New Roman" w:hAnsi="Calibri" w:cs="Times New Roman"/>
                <w:color w:val="000000"/>
                <w:lang w:eastAsia="en-GB"/>
              </w:rPr>
            </w:pPr>
            <w:r w:rsidRPr="00FA33AF">
              <w:rPr>
                <w:rFonts w:ascii="Calibri" w:eastAsia="Times New Roman" w:hAnsi="Calibri" w:cs="Times New Roman"/>
                <w:color w:val="000000"/>
                <w:lang w:eastAsia="en-GB"/>
              </w:rPr>
              <w:t>Improving IER</w:t>
            </w:r>
          </w:p>
        </w:tc>
        <w:tc>
          <w:tcPr>
            <w:tcW w:w="1667" w:type="pct"/>
            <w:tcBorders>
              <w:top w:val="nil"/>
              <w:left w:val="nil"/>
              <w:bottom w:val="single" w:sz="4" w:space="0" w:color="auto"/>
              <w:right w:val="nil"/>
            </w:tcBorders>
            <w:shd w:val="clear" w:color="auto" w:fill="auto"/>
            <w:vAlign w:val="center"/>
            <w:hideMark/>
          </w:tcPr>
          <w:p w:rsidR="00FA33AF" w:rsidRPr="00FA33AF" w:rsidRDefault="00FA33AF" w:rsidP="00FA33AF">
            <w:pPr>
              <w:spacing w:after="0" w:line="240" w:lineRule="auto"/>
              <w:rPr>
                <w:rFonts w:ascii="Calibri" w:eastAsia="Times New Roman" w:hAnsi="Calibri" w:cs="Times New Roman"/>
                <w:color w:val="000000"/>
                <w:lang w:eastAsia="en-GB"/>
              </w:rPr>
            </w:pPr>
            <w:r w:rsidRPr="00FA33AF">
              <w:rPr>
                <w:rFonts w:ascii="Calibri" w:eastAsia="Times New Roman" w:hAnsi="Calibri" w:cs="Times New Roman"/>
                <w:color w:val="000000"/>
                <w:lang w:eastAsia="en-GB"/>
              </w:rPr>
              <w:t>Worsening  IER</w:t>
            </w:r>
          </w:p>
        </w:tc>
      </w:tr>
      <w:tr w:rsidR="00FA33AF" w:rsidRPr="00FA33AF" w:rsidTr="00FA33AF">
        <w:trPr>
          <w:trHeight w:val="405"/>
        </w:trPr>
        <w:tc>
          <w:tcPr>
            <w:tcW w:w="1667" w:type="pct"/>
            <w:tcBorders>
              <w:top w:val="nil"/>
              <w:left w:val="nil"/>
              <w:bottom w:val="nil"/>
              <w:right w:val="nil"/>
            </w:tcBorders>
            <w:shd w:val="clear" w:color="auto" w:fill="auto"/>
            <w:vAlign w:val="center"/>
            <w:hideMark/>
          </w:tcPr>
          <w:p w:rsidR="00FA33AF" w:rsidRPr="00FA33AF" w:rsidRDefault="00FA33AF" w:rsidP="00FA33AF">
            <w:pPr>
              <w:spacing w:after="0" w:line="240" w:lineRule="auto"/>
              <w:rPr>
                <w:rFonts w:ascii="Calibri" w:eastAsia="Times New Roman" w:hAnsi="Calibri" w:cs="Times New Roman"/>
                <w:color w:val="000000"/>
                <w:lang w:eastAsia="en-GB"/>
              </w:rPr>
            </w:pPr>
            <w:r w:rsidRPr="00FA33AF">
              <w:rPr>
                <w:rFonts w:ascii="Calibri" w:eastAsia="Times New Roman" w:hAnsi="Calibri" w:cs="Times New Roman"/>
                <w:color w:val="000000"/>
                <w:lang w:eastAsia="en-GB"/>
              </w:rPr>
              <w:t>Close other</w:t>
            </w:r>
          </w:p>
        </w:tc>
        <w:tc>
          <w:tcPr>
            <w:tcW w:w="1667" w:type="pct"/>
            <w:tcBorders>
              <w:top w:val="nil"/>
              <w:left w:val="single" w:sz="4" w:space="0" w:color="auto"/>
              <w:bottom w:val="nil"/>
              <w:right w:val="single" w:sz="4" w:space="0" w:color="auto"/>
            </w:tcBorders>
            <w:shd w:val="clear" w:color="auto" w:fill="auto"/>
            <w:noWrap/>
            <w:vAlign w:val="bottom"/>
            <w:hideMark/>
          </w:tcPr>
          <w:p w:rsidR="00FA33AF" w:rsidRPr="00FA33AF" w:rsidRDefault="00FA33AF" w:rsidP="00FA33AF">
            <w:pPr>
              <w:spacing w:after="0" w:line="240" w:lineRule="auto"/>
              <w:rPr>
                <w:rFonts w:ascii="Calibri" w:eastAsia="Times New Roman" w:hAnsi="Calibri" w:cs="Times New Roman"/>
                <w:color w:val="000000"/>
                <w:lang w:eastAsia="en-GB"/>
              </w:rPr>
            </w:pPr>
            <w:r w:rsidRPr="00FA33AF">
              <w:rPr>
                <w:rFonts w:ascii="Calibri" w:eastAsia="Times New Roman" w:hAnsi="Calibri" w:cs="Times New Roman"/>
                <w:color w:val="000000"/>
                <w:lang w:eastAsia="en-GB"/>
              </w:rPr>
              <w:t>5.56               (0.82)</w:t>
            </w:r>
          </w:p>
        </w:tc>
        <w:tc>
          <w:tcPr>
            <w:tcW w:w="1667" w:type="pct"/>
            <w:tcBorders>
              <w:top w:val="nil"/>
              <w:left w:val="nil"/>
              <w:bottom w:val="nil"/>
              <w:right w:val="nil"/>
            </w:tcBorders>
            <w:shd w:val="clear" w:color="auto" w:fill="auto"/>
            <w:noWrap/>
            <w:vAlign w:val="bottom"/>
            <w:hideMark/>
          </w:tcPr>
          <w:p w:rsidR="00FA33AF" w:rsidRPr="00FA33AF" w:rsidRDefault="00FA33AF" w:rsidP="00FA33AF">
            <w:pPr>
              <w:spacing w:after="0" w:line="240" w:lineRule="auto"/>
              <w:rPr>
                <w:rFonts w:ascii="Calibri" w:eastAsia="Times New Roman" w:hAnsi="Calibri" w:cs="Times New Roman"/>
                <w:color w:val="000000"/>
                <w:lang w:eastAsia="en-GB"/>
              </w:rPr>
            </w:pPr>
            <w:r w:rsidRPr="00FA33AF">
              <w:rPr>
                <w:rFonts w:ascii="Calibri" w:eastAsia="Times New Roman" w:hAnsi="Calibri" w:cs="Times New Roman"/>
                <w:color w:val="000000"/>
                <w:lang w:eastAsia="en-GB"/>
              </w:rPr>
              <w:t>2.86               (0.99)</w:t>
            </w:r>
          </w:p>
        </w:tc>
      </w:tr>
      <w:tr w:rsidR="00FA33AF" w:rsidRPr="00FA33AF" w:rsidTr="00FA33AF">
        <w:trPr>
          <w:trHeight w:val="405"/>
        </w:trPr>
        <w:tc>
          <w:tcPr>
            <w:tcW w:w="1667" w:type="pct"/>
            <w:tcBorders>
              <w:top w:val="nil"/>
              <w:left w:val="nil"/>
              <w:bottom w:val="double" w:sz="6" w:space="0" w:color="auto"/>
              <w:right w:val="nil"/>
            </w:tcBorders>
            <w:shd w:val="clear" w:color="auto" w:fill="auto"/>
            <w:vAlign w:val="center"/>
            <w:hideMark/>
          </w:tcPr>
          <w:p w:rsidR="00FA33AF" w:rsidRPr="00FA33AF" w:rsidRDefault="00FA33AF" w:rsidP="00FA33AF">
            <w:pPr>
              <w:spacing w:after="0" w:line="240" w:lineRule="auto"/>
              <w:rPr>
                <w:rFonts w:ascii="Calibri" w:eastAsia="Times New Roman" w:hAnsi="Calibri" w:cs="Times New Roman"/>
                <w:color w:val="000000"/>
                <w:lang w:eastAsia="en-GB"/>
              </w:rPr>
            </w:pPr>
            <w:r w:rsidRPr="00FA33AF">
              <w:rPr>
                <w:rFonts w:ascii="Calibri" w:eastAsia="Times New Roman" w:hAnsi="Calibri" w:cs="Times New Roman"/>
                <w:color w:val="000000"/>
                <w:lang w:eastAsia="en-GB"/>
              </w:rPr>
              <w:t>Acquaintance</w:t>
            </w:r>
          </w:p>
        </w:tc>
        <w:tc>
          <w:tcPr>
            <w:tcW w:w="1667" w:type="pct"/>
            <w:tcBorders>
              <w:top w:val="nil"/>
              <w:left w:val="single" w:sz="4" w:space="0" w:color="auto"/>
              <w:bottom w:val="double" w:sz="6" w:space="0" w:color="auto"/>
              <w:right w:val="single" w:sz="4" w:space="0" w:color="auto"/>
            </w:tcBorders>
            <w:shd w:val="clear" w:color="auto" w:fill="auto"/>
            <w:noWrap/>
            <w:vAlign w:val="bottom"/>
            <w:hideMark/>
          </w:tcPr>
          <w:p w:rsidR="00FA33AF" w:rsidRPr="00FA33AF" w:rsidRDefault="00FA33AF" w:rsidP="00FA33AF">
            <w:pPr>
              <w:spacing w:after="0" w:line="240" w:lineRule="auto"/>
              <w:rPr>
                <w:rFonts w:ascii="Calibri" w:eastAsia="Times New Roman" w:hAnsi="Calibri" w:cs="Times New Roman"/>
                <w:color w:val="000000"/>
                <w:lang w:eastAsia="en-GB"/>
              </w:rPr>
            </w:pPr>
            <w:r w:rsidRPr="00FA33AF">
              <w:rPr>
                <w:rFonts w:ascii="Calibri" w:eastAsia="Times New Roman" w:hAnsi="Calibri" w:cs="Times New Roman"/>
                <w:color w:val="000000"/>
                <w:lang w:eastAsia="en-GB"/>
              </w:rPr>
              <w:t>3.12               (1.23)</w:t>
            </w:r>
          </w:p>
        </w:tc>
        <w:tc>
          <w:tcPr>
            <w:tcW w:w="1667" w:type="pct"/>
            <w:tcBorders>
              <w:top w:val="nil"/>
              <w:left w:val="nil"/>
              <w:bottom w:val="double" w:sz="6" w:space="0" w:color="auto"/>
              <w:right w:val="nil"/>
            </w:tcBorders>
            <w:shd w:val="clear" w:color="auto" w:fill="auto"/>
            <w:noWrap/>
            <w:vAlign w:val="bottom"/>
            <w:hideMark/>
          </w:tcPr>
          <w:p w:rsidR="00FA33AF" w:rsidRPr="00FA33AF" w:rsidRDefault="00FA33AF" w:rsidP="00FA33AF">
            <w:pPr>
              <w:spacing w:after="0" w:line="240" w:lineRule="auto"/>
              <w:rPr>
                <w:rFonts w:ascii="Calibri" w:eastAsia="Times New Roman" w:hAnsi="Calibri" w:cs="Times New Roman"/>
                <w:color w:val="000000"/>
                <w:lang w:eastAsia="en-GB"/>
              </w:rPr>
            </w:pPr>
            <w:r w:rsidRPr="00FA33AF">
              <w:rPr>
                <w:rFonts w:ascii="Calibri" w:eastAsia="Times New Roman" w:hAnsi="Calibri" w:cs="Times New Roman"/>
                <w:color w:val="000000"/>
                <w:lang w:eastAsia="en-GB"/>
              </w:rPr>
              <w:t>1.98               (0.84)</w:t>
            </w:r>
          </w:p>
        </w:tc>
      </w:tr>
      <w:tr w:rsidR="00FA33AF" w:rsidRPr="00FA33AF" w:rsidTr="00FA33AF">
        <w:trPr>
          <w:trHeight w:val="585"/>
        </w:trPr>
        <w:tc>
          <w:tcPr>
            <w:tcW w:w="5000" w:type="pct"/>
            <w:gridSpan w:val="3"/>
            <w:tcBorders>
              <w:top w:val="double" w:sz="6" w:space="0" w:color="auto"/>
              <w:left w:val="nil"/>
              <w:bottom w:val="nil"/>
              <w:right w:val="nil"/>
            </w:tcBorders>
            <w:shd w:val="clear" w:color="auto" w:fill="auto"/>
            <w:hideMark/>
          </w:tcPr>
          <w:p w:rsidR="00FA33AF" w:rsidRPr="00FA33AF" w:rsidRDefault="00FA33AF" w:rsidP="00FA33AF">
            <w:pPr>
              <w:spacing w:after="0" w:line="240" w:lineRule="auto"/>
              <w:rPr>
                <w:rFonts w:ascii="Calibri" w:eastAsia="Times New Roman" w:hAnsi="Calibri" w:cs="Times New Roman"/>
                <w:i/>
                <w:iCs/>
                <w:color w:val="000000"/>
                <w:sz w:val="18"/>
                <w:szCs w:val="18"/>
                <w:lang w:eastAsia="en-GB"/>
              </w:rPr>
            </w:pPr>
            <w:r w:rsidRPr="00FA33AF">
              <w:rPr>
                <w:rFonts w:ascii="Calibri" w:eastAsia="Times New Roman" w:hAnsi="Calibri" w:cs="Times New Roman"/>
                <w:i/>
                <w:iCs/>
                <w:color w:val="000000"/>
                <w:sz w:val="18"/>
                <w:szCs w:val="18"/>
                <w:lang w:eastAsia="en-GB"/>
              </w:rPr>
              <w:t xml:space="preserve">Note. </w:t>
            </w:r>
            <w:r w:rsidRPr="00FA33AF">
              <w:rPr>
                <w:rFonts w:ascii="Calibri" w:eastAsia="Times New Roman" w:hAnsi="Calibri" w:cs="Times New Roman"/>
                <w:color w:val="000000"/>
                <w:sz w:val="18"/>
                <w:szCs w:val="18"/>
                <w:lang w:eastAsia="en-GB"/>
              </w:rPr>
              <w:t xml:space="preserve">Standard deviations are in parenthesis. Self-reports of AIER ranged from 1 to 7, with 7 indicating the highest level of automaticity. </w:t>
            </w:r>
          </w:p>
        </w:tc>
      </w:tr>
    </w:tbl>
    <w:p w:rsidR="00FA33AF" w:rsidRDefault="00FA33AF" w:rsidP="00DE1F3F">
      <w:pPr>
        <w:pStyle w:val="Prrafodelista"/>
        <w:spacing w:after="0" w:line="480" w:lineRule="auto"/>
        <w:ind w:left="0" w:firstLine="720"/>
        <w:jc w:val="both"/>
        <w:rPr>
          <w:sz w:val="24"/>
          <w:szCs w:val="24"/>
        </w:rPr>
      </w:pPr>
    </w:p>
    <w:p w:rsidR="00FB1389" w:rsidRPr="00D05EBD" w:rsidRDefault="00FB1389" w:rsidP="00DE1F3F">
      <w:pPr>
        <w:pStyle w:val="Prrafodelista"/>
        <w:spacing w:after="0" w:line="480" w:lineRule="auto"/>
        <w:ind w:left="0" w:firstLine="720"/>
        <w:jc w:val="both"/>
        <w:rPr>
          <w:sz w:val="24"/>
          <w:szCs w:val="24"/>
        </w:rPr>
      </w:pPr>
      <w:r w:rsidRPr="00D05EBD">
        <w:rPr>
          <w:sz w:val="24"/>
          <w:szCs w:val="24"/>
        </w:rPr>
        <w:t xml:space="preserve">The extent to which IER was automatic was significantly affected by the nature of the relationship, </w:t>
      </w:r>
      <w:r w:rsidRPr="00D05EBD">
        <w:rPr>
          <w:i/>
          <w:sz w:val="24"/>
          <w:szCs w:val="24"/>
        </w:rPr>
        <w:t>F</w:t>
      </w:r>
      <w:r w:rsidRPr="00D05EBD">
        <w:rPr>
          <w:sz w:val="24"/>
          <w:szCs w:val="24"/>
        </w:rPr>
        <w:t xml:space="preserve">(1,184) = 497.10, </w:t>
      </w:r>
      <w:r w:rsidRPr="00D05EBD">
        <w:rPr>
          <w:i/>
          <w:sz w:val="24"/>
          <w:szCs w:val="24"/>
        </w:rPr>
        <w:t xml:space="preserve">p </w:t>
      </w:r>
      <w:r w:rsidRPr="00D05EBD">
        <w:rPr>
          <w:sz w:val="24"/>
          <w:szCs w:val="24"/>
        </w:rPr>
        <w:t xml:space="preserve">&lt; .001, </w:t>
      </w:r>
      <w:r w:rsidRPr="00D05EBD">
        <w:rPr>
          <w:i/>
          <w:sz w:val="24"/>
          <w:szCs w:val="24"/>
        </w:rPr>
        <w:t xml:space="preserve">d </w:t>
      </w:r>
      <w:r w:rsidRPr="00D05EBD">
        <w:rPr>
          <w:sz w:val="24"/>
          <w:szCs w:val="24"/>
        </w:rPr>
        <w:t xml:space="preserve"> = 3.29, and by the nature of the IER, </w:t>
      </w:r>
      <w:r w:rsidRPr="00D05EBD">
        <w:rPr>
          <w:i/>
          <w:sz w:val="24"/>
          <w:szCs w:val="24"/>
        </w:rPr>
        <w:t>F</w:t>
      </w:r>
      <w:r w:rsidRPr="00D05EBD">
        <w:rPr>
          <w:sz w:val="24"/>
          <w:szCs w:val="24"/>
        </w:rPr>
        <w:t xml:space="preserve">(1,184) = 901.25, </w:t>
      </w:r>
      <w:r w:rsidRPr="00D05EBD">
        <w:rPr>
          <w:i/>
          <w:sz w:val="24"/>
          <w:szCs w:val="24"/>
        </w:rPr>
        <w:t xml:space="preserve">p </w:t>
      </w:r>
      <w:r w:rsidRPr="00D05EBD">
        <w:rPr>
          <w:sz w:val="24"/>
          <w:szCs w:val="24"/>
        </w:rPr>
        <w:t xml:space="preserve">&lt; .001, </w:t>
      </w:r>
      <w:r w:rsidRPr="00D05EBD">
        <w:rPr>
          <w:i/>
          <w:sz w:val="24"/>
          <w:szCs w:val="24"/>
        </w:rPr>
        <w:t>d</w:t>
      </w:r>
      <w:r w:rsidRPr="00D05EBD">
        <w:rPr>
          <w:sz w:val="24"/>
          <w:szCs w:val="24"/>
        </w:rPr>
        <w:t xml:space="preserve"> = 4.42. Participants reported that their use of IER was more automatic in close relationships (</w:t>
      </w:r>
      <w:r w:rsidRPr="00D05EBD">
        <w:rPr>
          <w:i/>
          <w:sz w:val="24"/>
          <w:szCs w:val="24"/>
        </w:rPr>
        <w:t>M</w:t>
      </w:r>
      <w:r w:rsidRPr="00D05EBD">
        <w:rPr>
          <w:sz w:val="24"/>
          <w:szCs w:val="24"/>
        </w:rPr>
        <w:t xml:space="preserve"> = 4.21, </w:t>
      </w:r>
      <w:r w:rsidRPr="00D05EBD">
        <w:rPr>
          <w:i/>
          <w:sz w:val="24"/>
          <w:szCs w:val="24"/>
        </w:rPr>
        <w:t>SD</w:t>
      </w:r>
      <w:r w:rsidRPr="00D05EBD">
        <w:rPr>
          <w:sz w:val="24"/>
          <w:szCs w:val="24"/>
        </w:rPr>
        <w:t xml:space="preserve"> = 0.05), relative to less close relationships (</w:t>
      </w:r>
      <w:r w:rsidRPr="00D05EBD">
        <w:rPr>
          <w:i/>
          <w:sz w:val="24"/>
          <w:szCs w:val="24"/>
        </w:rPr>
        <w:t>M</w:t>
      </w:r>
      <w:r w:rsidRPr="00D05EBD">
        <w:rPr>
          <w:sz w:val="24"/>
          <w:szCs w:val="24"/>
        </w:rPr>
        <w:t xml:space="preserve"> = 2.55, </w:t>
      </w:r>
      <w:r w:rsidRPr="00D05EBD">
        <w:rPr>
          <w:i/>
          <w:sz w:val="24"/>
          <w:szCs w:val="24"/>
        </w:rPr>
        <w:t>SD</w:t>
      </w:r>
      <w:r w:rsidRPr="00D05EBD">
        <w:rPr>
          <w:sz w:val="24"/>
          <w:szCs w:val="24"/>
        </w:rPr>
        <w:t xml:space="preserve"> = 0.07), and that their use of improving IER was more automatic (</w:t>
      </w:r>
      <w:r w:rsidRPr="00D05EBD">
        <w:rPr>
          <w:i/>
          <w:sz w:val="24"/>
          <w:szCs w:val="24"/>
        </w:rPr>
        <w:t>M</w:t>
      </w:r>
      <w:r w:rsidRPr="00D05EBD">
        <w:rPr>
          <w:sz w:val="24"/>
          <w:szCs w:val="24"/>
        </w:rPr>
        <w:t xml:space="preserve"> = 4.34, </w:t>
      </w:r>
      <w:r w:rsidRPr="00D05EBD">
        <w:rPr>
          <w:i/>
          <w:sz w:val="24"/>
          <w:szCs w:val="24"/>
        </w:rPr>
        <w:t>SD</w:t>
      </w:r>
      <w:r w:rsidRPr="00D05EBD">
        <w:rPr>
          <w:sz w:val="24"/>
          <w:szCs w:val="24"/>
        </w:rPr>
        <w:t xml:space="preserve"> = 0.06), than their use of worsening IER (</w:t>
      </w:r>
      <w:r w:rsidRPr="00D05EBD">
        <w:rPr>
          <w:i/>
          <w:sz w:val="24"/>
          <w:szCs w:val="24"/>
        </w:rPr>
        <w:t>M</w:t>
      </w:r>
      <w:r w:rsidRPr="00D05EBD">
        <w:rPr>
          <w:sz w:val="24"/>
          <w:szCs w:val="24"/>
        </w:rPr>
        <w:t xml:space="preserve"> = 2.42, </w:t>
      </w:r>
      <w:r w:rsidRPr="00D05EBD">
        <w:rPr>
          <w:i/>
          <w:sz w:val="24"/>
          <w:szCs w:val="24"/>
        </w:rPr>
        <w:t>SD</w:t>
      </w:r>
      <w:r w:rsidRPr="00D05EBD">
        <w:rPr>
          <w:sz w:val="24"/>
          <w:szCs w:val="24"/>
        </w:rPr>
        <w:t xml:space="preserve"> = 0.05).</w:t>
      </w:r>
    </w:p>
    <w:p w:rsidR="00FB1389" w:rsidRPr="00D05EBD" w:rsidRDefault="00FB1389" w:rsidP="00AE640B">
      <w:pPr>
        <w:pStyle w:val="Prrafodelista"/>
        <w:spacing w:after="0" w:line="480" w:lineRule="auto"/>
        <w:ind w:left="0"/>
        <w:jc w:val="both"/>
        <w:rPr>
          <w:sz w:val="24"/>
          <w:szCs w:val="24"/>
        </w:rPr>
      </w:pPr>
    </w:p>
    <w:p w:rsidR="00FB1389" w:rsidRPr="007D017D" w:rsidRDefault="00FB1389" w:rsidP="007D017D">
      <w:pPr>
        <w:pStyle w:val="Prrafodelista"/>
        <w:spacing w:after="0" w:line="480" w:lineRule="auto"/>
        <w:ind w:left="0"/>
        <w:jc w:val="both"/>
        <w:rPr>
          <w:sz w:val="24"/>
          <w:szCs w:val="24"/>
        </w:rPr>
      </w:pPr>
      <w:r w:rsidRPr="00D05EBD">
        <w:rPr>
          <w:sz w:val="24"/>
          <w:szCs w:val="24"/>
        </w:rPr>
        <w:lastRenderedPageBreak/>
        <w:tab/>
        <w:t xml:space="preserve">These main effects were, however, qualified by a significant interaction between the nature of the relationship and the nature of the IER, </w:t>
      </w:r>
      <w:r w:rsidRPr="00D05EBD">
        <w:rPr>
          <w:i/>
          <w:sz w:val="24"/>
          <w:szCs w:val="24"/>
        </w:rPr>
        <w:t>F</w:t>
      </w:r>
      <w:r w:rsidRPr="00D05EBD">
        <w:rPr>
          <w:sz w:val="24"/>
          <w:szCs w:val="24"/>
        </w:rPr>
        <w:t xml:space="preserve">(1,184) = 191.95, </w:t>
      </w:r>
      <w:r w:rsidRPr="00D05EBD">
        <w:rPr>
          <w:i/>
          <w:sz w:val="24"/>
          <w:szCs w:val="24"/>
        </w:rPr>
        <w:t xml:space="preserve">p </w:t>
      </w:r>
      <w:r w:rsidRPr="00D05EBD">
        <w:rPr>
          <w:sz w:val="24"/>
          <w:szCs w:val="24"/>
        </w:rPr>
        <w:t xml:space="preserve">&lt; .001, </w:t>
      </w:r>
      <w:r w:rsidRPr="00D05EBD">
        <w:rPr>
          <w:i/>
          <w:sz w:val="24"/>
          <w:szCs w:val="24"/>
        </w:rPr>
        <w:t>d</w:t>
      </w:r>
      <w:r w:rsidRPr="00D05EBD">
        <w:rPr>
          <w:i/>
          <w:sz w:val="24"/>
          <w:szCs w:val="24"/>
          <w:vertAlign w:val="superscript"/>
        </w:rPr>
        <w:t xml:space="preserve"> </w:t>
      </w:r>
      <w:r w:rsidRPr="00D05EBD">
        <w:rPr>
          <w:sz w:val="24"/>
          <w:szCs w:val="24"/>
        </w:rPr>
        <w:t>= 2.04 which supports the study’s hypotheses. As predicted in hypothesis one, simple main effects showed that participants used positive forms of IER more automatically with a close other (</w:t>
      </w:r>
      <w:r w:rsidRPr="00D05EBD">
        <w:rPr>
          <w:i/>
          <w:sz w:val="24"/>
          <w:szCs w:val="24"/>
        </w:rPr>
        <w:t>M</w:t>
      </w:r>
      <w:r w:rsidRPr="00D05EBD">
        <w:rPr>
          <w:sz w:val="24"/>
          <w:szCs w:val="24"/>
        </w:rPr>
        <w:t xml:space="preserve"> = 5.56, </w:t>
      </w:r>
      <w:r w:rsidRPr="00D05EBD">
        <w:rPr>
          <w:i/>
          <w:sz w:val="24"/>
          <w:szCs w:val="24"/>
        </w:rPr>
        <w:t>SD</w:t>
      </w:r>
      <w:r w:rsidRPr="00D05EBD">
        <w:rPr>
          <w:sz w:val="24"/>
          <w:szCs w:val="24"/>
        </w:rPr>
        <w:t xml:space="preserve"> = 0.82) than with an acquaintance (</w:t>
      </w:r>
      <w:r w:rsidRPr="00D05EBD">
        <w:rPr>
          <w:i/>
          <w:sz w:val="24"/>
          <w:szCs w:val="24"/>
        </w:rPr>
        <w:t>M</w:t>
      </w:r>
      <w:r w:rsidRPr="00D05EBD">
        <w:rPr>
          <w:sz w:val="24"/>
          <w:szCs w:val="24"/>
        </w:rPr>
        <w:t xml:space="preserve"> = 3.12, </w:t>
      </w:r>
      <w:r w:rsidRPr="00D05EBD">
        <w:rPr>
          <w:i/>
          <w:sz w:val="24"/>
          <w:szCs w:val="24"/>
        </w:rPr>
        <w:t>SD</w:t>
      </w:r>
      <w:r w:rsidRPr="00D05EBD">
        <w:rPr>
          <w:sz w:val="24"/>
          <w:szCs w:val="24"/>
        </w:rPr>
        <w:t xml:space="preserve"> = 1.23), </w:t>
      </w:r>
      <w:r w:rsidRPr="00D05EBD">
        <w:rPr>
          <w:i/>
          <w:sz w:val="24"/>
          <w:szCs w:val="24"/>
        </w:rPr>
        <w:t>F</w:t>
      </w:r>
      <w:r w:rsidRPr="00D05EBD">
        <w:rPr>
          <w:sz w:val="24"/>
          <w:szCs w:val="24"/>
        </w:rPr>
        <w:t xml:space="preserve">(1,184) = 560.07, </w:t>
      </w:r>
      <w:r w:rsidRPr="00D05EBD">
        <w:rPr>
          <w:i/>
          <w:sz w:val="24"/>
          <w:szCs w:val="24"/>
        </w:rPr>
        <w:t xml:space="preserve">p </w:t>
      </w:r>
      <w:r w:rsidRPr="00D05EBD">
        <w:rPr>
          <w:sz w:val="24"/>
          <w:szCs w:val="24"/>
        </w:rPr>
        <w:t xml:space="preserve">&lt; .001, </w:t>
      </w:r>
      <w:r w:rsidRPr="00D05EBD">
        <w:rPr>
          <w:i/>
          <w:sz w:val="24"/>
          <w:szCs w:val="24"/>
        </w:rPr>
        <w:t>d</w:t>
      </w:r>
      <w:r w:rsidRPr="00D05EBD">
        <w:rPr>
          <w:i/>
          <w:sz w:val="24"/>
          <w:szCs w:val="24"/>
          <w:vertAlign w:val="superscript"/>
        </w:rPr>
        <w:t xml:space="preserve"> </w:t>
      </w:r>
      <w:r w:rsidRPr="00D05EBD">
        <w:rPr>
          <w:sz w:val="24"/>
          <w:szCs w:val="24"/>
        </w:rPr>
        <w:t>= 3.46. In accordance with hypothesis two, participants also used more automatic forms of IER strategies aimed at worsening someone else’s affect when reporting about a close other (</w:t>
      </w:r>
      <w:r w:rsidRPr="00D05EBD">
        <w:rPr>
          <w:i/>
          <w:sz w:val="24"/>
          <w:szCs w:val="24"/>
        </w:rPr>
        <w:t>M</w:t>
      </w:r>
      <w:r w:rsidRPr="00D05EBD">
        <w:rPr>
          <w:sz w:val="24"/>
          <w:szCs w:val="24"/>
        </w:rPr>
        <w:t xml:space="preserve"> = 2.86, </w:t>
      </w:r>
      <w:r w:rsidRPr="00D05EBD">
        <w:rPr>
          <w:i/>
          <w:sz w:val="24"/>
          <w:szCs w:val="24"/>
        </w:rPr>
        <w:t>SD</w:t>
      </w:r>
      <w:r w:rsidRPr="00D05EBD">
        <w:rPr>
          <w:sz w:val="24"/>
          <w:szCs w:val="24"/>
        </w:rPr>
        <w:t xml:space="preserve"> = 0.99) than when reporting about an acquaintance (</w:t>
      </w:r>
      <w:r w:rsidRPr="00D05EBD">
        <w:rPr>
          <w:i/>
          <w:sz w:val="24"/>
          <w:szCs w:val="24"/>
        </w:rPr>
        <w:t>M</w:t>
      </w:r>
      <w:r w:rsidRPr="00D05EBD">
        <w:rPr>
          <w:sz w:val="24"/>
          <w:szCs w:val="24"/>
        </w:rPr>
        <w:t xml:space="preserve"> = 1.98, </w:t>
      </w:r>
      <w:r w:rsidRPr="00D05EBD">
        <w:rPr>
          <w:i/>
          <w:sz w:val="24"/>
          <w:szCs w:val="24"/>
        </w:rPr>
        <w:t>SD</w:t>
      </w:r>
      <w:r w:rsidRPr="00D05EBD">
        <w:rPr>
          <w:sz w:val="24"/>
          <w:szCs w:val="24"/>
        </w:rPr>
        <w:t xml:space="preserve"> = 0.84), </w:t>
      </w:r>
      <w:r w:rsidRPr="00D05EBD">
        <w:rPr>
          <w:i/>
          <w:sz w:val="24"/>
          <w:szCs w:val="24"/>
        </w:rPr>
        <w:t>F</w:t>
      </w:r>
      <w:r w:rsidRPr="00D05EBD">
        <w:rPr>
          <w:sz w:val="24"/>
          <w:szCs w:val="24"/>
        </w:rPr>
        <w:t xml:space="preserve">(1,184) = 113.44, </w:t>
      </w:r>
      <w:r w:rsidRPr="00D05EBD">
        <w:rPr>
          <w:i/>
          <w:sz w:val="24"/>
          <w:szCs w:val="24"/>
        </w:rPr>
        <w:t xml:space="preserve">p </w:t>
      </w:r>
      <w:r w:rsidRPr="00D05EBD">
        <w:rPr>
          <w:sz w:val="24"/>
          <w:szCs w:val="24"/>
        </w:rPr>
        <w:t xml:space="preserve">&lt; .001, </w:t>
      </w:r>
      <w:r w:rsidRPr="00D05EBD">
        <w:rPr>
          <w:i/>
          <w:sz w:val="24"/>
          <w:szCs w:val="24"/>
        </w:rPr>
        <w:t>d</w:t>
      </w:r>
      <w:r w:rsidRPr="00D05EBD">
        <w:rPr>
          <w:i/>
          <w:sz w:val="24"/>
          <w:szCs w:val="24"/>
          <w:vertAlign w:val="superscript"/>
        </w:rPr>
        <w:t xml:space="preserve"> </w:t>
      </w:r>
      <w:r w:rsidRPr="00D05EBD">
        <w:rPr>
          <w:sz w:val="24"/>
          <w:szCs w:val="24"/>
        </w:rPr>
        <w:t>= 1.57 (see Table II</w:t>
      </w:r>
      <w:r w:rsidR="003210F6">
        <w:rPr>
          <w:sz w:val="24"/>
          <w:szCs w:val="24"/>
        </w:rPr>
        <w:t>.2</w:t>
      </w:r>
      <w:r w:rsidRPr="00D05EBD">
        <w:rPr>
          <w:sz w:val="24"/>
          <w:szCs w:val="24"/>
        </w:rPr>
        <w:t xml:space="preserve">). Finally, the third hypothesis of Study 1 was also met, showing that participants used forms of IER aimed at improving the emotions of someone else more automatically than forms of IER aimed at worsening the emotions of someone else (for close others: </w:t>
      </w:r>
      <w:r w:rsidRPr="00D05EBD">
        <w:rPr>
          <w:i/>
          <w:sz w:val="24"/>
          <w:szCs w:val="24"/>
        </w:rPr>
        <w:t>F</w:t>
      </w:r>
      <w:r w:rsidRPr="00D05EBD">
        <w:rPr>
          <w:sz w:val="24"/>
          <w:szCs w:val="24"/>
        </w:rPr>
        <w:t xml:space="preserve">(1,184) = 961.00, </w:t>
      </w:r>
      <w:r w:rsidRPr="00D05EBD">
        <w:rPr>
          <w:i/>
          <w:sz w:val="24"/>
          <w:szCs w:val="24"/>
        </w:rPr>
        <w:t xml:space="preserve">p </w:t>
      </w:r>
      <w:r w:rsidRPr="00D05EBD">
        <w:rPr>
          <w:sz w:val="24"/>
          <w:szCs w:val="24"/>
        </w:rPr>
        <w:t xml:space="preserve">&lt; .001, </w:t>
      </w:r>
      <w:r w:rsidRPr="00D05EBD">
        <w:rPr>
          <w:i/>
          <w:sz w:val="24"/>
          <w:szCs w:val="24"/>
        </w:rPr>
        <w:t xml:space="preserve">d </w:t>
      </w:r>
      <w:r w:rsidRPr="00D05EBD">
        <w:rPr>
          <w:sz w:val="24"/>
          <w:szCs w:val="24"/>
        </w:rPr>
        <w:t xml:space="preserve">= 4.58, and for acquaintances: </w:t>
      </w:r>
      <w:r w:rsidRPr="00D05EBD">
        <w:rPr>
          <w:i/>
          <w:sz w:val="24"/>
          <w:szCs w:val="24"/>
        </w:rPr>
        <w:t>F</w:t>
      </w:r>
      <w:r w:rsidRPr="00D05EBD">
        <w:rPr>
          <w:sz w:val="24"/>
          <w:szCs w:val="24"/>
        </w:rPr>
        <w:t xml:space="preserve">(1, 184) = 188.90, </w:t>
      </w:r>
      <w:r w:rsidRPr="00D05EBD">
        <w:rPr>
          <w:i/>
          <w:sz w:val="24"/>
          <w:szCs w:val="24"/>
        </w:rPr>
        <w:t>p</w:t>
      </w:r>
      <w:r w:rsidRPr="00D05EBD">
        <w:rPr>
          <w:sz w:val="24"/>
          <w:szCs w:val="24"/>
        </w:rPr>
        <w:t xml:space="preserve"> &lt; .001, </w:t>
      </w:r>
      <w:r w:rsidRPr="00D05EBD">
        <w:rPr>
          <w:i/>
          <w:sz w:val="24"/>
          <w:szCs w:val="24"/>
        </w:rPr>
        <w:t>d</w:t>
      </w:r>
      <w:r w:rsidRPr="00D05EBD">
        <w:rPr>
          <w:i/>
          <w:sz w:val="24"/>
          <w:szCs w:val="24"/>
          <w:vertAlign w:val="superscript"/>
        </w:rPr>
        <w:t xml:space="preserve"> </w:t>
      </w:r>
      <w:r w:rsidR="003210F6">
        <w:rPr>
          <w:sz w:val="24"/>
          <w:szCs w:val="24"/>
        </w:rPr>
        <w:t>=2.04) (See Figure 2</w:t>
      </w:r>
      <w:r w:rsidRPr="00D05EBD">
        <w:rPr>
          <w:sz w:val="24"/>
          <w:szCs w:val="24"/>
        </w:rPr>
        <w:t xml:space="preserve">). These results suggest that the nature of the relationship (close other or acquaintance) and the nature of the IER (to improve or to worsen someone else’s emotions) influence the participant’s use of AIER. </w:t>
      </w:r>
    </w:p>
    <w:p w:rsidR="00FB1389" w:rsidRPr="00D05EBD" w:rsidRDefault="00FB1389" w:rsidP="00AE640B">
      <w:pPr>
        <w:spacing w:after="0" w:line="480" w:lineRule="auto"/>
        <w:jc w:val="both"/>
        <w:rPr>
          <w:b/>
          <w:sz w:val="24"/>
          <w:szCs w:val="24"/>
        </w:rPr>
      </w:pPr>
      <w:r w:rsidRPr="00D05EBD">
        <w:rPr>
          <w:b/>
          <w:noProof/>
          <w:sz w:val="24"/>
          <w:szCs w:val="24"/>
          <w:lang w:eastAsia="en-GB"/>
        </w:rPr>
        <w:drawing>
          <wp:inline distT="0" distB="0" distL="0" distR="0">
            <wp:extent cx="4569206" cy="2677363"/>
            <wp:effectExtent l="19050" t="0" r="21844" b="8687"/>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B1389" w:rsidRPr="00D05EBD" w:rsidRDefault="00FB1389" w:rsidP="00AE640B">
      <w:pPr>
        <w:spacing w:after="0" w:line="480" w:lineRule="auto"/>
        <w:jc w:val="both"/>
        <w:rPr>
          <w:b/>
          <w:sz w:val="24"/>
          <w:szCs w:val="24"/>
        </w:rPr>
      </w:pPr>
      <w:r w:rsidRPr="00D05EBD">
        <w:rPr>
          <w:b/>
          <w:sz w:val="24"/>
          <w:szCs w:val="24"/>
        </w:rPr>
        <w:lastRenderedPageBreak/>
        <w:t>2.4 Discussion</w:t>
      </w:r>
    </w:p>
    <w:p w:rsidR="00FB1389" w:rsidRPr="00D05EBD" w:rsidRDefault="00FB1389" w:rsidP="00AE640B">
      <w:pPr>
        <w:spacing w:after="0" w:line="480" w:lineRule="auto"/>
        <w:jc w:val="both"/>
        <w:rPr>
          <w:sz w:val="24"/>
          <w:szCs w:val="24"/>
        </w:rPr>
      </w:pPr>
      <w:r w:rsidRPr="00D05EBD">
        <w:rPr>
          <w:sz w:val="24"/>
          <w:szCs w:val="24"/>
        </w:rPr>
        <w:tab/>
      </w:r>
    </w:p>
    <w:p w:rsidR="00FB1389" w:rsidRPr="00D05EBD" w:rsidRDefault="00FB1389" w:rsidP="00AE640B">
      <w:pPr>
        <w:spacing w:after="0" w:line="480" w:lineRule="auto"/>
        <w:ind w:firstLine="720"/>
        <w:jc w:val="both"/>
        <w:rPr>
          <w:sz w:val="24"/>
          <w:szCs w:val="24"/>
        </w:rPr>
      </w:pPr>
      <w:r w:rsidRPr="00D05EBD">
        <w:rPr>
          <w:sz w:val="24"/>
          <w:szCs w:val="24"/>
        </w:rPr>
        <w:t>The goal of this study was to see whether there existed automatic forms of IER (improving and worsening) when interacting with close others and/or with acquaintances, as reported by participants in the SRBAI. Interactions with close others occur with more frequency than interactions with acquaintances (Kelley et al.</w:t>
      </w:r>
      <w:r w:rsidR="00D56690">
        <w:rPr>
          <w:sz w:val="24"/>
          <w:szCs w:val="24"/>
        </w:rPr>
        <w:t>,</w:t>
      </w:r>
      <w:r w:rsidRPr="00D05EBD">
        <w:rPr>
          <w:sz w:val="24"/>
          <w:szCs w:val="24"/>
        </w:rPr>
        <w:t xml:space="preserve"> 1983). The literature suggests that close relationships present more intense experiences and expressions of emotions (both positive and negative) than relationships with acquaintances (e.g.</w:t>
      </w:r>
      <w:r w:rsidR="006028A0">
        <w:rPr>
          <w:sz w:val="24"/>
          <w:szCs w:val="24"/>
        </w:rPr>
        <w:t xml:space="preserve"> </w:t>
      </w:r>
      <w:r w:rsidR="00B06E70">
        <w:rPr>
          <w:sz w:val="24"/>
          <w:szCs w:val="24"/>
        </w:rPr>
        <w:fldChar w:fldCharType="begin" w:fldLock="1"/>
      </w:r>
      <w:r w:rsidR="007546C6">
        <w:rPr>
          <w:sz w:val="24"/>
          <w:szCs w:val="24"/>
        </w:rPr>
        <w:instrText>ADDIN CSL_CITATION { "citationItems" : [ { "id" : "ITEM-1", "itemData" : { "author" : [ { "dropping-particle" : "", "family" : "Berscheid", "given" : "Ellen", "non-dropping-particle" : "", "parse-names" : false, "suffix" : "" }, { "dropping-particle" : "", "family" : "Ammazzalorso", "given" : "Hilary", "non-dropping-particle" : "", "parse-names" : false, "suffix" : "" } ], "container-title" : "Blackwell Handbook of Social Psychology: Interpersonal Processes", "editor" : [ { "dropping-particle" : "", "family" : "Fletcher", "given" : "Garth J.O.", "non-dropping-particle" : "", "parse-names" : false, "suffix" : "" }, { "dropping-particle" : "", "family" : "Margaret S.", "given" : "Clark", "non-dropping-particle" : "", "parse-names" : false, "suffix" : "" } ], "id" : "ITEM-1", "issued" : { "date-parts" : [ [ "2008" ] ] }, "publisher" : "John Wiley &amp; Sons", "title" : "Emotional experience in close relationships", "type" : "chapter" }, "uris" : [ "http://www.mendeley.com/documents/?uuid=fb2bfdf1-d0fd-44b4-bd59-54f28735ff2e" ] } ], "mendeley" : { "formattedCitation" : "(Berscheid &amp; Ammazzalorso, 2008)", "manualFormatting" : "Berscheid &amp; Ammazzalorso, 2008", "plainTextFormattedCitation" : "(Berscheid &amp; Ammazzalorso, 2008)", "previouslyFormattedCitation" : "(Berscheid &amp; Ammazzalorso, 2008)" }, "properties" : { "noteIndex" : 0 }, "schema" : "https://github.com/citation-style-language/schema/raw/master/csl-citation.json" }</w:instrText>
      </w:r>
      <w:r w:rsidR="00B06E70">
        <w:rPr>
          <w:sz w:val="24"/>
          <w:szCs w:val="24"/>
        </w:rPr>
        <w:fldChar w:fldCharType="separate"/>
      </w:r>
      <w:r w:rsidR="001C3CE6" w:rsidRPr="001C3CE6">
        <w:rPr>
          <w:noProof/>
          <w:sz w:val="24"/>
          <w:szCs w:val="24"/>
        </w:rPr>
        <w:t>Berscheid &amp; Ammazzalorso, 2008</w:t>
      </w:r>
      <w:r w:rsidR="00B06E70">
        <w:rPr>
          <w:sz w:val="24"/>
          <w:szCs w:val="24"/>
        </w:rPr>
        <w:fldChar w:fldCharType="end"/>
      </w:r>
      <w:r w:rsidR="006028A0">
        <w:rPr>
          <w:sz w:val="24"/>
          <w:szCs w:val="24"/>
        </w:rPr>
        <w:t xml:space="preserve">; </w:t>
      </w:r>
      <w:r w:rsidR="00B06E70">
        <w:rPr>
          <w:sz w:val="24"/>
          <w:szCs w:val="24"/>
        </w:rPr>
        <w:fldChar w:fldCharType="begin" w:fldLock="1"/>
      </w:r>
      <w:r w:rsidR="006028A0">
        <w:rPr>
          <w:sz w:val="24"/>
          <w:szCs w:val="24"/>
        </w:rPr>
        <w:instrText>ADDIN CSL_CITATION { "citationItems" : [ { "id" : "ITEM-1", "itemData" : { "DOI" : "10.1111/j.1467-6494.1992.tb00981.x", "ISBN" : "0022-3506 (Print)\\r0022-3506 (Linking)", "ISSN" : "0022-3506", "PMID" : "1635051", "abstract" : "This research had three basic goals: (a) to identify manipulation tactics used in close relationships; (b) to document empirically the degree of generality and specificity of tactical deployment across relationship types (mates, friends, parents); and (c) to identify links between five major personality dimensions and the usage of manipulation tactics. Twelve manipulation tactics were identified through separate factor analyses of two instruments based on different data sources: Charm, Reason, Coercion, Silent Treatment, Debasement, and Regression (replicating Buss et al., 1987), and Responsibility Invocation, Reciprocity, Monetary Reward, Pleasure Induction, Social Comparison, and Hardball (an amalgam of threats, lies, and violence). The Big Five personality factors were assessed through three separate data sources: self-report, spouse report, and two independent interviewers. Personality factors showed coherent links with tactics, including Surgency (Coercion, Responsibility, Invocation), Desurgency (Debasement), Agreeableness (Pleasure Induction), Disagreeableness (Coercion), Conscientiousness (Reason), Emotional Instability (Regression), and Intellect-Openness (Reason). Discussion focuses on the consequences of the five personality factors for social interaction in close relationships.", "author" : [ { "dropping-particle" : "", "family" : "Buss", "given" : "David M", "non-dropping-particle" : "", "parse-names" : false, "suffix" : "" } ], "container-title" : "Journal of personality", "id" : "ITEM-1", "issue" : "2", "issued" : { "date-parts" : [ [ "1992" ] ] }, "page" : "477-499", "title" : "Manipulation in close relationships: five personality factors in interactional context.", "type" : "article-journal", "volume" : "60" }, "uris" : [ "http://www.mendeley.com/documents/?uuid=5447f3e5-31f7-3a28-9ee7-3efdeeb5920e" ] }, { "id" : "ITEM-2", "itemData" : { "DOI" : "10.1177/1754073915590620", "ISBN" : "1111111111", "ISSN" : "1754-0739", "PMID" : "16452361", "author" : [ { "dropping-particle" : "", "family" : "Schoebi", "given" : "Dominik", "non-dropping-particle" : "", "parse-names" : false, "suffix" : "" }, { "dropping-particle" : "", "family" : "Randall", "given" : "Ashley K.", "non-dropping-particle" : "", "parse-names" : false, "suffix" : "" } ], "container-title" : "Emotion Review", "id" : "ITEM-2", "issue" : "4", "issued" : { "date-parts" : [ [ "2015" ] ] }, "page" : "1-7", "title" : "Emotional Dynamics in Intimate Relationships", "type" : "article-journal", "volume" : "7" }, "uris" : [ "http://www.mendeley.com/documents/?uuid=9ea06990-6796-403c-affb-0016368ed0ec" ] } ], "mendeley" : { "formattedCitation" : "(Buss, 1992; Schoebi &amp; Randall, 2015)", "manualFormatting" : "Buss, 1992; Schoebi &amp; Randall, 2015)", "plainTextFormattedCitation" : "(Buss, 1992; Schoebi &amp; Randall, 2015)", "previouslyFormattedCitation" : "(Buss, 1992; Schoebi &amp; Randall, 2015)" }, "properties" : { "noteIndex" : 0 }, "schema" : "https://github.com/citation-style-language/schema/raw/master/csl-citation.json" }</w:instrText>
      </w:r>
      <w:r w:rsidR="00B06E70">
        <w:rPr>
          <w:sz w:val="24"/>
          <w:szCs w:val="24"/>
        </w:rPr>
        <w:fldChar w:fldCharType="separate"/>
      </w:r>
      <w:r w:rsidR="006028A0" w:rsidRPr="006028A0">
        <w:rPr>
          <w:noProof/>
          <w:sz w:val="24"/>
          <w:szCs w:val="24"/>
        </w:rPr>
        <w:t>Buss, 1992; Schoebi &amp; Randall, 2015)</w:t>
      </w:r>
      <w:r w:rsidR="00B06E70">
        <w:rPr>
          <w:sz w:val="24"/>
          <w:szCs w:val="24"/>
        </w:rPr>
        <w:fldChar w:fldCharType="end"/>
      </w:r>
      <w:r w:rsidR="006028A0">
        <w:rPr>
          <w:sz w:val="24"/>
          <w:szCs w:val="24"/>
        </w:rPr>
        <w:t xml:space="preserve"> </w:t>
      </w:r>
      <w:r w:rsidRPr="00D05EBD">
        <w:rPr>
          <w:sz w:val="24"/>
          <w:szCs w:val="24"/>
        </w:rPr>
        <w:t xml:space="preserve">thus increasing the likelihood of these emotional expressions and experiences of becoming habitual or automatic </w:t>
      </w:r>
      <w:r w:rsidR="00B06E70">
        <w:rPr>
          <w:sz w:val="24"/>
          <w:szCs w:val="24"/>
        </w:rPr>
        <w:fldChar w:fldCharType="begin" w:fldLock="1"/>
      </w:r>
      <w:r w:rsidR="0089549E">
        <w:rPr>
          <w:sz w:val="24"/>
          <w:szCs w:val="24"/>
        </w:rPr>
        <w:instrText>ADDIN CSL_CITATION { "citationItems" : [ { "id" : "ITEM-1", "itemData" : { "DOI" : "10.1177/1088868311411164", "abstract" : "Emotion is often framed as an intrapersonal system comprised of subcomponents such as experience, behavior, and physiology that interact over time to give rise to emotional states. What is missing is that many emotions occur in the context of social interaction or ongoing relationships. When this happens, the result can be conceptualized as a temporal interpersonal emotion system (TIES) in which the subcomponents of emotion interact not only within the individual but across the partners as well. The present review (a) suggests that TIES can be understood in terms of the characteristics of dynamic systems, (b) reviews examples from diverse research that has investigated characteristics of TIES, (c) attempts to clarify the overlapping terms that have been used to refer to those characteristics by mapping them to the statistical, mathematical, and graphical models that have been used to represent TIES, and (d) offers pragmatic advice for analyzing TIES data.", "author" : [ { "dropping-particle" : "", "family" : "Butler", "given" : "Emily A", "non-dropping-particle" : "", "parse-names" : false, "suffix" : "" } ], "container-title" : "Personality and Social Psychology Review", "id" : "ITEM-1", "issue" : "4", "issued" : { "date-parts" : [ [ "2011" ] ] }, "page" : "367-393", "title" : "Temporal Interpersonal Emotion Systems: The \" TIES \" That Form Relationships", "type" : "article-journal", "volume" : "15" }, "uris" : [ "http://www.mendeley.com/documents/?uuid=b0742a8c-aada-3fa0-b31e-aa2501be2bbe" ] } ], "mendeley" : { "formattedCitation" : "(Butler, 2011)", "plainTextFormattedCitation" : "(Butler, 2011)", "previouslyFormattedCitation" : "(Butler, 2011)" }, "properties" : { "noteIndex" : 0 }, "schema" : "https://github.com/citation-style-language/schema/raw/master/csl-citation.json" }</w:instrText>
      </w:r>
      <w:r w:rsidR="00B06E70">
        <w:rPr>
          <w:sz w:val="24"/>
          <w:szCs w:val="24"/>
        </w:rPr>
        <w:fldChar w:fldCharType="separate"/>
      </w:r>
      <w:r w:rsidR="0089549E" w:rsidRPr="0089549E">
        <w:rPr>
          <w:noProof/>
          <w:sz w:val="24"/>
          <w:szCs w:val="24"/>
        </w:rPr>
        <w:t>(Butler, 2011)</w:t>
      </w:r>
      <w:r w:rsidR="00B06E70">
        <w:rPr>
          <w:sz w:val="24"/>
          <w:szCs w:val="24"/>
        </w:rPr>
        <w:fldChar w:fldCharType="end"/>
      </w:r>
      <w:r w:rsidRPr="00D05EBD">
        <w:rPr>
          <w:sz w:val="24"/>
          <w:szCs w:val="24"/>
        </w:rPr>
        <w:t xml:space="preserve">. In the present chapter it was reasoned that IER strategies would also occur with more frequency and strength in relationships with close others than in relationships with acquaintances, and that this would increase the probability of IER becoming automatic. The first two hypotheses suggested that both, IER strategies aimed at improving </w:t>
      </w:r>
      <w:r w:rsidR="003210F6">
        <w:rPr>
          <w:sz w:val="24"/>
          <w:szCs w:val="24"/>
        </w:rPr>
        <w:t>(hypothesis 1)</w:t>
      </w:r>
      <w:r w:rsidR="00902C46">
        <w:rPr>
          <w:sz w:val="24"/>
          <w:szCs w:val="24"/>
        </w:rPr>
        <w:t xml:space="preserve"> </w:t>
      </w:r>
      <w:r w:rsidRPr="00D05EBD">
        <w:rPr>
          <w:sz w:val="24"/>
          <w:szCs w:val="24"/>
        </w:rPr>
        <w:t>and at worsening</w:t>
      </w:r>
      <w:r w:rsidR="003210F6">
        <w:rPr>
          <w:sz w:val="24"/>
          <w:szCs w:val="24"/>
        </w:rPr>
        <w:t xml:space="preserve"> (hypothesis 2)</w:t>
      </w:r>
      <w:r w:rsidRPr="00D05EBD">
        <w:rPr>
          <w:sz w:val="24"/>
          <w:szCs w:val="24"/>
        </w:rPr>
        <w:t xml:space="preserve"> someone else’s emotions would be reported by participants as more automatic when the participant reported interactions with close others than with acquaintances. The results confirmed these hypotheses; it was found that participants reported using more automatic forms (both improving and worsening) of IER with close others than with acquaintances. In line with research that has found that improving forms of IER seem to be more pervasive than worsening forms of IER </w:t>
      </w:r>
      <w:r w:rsidR="00B06E70">
        <w:rPr>
          <w:sz w:val="24"/>
          <w:szCs w:val="24"/>
        </w:rPr>
        <w:fldChar w:fldCharType="begin" w:fldLock="1"/>
      </w:r>
      <w:r w:rsidR="0089549E">
        <w:rPr>
          <w:sz w:val="24"/>
          <w:szCs w:val="24"/>
        </w:rPr>
        <w:instrText>ADDIN CSL_CITATION { "citationItems" : [ { "id" : "ITEM-1", "itemData" : { "author" : [ { "dropping-particle" : "", "family" : "Niven", "given" : "Karen", "non-dropping-particle" : "", "parse-names" : false, "suffix" : "" }, { "dropping-particle" : "", "family" : "Totterdell", "given" : "Peter", "non-dropping-particle" : "", "parse-names" : false, "suffix" : "" }, { "dropping-particle" : "", "family" : "Holman", "given" : "David", "non-dropping-particle" : "", "parse-names" : false, "suffix" : "" } ], "container-title" : "Prison Service Journal", "id" : "ITEM-1", "issued" : { "date-parts" : [ [ "2007" ] ] }, "page" : "39-45", "title" : "Changing moods and influencing people: The use and effects of emotional influence behaviours at HMP Grendon", "type" : "article-journal", "volume" : "173" }, "uris" : [ "http://www.mendeley.com/documents/?uuid=21aad76c-f66b-40e7-ae92-5cfe42eda26e" ] } ], "mendeley" : { "formattedCitation" : "(Niven, Totterdell, &amp; Holman, 2007)", "plainTextFormattedCitation" : "(Niven, Totterdell, &amp; Holman, 2007)", "previouslyFormattedCitation" : "(Niven, Totterdell, &amp; Holman, 2007)" }, "properties" : { "noteIndex" : 0 }, "schema" : "https://github.com/citation-style-language/schema/raw/master/csl-citation.json" }</w:instrText>
      </w:r>
      <w:r w:rsidR="00B06E70">
        <w:rPr>
          <w:sz w:val="24"/>
          <w:szCs w:val="24"/>
        </w:rPr>
        <w:fldChar w:fldCharType="separate"/>
      </w:r>
      <w:r w:rsidR="0089549E" w:rsidRPr="0089549E">
        <w:rPr>
          <w:noProof/>
          <w:sz w:val="24"/>
          <w:szCs w:val="24"/>
        </w:rPr>
        <w:t>(Niven, Totterdell, &amp; Holman, 2007)</w:t>
      </w:r>
      <w:r w:rsidR="00B06E70">
        <w:rPr>
          <w:sz w:val="24"/>
          <w:szCs w:val="24"/>
        </w:rPr>
        <w:fldChar w:fldCharType="end"/>
      </w:r>
      <w:r w:rsidRPr="00D05EBD">
        <w:rPr>
          <w:sz w:val="24"/>
          <w:szCs w:val="24"/>
        </w:rPr>
        <w:t xml:space="preserve">, the </w:t>
      </w:r>
      <w:r w:rsidR="003210F6">
        <w:rPr>
          <w:sz w:val="24"/>
          <w:szCs w:val="24"/>
        </w:rPr>
        <w:t>third</w:t>
      </w:r>
      <w:r w:rsidRPr="00D05EBD">
        <w:rPr>
          <w:sz w:val="24"/>
          <w:szCs w:val="24"/>
        </w:rPr>
        <w:t xml:space="preserve"> hypothesis of this study proposed that improving forms of IER would be more automatic than worsening forms of IER, which was also confirmed by the results of the present study. The results of Study 1 highlight two important issues: </w:t>
      </w:r>
      <w:proofErr w:type="spellStart"/>
      <w:r w:rsidR="00B97860" w:rsidRPr="00D05EBD">
        <w:rPr>
          <w:sz w:val="24"/>
          <w:szCs w:val="24"/>
        </w:rPr>
        <w:t>i</w:t>
      </w:r>
      <w:proofErr w:type="spellEnd"/>
      <w:r w:rsidR="00B97860" w:rsidRPr="00D05EBD">
        <w:rPr>
          <w:sz w:val="24"/>
          <w:szCs w:val="24"/>
        </w:rPr>
        <w:t>)</w:t>
      </w:r>
      <w:r w:rsidRPr="00D05EBD">
        <w:rPr>
          <w:sz w:val="24"/>
          <w:szCs w:val="24"/>
        </w:rPr>
        <w:t xml:space="preserve"> it is necessary to </w:t>
      </w:r>
      <w:r w:rsidRPr="00D05EBD">
        <w:rPr>
          <w:sz w:val="24"/>
          <w:szCs w:val="24"/>
        </w:rPr>
        <w:lastRenderedPageBreak/>
        <w:t xml:space="preserve">consider the kind of relationship (close relationships and relationships with acquaintances) and the kind of IER (aimed at improving or at worsening someone else’s affect) when studying automatic forms of IER and </w:t>
      </w:r>
      <w:r w:rsidR="00B97860" w:rsidRPr="00D05EBD">
        <w:rPr>
          <w:sz w:val="24"/>
          <w:szCs w:val="24"/>
        </w:rPr>
        <w:t>ii</w:t>
      </w:r>
      <w:r w:rsidRPr="00D05EBD">
        <w:rPr>
          <w:sz w:val="24"/>
          <w:szCs w:val="24"/>
        </w:rPr>
        <w:t>) the SRBAI proved to be a reliable measure of self-reported AIER.</w:t>
      </w:r>
    </w:p>
    <w:p w:rsidR="00FB1389" w:rsidRPr="00D05EBD" w:rsidRDefault="00FB1389" w:rsidP="00AE640B">
      <w:pPr>
        <w:spacing w:after="0" w:line="480" w:lineRule="auto"/>
        <w:ind w:firstLine="720"/>
        <w:jc w:val="both"/>
        <w:rPr>
          <w:sz w:val="24"/>
          <w:szCs w:val="24"/>
        </w:rPr>
      </w:pPr>
    </w:p>
    <w:p w:rsidR="00FB1389" w:rsidRPr="00D05EBD" w:rsidRDefault="00FB1389" w:rsidP="00AE640B">
      <w:pPr>
        <w:spacing w:after="0" w:line="480" w:lineRule="auto"/>
        <w:ind w:firstLine="720"/>
        <w:jc w:val="both"/>
        <w:rPr>
          <w:sz w:val="24"/>
          <w:szCs w:val="24"/>
        </w:rPr>
      </w:pPr>
      <w:r w:rsidRPr="00D05EBD">
        <w:rPr>
          <w:sz w:val="24"/>
          <w:szCs w:val="24"/>
        </w:rPr>
        <w:t xml:space="preserve">With respect to the second point abovementioned, the present study demonstrated that it is possible to use the SRBAI to measure usage of AIER strategies, which is an interesting contribution as this scale had not been used to explore AIER before. Moreover, even though there are other scales that have explored AER, like the Emotion Regulation-Implicit Association Test </w:t>
      </w:r>
      <w:r w:rsidR="00B06E70">
        <w:rPr>
          <w:sz w:val="24"/>
          <w:szCs w:val="24"/>
        </w:rPr>
        <w:fldChar w:fldCharType="begin" w:fldLock="1"/>
      </w:r>
      <w:r w:rsidR="0089549E">
        <w:rPr>
          <w:sz w:val="24"/>
          <w:szCs w:val="24"/>
        </w:rPr>
        <w:instrText>ADDIN CSL_CITATION { "citationItems" : [ { "id" : "ITEM-1", "itemData" : { "DOI" : "10.1177/0146167205283841", "ISBN" : "0146-1672 (Print) 0146-1672 (Linking)", "ISSN" : "0146-1672", "PMID" : "16702153", "abstract" : "People frequently have to control their emotions to function in life. However, mounting evidence suggests that deliberate emotion regulation often is costly. This presents a dilemma: Is it better to let emotions go or to pay the price of exerting costly control? In two studies, the authors explore whether emotion regulatory processes associated with implicit positive evaluation of emotion regulation might provide the benefits of successful emotion regulation without the costs. In Study 1, the authors introduce a measure of implicit evaluation of emotion regulation (ER-IAT). Study 2 examined whether this measure is associated with actual emotional responses to an anger provocation. It was found that greater ER-IAT scores were associated with lesser anger experience, fewer negative thoughts, lessened self-reported effortful emotion regulation, and an adaptive pattern of cardiovascular responding. These findings suggest</w:instrText>
      </w:r>
      <w:r w:rsidR="0089549E" w:rsidRPr="004C0E2A">
        <w:rPr>
          <w:sz w:val="24"/>
          <w:szCs w:val="24"/>
          <w:lang w:val="fr-FR"/>
        </w:rPr>
        <w:instrText xml:space="preserve"> that implicit positive evaluation of emotion regulation is associated with successful, automatic, and physiologically adaptive down-regulation of anger.", "author" : [ { "dropping-particle" : "", "family" : "Mauss", "given" : "Iris B.", "non-dropping-particle" : "", "parse-names" : false, "suffix" : "" }, { "dropping-particle" : "", "family" : "Evers", "given" : "Catharine", "non-dropping-particle" : "", "parse-names" : false, "suffix" : "" }, { "dropping-particle" : "", "family" : "Wilhelm", "given" : "frank h.", "non-dropping-particle" : "", "parse-names" : false, "suffix" : "" }, { "dropping-particle" : "", "family" : "Gross", "given" : "James J.", "non-dropping-particle" : "", "parse-names" : false, "suffix" : "" } ], "container-title" : "Personality &amp; social psychology bulletin", "id" : "ITEM-1", "issue" : "5", "issued" : { "date-parts" : [ [ "2006" ] ] }, "page" : "589-602", "title" : "How to bite your tongue without blowing your top: implicit evaluation of emotion regulation predicts affective responding to anger provocation.", "type" : "article-journal", "volume" : "32" }, "uris" : [ "http://www.mendeley.com/documents/?uuid=4ee473a5-e87a-3da6-9bc4-76789298eae0" ] } ], "mendeley" : { "formattedCitation" : "(Mauss et al., 2006)", "plainTextFormattedCitation" : "(Mauss et al., 2006)", "previouslyFormattedCitation" : "(Mauss et al., 2006)" }, "properties" : { "noteIndex" : 0 }, "schema" : "https://github.com/citation-style-language/schema/raw/master/cs</w:instrText>
      </w:r>
      <w:r w:rsidR="0089549E" w:rsidRPr="0089549E">
        <w:rPr>
          <w:sz w:val="24"/>
          <w:szCs w:val="24"/>
          <w:lang w:val="fr-FR"/>
        </w:rPr>
        <w:instrText>l-citation.json" }</w:instrText>
      </w:r>
      <w:r w:rsidR="00B06E70">
        <w:rPr>
          <w:sz w:val="24"/>
          <w:szCs w:val="24"/>
        </w:rPr>
        <w:fldChar w:fldCharType="separate"/>
      </w:r>
      <w:r w:rsidR="0089549E" w:rsidRPr="0089549E">
        <w:rPr>
          <w:noProof/>
          <w:sz w:val="24"/>
          <w:szCs w:val="24"/>
          <w:lang w:val="fr-FR"/>
        </w:rPr>
        <w:t>(Mauss et al., 2006)</w:t>
      </w:r>
      <w:r w:rsidR="00B06E70">
        <w:rPr>
          <w:sz w:val="24"/>
          <w:szCs w:val="24"/>
        </w:rPr>
        <w:fldChar w:fldCharType="end"/>
      </w:r>
      <w:r w:rsidRPr="0089549E">
        <w:rPr>
          <w:sz w:val="24"/>
          <w:szCs w:val="24"/>
          <w:lang w:val="fr-FR"/>
        </w:rPr>
        <w:t xml:space="preserve">, the Emotion </w:t>
      </w:r>
      <w:proofErr w:type="spellStart"/>
      <w:r w:rsidRPr="0089549E">
        <w:rPr>
          <w:sz w:val="24"/>
          <w:szCs w:val="24"/>
          <w:lang w:val="fr-FR"/>
        </w:rPr>
        <w:t>Regulation</w:t>
      </w:r>
      <w:proofErr w:type="spellEnd"/>
      <w:r w:rsidRPr="0089549E">
        <w:rPr>
          <w:sz w:val="24"/>
          <w:szCs w:val="24"/>
          <w:lang w:val="fr-FR"/>
        </w:rPr>
        <w:t xml:space="preserve"> Questionnaire </w:t>
      </w:r>
      <w:r w:rsidR="00B06E70">
        <w:rPr>
          <w:sz w:val="24"/>
          <w:szCs w:val="24"/>
        </w:rPr>
        <w:fldChar w:fldCharType="begin" w:fldLock="1"/>
      </w:r>
      <w:r w:rsidR="0089549E">
        <w:rPr>
          <w:sz w:val="24"/>
          <w:szCs w:val="24"/>
          <w:lang w:val="fr-FR"/>
        </w:rPr>
        <w:instrText>ADDIN CSL_CITATION { "citationItems" : [ { "id" : "ITEM-1", "itemData" : { "DOI" : "10.1037/0022-3514.85.2.348", "ISBN" : "0022-3514", "ISSN" : "1882-8817", "PMID" : "22023559", "abstract" : "This paper investigates the relationship between housing investment and economic growth in China, utilising province-level data via recently developed panel unit root tests and panel co-integration analysis. The empirical results suggest a stable long-run relationship between housing investment, non-housing investment and GDP in China. In addition, the existence is demonstrated of bi-directional Granger causality between housing investment and GDP at the national level. The panel error correction model supports the hypothesis that housing investment appears to have a dual role, acting as both a driver and follower in Chinas economic fluctuations. However, the impacts of housing investment on economic growth in three sub-regions are found to be strikingly different.", "author" : [ { "dropping-particle" : "", "family" : "Gross", "given" : "James J.", "non-dropping-particle" : "", "parse-names" : false, "suffix" : "" }, { "dropping-particle" : "", "family" : "John", "given" : "Oliver P.", "non-dropping-particle" : "", "parse-names" : false, "suffix" : "" } ], "container-title" : "NeuroImage", "id" : "ITEM-1", "issue" : "10", "issued" : { "date-parts" : [ [ "2003" ] ] }, "number-of-pages" : "9-9", "title" : "Emotion Regulation Questionnaire", "type" : "report", "volume" : "48" }, "uris" : [ "http://www.mendeley.com/documents/?uuid=5c70833f-1f25-3ebf-811c-c903bfeceae5" ] } ], "mendeley" : { "formattedCitation" : "(Gross &amp; John, 2003a)", "plainTextFormattedCitation" : "(Gross &amp; John, 2003a)", "previouslyFormattedCitation" : "(Gross &amp; John, 2003a)" }, "properties" : { "noteIndex" : 0 }, "schema" : "https://github.com/citation-style-language/schema/raw/master/csl-citation.json" }</w:instrText>
      </w:r>
      <w:r w:rsidR="00B06E70">
        <w:rPr>
          <w:sz w:val="24"/>
          <w:szCs w:val="24"/>
        </w:rPr>
        <w:fldChar w:fldCharType="separate"/>
      </w:r>
      <w:r w:rsidR="0089549E" w:rsidRPr="0089549E">
        <w:rPr>
          <w:noProof/>
          <w:sz w:val="24"/>
          <w:szCs w:val="24"/>
          <w:lang w:val="fr-FR"/>
        </w:rPr>
        <w:t>(Gross &amp; John, 2003a)</w:t>
      </w:r>
      <w:r w:rsidR="00B06E70">
        <w:rPr>
          <w:sz w:val="24"/>
          <w:szCs w:val="24"/>
        </w:rPr>
        <w:fldChar w:fldCharType="end"/>
      </w:r>
      <w:r w:rsidRPr="0089549E">
        <w:rPr>
          <w:sz w:val="24"/>
          <w:szCs w:val="24"/>
          <w:lang w:val="fr-FR"/>
        </w:rPr>
        <w:t xml:space="preserve">, and the </w:t>
      </w:r>
      <w:proofErr w:type="spellStart"/>
      <w:r w:rsidRPr="0089549E">
        <w:rPr>
          <w:sz w:val="24"/>
          <w:szCs w:val="24"/>
          <w:lang w:val="fr-FR"/>
        </w:rPr>
        <w:t>Beliefs</w:t>
      </w:r>
      <w:proofErr w:type="spellEnd"/>
      <w:r w:rsidRPr="0089549E">
        <w:rPr>
          <w:sz w:val="24"/>
          <w:szCs w:val="24"/>
          <w:lang w:val="fr-FR"/>
        </w:rPr>
        <w:t xml:space="preserve"> about </w:t>
      </w:r>
      <w:proofErr w:type="spellStart"/>
      <w:r w:rsidRPr="0089549E">
        <w:rPr>
          <w:sz w:val="24"/>
          <w:szCs w:val="24"/>
          <w:lang w:val="fr-FR"/>
        </w:rPr>
        <w:t>Mood</w:t>
      </w:r>
      <w:proofErr w:type="spellEnd"/>
      <w:r w:rsidRPr="0089549E">
        <w:rPr>
          <w:sz w:val="24"/>
          <w:szCs w:val="24"/>
          <w:lang w:val="fr-FR"/>
        </w:rPr>
        <w:t xml:space="preserve"> </w:t>
      </w:r>
      <w:proofErr w:type="spellStart"/>
      <w:r w:rsidRPr="0089549E">
        <w:rPr>
          <w:sz w:val="24"/>
          <w:szCs w:val="24"/>
          <w:lang w:val="fr-FR"/>
        </w:rPr>
        <w:t>Regulation</w:t>
      </w:r>
      <w:proofErr w:type="spellEnd"/>
      <w:r w:rsidRPr="0089549E">
        <w:rPr>
          <w:sz w:val="24"/>
          <w:szCs w:val="24"/>
          <w:lang w:val="fr-FR"/>
        </w:rPr>
        <w:t xml:space="preserve"> </w:t>
      </w:r>
      <w:proofErr w:type="spellStart"/>
      <w:r w:rsidRPr="0089549E">
        <w:rPr>
          <w:sz w:val="24"/>
          <w:szCs w:val="24"/>
          <w:lang w:val="fr-FR"/>
        </w:rPr>
        <w:t>Scale</w:t>
      </w:r>
      <w:proofErr w:type="spellEnd"/>
      <w:r w:rsidRPr="0089549E">
        <w:rPr>
          <w:sz w:val="24"/>
          <w:szCs w:val="24"/>
          <w:lang w:val="fr-FR"/>
        </w:rPr>
        <w:t xml:space="preserve"> </w:t>
      </w:r>
      <w:r w:rsidR="00B06E70">
        <w:rPr>
          <w:sz w:val="24"/>
          <w:szCs w:val="24"/>
          <w:lang w:val="fr-FR"/>
        </w:rPr>
        <w:fldChar w:fldCharType="begin" w:fldLock="1"/>
      </w:r>
      <w:r w:rsidR="005679F5">
        <w:rPr>
          <w:sz w:val="24"/>
          <w:szCs w:val="24"/>
          <w:lang w:val="fr-FR"/>
        </w:rPr>
        <w:instrText>ADDIN CSL_CITATION { "citationItems" : [ { "id" : "ITEM-1", "itemData" : { "DOI" : "10.1007/s10608-013-9559-7", "ISBN" : "1573-2819(Electronic);0147-5916(Print)", "ISSN" : "01475916", "abstract" : "Although mood regulation often occurs through automatic processes, there are likely individual differences in whether people believe that their mood can be regulated without effortful control. Believing in automatic mood regulation is hypothesized to be adaptive as it could lead one to conserve cognitive resources, making emotions less disruptive and threatening. A self-report scale measuring beliefs about automatic mood regulation was piloted among undergraduates, and further validated in another undergraduate and co</w:instrText>
      </w:r>
      <w:r w:rsidR="005679F5" w:rsidRPr="004C0E2A">
        <w:rPr>
          <w:sz w:val="24"/>
          <w:szCs w:val="24"/>
        </w:rPr>
        <w:instrText>mmunity sample. The final measure showed strong internal consistency, test\u2013retest reliability, discriminant validity, and construct validity. After controlling for overlapping variance with confidence in effortful mood regulation, belief in automatic mood regulation was associated with lower depression and less action-oriented coping and emotional awareness. Thus, the scale appears to capture a non-effortful approach to emotion regulation that is associated with lower depression symptoms. [ABSTRACT FROM AUTHOR]", "author" : [ { "dropping-particle" : "", "family" : "Hutchison", "given" : "Jesse A.", "non-dropping-particle" : "", "parse-names" : false, "suffix" : "" }, { "dropping-particle" : "", "</w:instrText>
      </w:r>
      <w:r w:rsidR="005679F5" w:rsidRPr="00973AEB">
        <w:rPr>
          <w:sz w:val="24"/>
          <w:szCs w:val="24"/>
        </w:rPr>
        <w:instrText>family" : "Gunthert", "given" : "Kathleen C.", "non-dropping-particle" : "", "parse-names" : false, "suffix" : "" } ], "container-title" : "Cognitive Therapy and Research", "id" : "ITEM-1", "issued" : { "date-parts" : [ [ "2013" ] ] }, "title" : "Measuring beliefs about automatic mood regulation: Development of a self-report scale", "type" : "article-journal" }, "uris" : [ "http://www.mendeley.com/documents/?uuid=400c3091-6716-3aaf-8971-5d4e56dd4ce5" ] } ], "mendeley" : { "formattedCitation" : "(Hutchison &amp; Gunthert, 2013)", "plainTextFormattedCitation" : "(Hutchison &amp; Gunthert, 2013)", "previouslyFormattedCitation" : "(Hutchison &amp; Gunthert, 2013)" }, "properties" : { "noteIndex" : 0 }, "schema" : "https://github.com/citation-style-language/schema/raw/master/csl-citation.json" }</w:instrText>
      </w:r>
      <w:r w:rsidR="00B06E70">
        <w:rPr>
          <w:sz w:val="24"/>
          <w:szCs w:val="24"/>
          <w:lang w:val="fr-FR"/>
        </w:rPr>
        <w:fldChar w:fldCharType="separate"/>
      </w:r>
      <w:r w:rsidR="0089549E" w:rsidRPr="00973AEB">
        <w:rPr>
          <w:noProof/>
          <w:sz w:val="24"/>
          <w:szCs w:val="24"/>
        </w:rPr>
        <w:t>(Hutchison &amp; Gunthert, 2013)</w:t>
      </w:r>
      <w:r w:rsidR="00B06E70">
        <w:rPr>
          <w:sz w:val="24"/>
          <w:szCs w:val="24"/>
          <w:lang w:val="fr-FR"/>
        </w:rPr>
        <w:fldChar w:fldCharType="end"/>
      </w:r>
      <w:r w:rsidRPr="00973AEB">
        <w:rPr>
          <w:sz w:val="24"/>
          <w:szCs w:val="24"/>
        </w:rPr>
        <w:t xml:space="preserve">, the SRBAI is the first scale that explores AIER. </w:t>
      </w:r>
      <w:r w:rsidRPr="00D05EBD">
        <w:rPr>
          <w:sz w:val="24"/>
          <w:szCs w:val="24"/>
        </w:rPr>
        <w:t>The results of the SRBAI suggest that participants use</w:t>
      </w:r>
      <w:r w:rsidR="00E22EDF">
        <w:rPr>
          <w:sz w:val="24"/>
          <w:szCs w:val="24"/>
        </w:rPr>
        <w:t>d</w:t>
      </w:r>
      <w:r w:rsidRPr="00D05EBD">
        <w:rPr>
          <w:sz w:val="24"/>
          <w:szCs w:val="24"/>
        </w:rPr>
        <w:t xml:space="preserve"> IER strategies with a certain degree of automaticity, although only the IER strategies to improve the close other emotions seemed to strongly reflect AIER, as the scores fell above the midpoint on the SRBAI scale. The results of Study 1 are supported by other studies that also used the midpoint of the SRBAI scale to show automatic behaviours. For example</w:t>
      </w:r>
      <w:r w:rsidRPr="005679F5">
        <w:rPr>
          <w:sz w:val="24"/>
          <w:szCs w:val="24"/>
        </w:rPr>
        <w:t>, Gardner and colleagues (2012)</w:t>
      </w:r>
      <w:r w:rsidRPr="00D05EBD">
        <w:rPr>
          <w:sz w:val="24"/>
          <w:szCs w:val="24"/>
        </w:rPr>
        <w:t xml:space="preserve"> looked at the convergent and predictive validity of the SRBAI which, as mentioned in section 2.2, focuses specifically on the automatic feature of habits, and which considers automaticity of behaviour as the main component of habitual behaviour. They used this scale to re-analyse four datasets that had previously used the SRHI to measure habituation related to car commuting and bicycle commuting </w:t>
      </w:r>
      <w:r w:rsidR="00B06E70">
        <w:rPr>
          <w:sz w:val="24"/>
          <w:szCs w:val="24"/>
        </w:rPr>
        <w:fldChar w:fldCharType="begin" w:fldLock="1"/>
      </w:r>
      <w:r w:rsidR="000E796D">
        <w:rPr>
          <w:sz w:val="24"/>
          <w:szCs w:val="24"/>
        </w:rPr>
        <w:instrText>ADDIN CSL_CITATION { "citationItems" : [ { "id" : "ITEM-1", "itemData" : { "DOI" : "10.1016/j.trf.2008.08.001", "ISBN" : "1369-8478", "ISSN" : "13698478", "PMID" : "14031", "abstract" : "The habitual action perspective suggests that where transport users have strong travel choice habits, motivation will have no effect on behaviour. This has commonly been demonstrated in situations where travel habits and intentions conflict, but in stable decision settings intentions and habits will correspond. This paper reports two studies which demonstrate the moderating effect of habit on the intention-behaviour relationship within established commuting contexts. Results illustrate how motivational accounts of travel behaviour may be misleading if statistical significance of correlational data is the main criterion for model acceptance. Alternative methods for theory testing are discussed, and strategies for disrupting driving habits reviewed. ?? 2008 Elsevier Ltd. All rights reserved.", "author" : [ { "dropping-particle" : "", "family" : "Gardner", "given" : "Benjamin", "non-dropping-particle" : "", "parse-names" : false, "suffix" : "" } ], "container-title" : "Transportation Research Part F: Traffic Psychology and Behaviour", "id" : "ITEM-1", "issue" : "1", "issued" : { "date-parts" : [ [ "2009" ] ] }, "page" : "68-76", "title" : "Modelling motivation and habit in stable travel mode contexts", "type" : "article-journal", "volume" : "12" }, "uris" : [ "http://www.mendeley.com/documents/?uuid=4d63f368-aac5-4a45-97fe-c5114b0e44ee" ] } ], "mendeley" : { "formattedCitation" : "(Gardner, 2009)", "plainTextFormattedCitation" : "(Gardner, 2009)", "previouslyFormattedCitation" : "(Gardner, 2009)" }, "properties" : { "noteIndex" : 0 }, "schema" : "https://github.com/citation-style-language/schema/raw/master/csl-citation.json" }</w:instrText>
      </w:r>
      <w:r w:rsidR="00B06E70">
        <w:rPr>
          <w:sz w:val="24"/>
          <w:szCs w:val="24"/>
        </w:rPr>
        <w:fldChar w:fldCharType="separate"/>
      </w:r>
      <w:r w:rsidR="000E796D" w:rsidRPr="000E796D">
        <w:rPr>
          <w:noProof/>
          <w:sz w:val="24"/>
          <w:szCs w:val="24"/>
        </w:rPr>
        <w:t>(Gardner, 2009)</w:t>
      </w:r>
      <w:r w:rsidR="00B06E70">
        <w:rPr>
          <w:sz w:val="24"/>
          <w:szCs w:val="24"/>
        </w:rPr>
        <w:fldChar w:fldCharType="end"/>
      </w:r>
      <w:r w:rsidRPr="00D05EBD">
        <w:rPr>
          <w:sz w:val="24"/>
          <w:szCs w:val="24"/>
        </w:rPr>
        <w:t xml:space="preserve">; to unhealthy snacking </w:t>
      </w:r>
      <w:r w:rsidR="00B06E70">
        <w:rPr>
          <w:sz w:val="24"/>
          <w:szCs w:val="24"/>
        </w:rPr>
        <w:fldChar w:fldCharType="begin" w:fldLock="1"/>
      </w:r>
      <w:r w:rsidR="00E82714">
        <w:rPr>
          <w:sz w:val="24"/>
          <w:szCs w:val="24"/>
        </w:rPr>
        <w:instrText>ADDIN CSL_CITATION { "citationItems" : [ { "id" : "ITEM-1", "itemData" : { "DOI" : "10.1007/s12160-009-9118-3", "ISBN" : "0883-6612", "ISSN" : "08836612", "PMID" : "19787308", "abstract" : "PURPOSE AND METHODS: This paper examines the social cognitive processes that regulate people's eating behavior. Specifically, we examine how eating behavior can be regulated by reflective, deliberative processes as well as automatic and habitual processes. Moreover, we consider how these processes operate when people are not only initiating a change in behavior but also maintaining the behavior over time.\\n\\nRESULTS AND DISCUSSION: Decomposing action control and behavior change into a 2 (reflective, automatic) x 2 (initiation, maintenance) matrix offers a useful way of conceptualizing the various determinants of eating behavior and suggests that different intervention strategies will be needed to target particular processes during respective phases of behavior change. The matrix also helps to identify key areas of intervention development that deserve attention.", "author" : [ { "dropping-particle" : "", "family" : "Rothman", "given" : "Alexander J.", "non-dropping-particle" : "", "parse-names" : false, "suffix" : "" }, { "dropping-particle" : "", "family" : "Sheeran", "given" : "Paschal", "non-dropping-particle" : "", "parse-names" : false, "suffix" : "" }, { "dropping-particle" : "", "family" : "Wood", "given" : "Wendy", "non-dropping-particle" : "", "parse-names" : false, "suffix" : "" } ], "container-title" : "Annals of Behavioral Medicine", "id" : "ITEM-1", "issue" : "SUPPL.", "issued" : { "date-parts" : [ [ "2009", "12", "29" ] ] }, "page" : "4-17", "title" : "Reflective and automatic processes in the initiation and maintenance of dietary change", "type" : "article", "volume" : "38" }, "uris" : [ "http://www.mendeley.com/documents/?uuid=a8a6d069-a422-33a9-893f-b3507b0c7027" ] } ], "mendeley" : { "formattedCitation" : "(Rothman, Sheeran, &amp; Wood, 2009)", "plainTextFormattedCitation" : "(Rothman, Sheeran, &amp; Wood, 2009)", "previouslyFormattedCitation" : "(Rothman, Sheeran, &amp; Wood, 2009)" }, "properties" : { "noteIndex" : 0 }, "schema" : "https://github.com/citation-style-language/schema/raw/master/csl-citation.json" }</w:instrText>
      </w:r>
      <w:r w:rsidR="00B06E70">
        <w:rPr>
          <w:sz w:val="24"/>
          <w:szCs w:val="24"/>
        </w:rPr>
        <w:fldChar w:fldCharType="separate"/>
      </w:r>
      <w:r w:rsidR="000E796D" w:rsidRPr="000E796D">
        <w:rPr>
          <w:noProof/>
          <w:sz w:val="24"/>
          <w:szCs w:val="24"/>
        </w:rPr>
        <w:t>(Rothman, Sheeran, &amp; Wood, 2009)</w:t>
      </w:r>
      <w:r w:rsidR="00B06E70">
        <w:rPr>
          <w:sz w:val="24"/>
          <w:szCs w:val="24"/>
        </w:rPr>
        <w:fldChar w:fldCharType="end"/>
      </w:r>
      <w:r w:rsidRPr="00D05EBD">
        <w:rPr>
          <w:sz w:val="24"/>
          <w:szCs w:val="24"/>
        </w:rPr>
        <w:t xml:space="preserve">; and to alcohol consumption. </w:t>
      </w:r>
      <w:r w:rsidRPr="005679F5">
        <w:rPr>
          <w:sz w:val="24"/>
          <w:szCs w:val="24"/>
        </w:rPr>
        <w:t>Gardner and colleagues</w:t>
      </w:r>
      <w:r w:rsidRPr="00D05EBD">
        <w:rPr>
          <w:sz w:val="24"/>
          <w:szCs w:val="24"/>
        </w:rPr>
        <w:t xml:space="preserve"> found that the SRBAI was reliable to measure </w:t>
      </w:r>
      <w:r w:rsidRPr="00D05EBD">
        <w:rPr>
          <w:sz w:val="24"/>
          <w:szCs w:val="24"/>
        </w:rPr>
        <w:lastRenderedPageBreak/>
        <w:t>habitual behaviours as indicated by the high correlations between the SRBAI and the SRHI, and by the correlation between the SRBAI and the actual behaviours</w:t>
      </w:r>
      <w:r w:rsidRPr="00973AEB">
        <w:rPr>
          <w:rStyle w:val="Refdenotaalpie"/>
        </w:rPr>
        <w:footnoteReference w:id="13"/>
      </w:r>
      <w:r w:rsidRPr="00D05EBD">
        <w:rPr>
          <w:sz w:val="24"/>
          <w:szCs w:val="24"/>
        </w:rPr>
        <w:t>. Importantly, based on the mean scores in the SRBAI, Gardner and colleagues suggested that their results reflected moderate snacking habits (</w:t>
      </w:r>
      <w:r w:rsidRPr="00D05EBD">
        <w:rPr>
          <w:i/>
          <w:sz w:val="24"/>
          <w:szCs w:val="24"/>
        </w:rPr>
        <w:t>M</w:t>
      </w:r>
      <w:r w:rsidRPr="00D05EBD">
        <w:rPr>
          <w:sz w:val="24"/>
          <w:szCs w:val="24"/>
        </w:rPr>
        <w:t xml:space="preserve"> = 3.39), weak drinking habits (</w:t>
      </w:r>
      <w:r w:rsidRPr="00D05EBD">
        <w:rPr>
          <w:i/>
          <w:sz w:val="24"/>
          <w:szCs w:val="24"/>
        </w:rPr>
        <w:t>M</w:t>
      </w:r>
      <w:r w:rsidRPr="00D05EBD">
        <w:rPr>
          <w:sz w:val="24"/>
          <w:szCs w:val="24"/>
        </w:rPr>
        <w:t xml:space="preserve"> = 1.90), and strong car commuting and bicycle habits (</w:t>
      </w:r>
      <w:r w:rsidRPr="00D05EBD">
        <w:rPr>
          <w:i/>
          <w:sz w:val="24"/>
          <w:szCs w:val="24"/>
        </w:rPr>
        <w:t xml:space="preserve">M </w:t>
      </w:r>
      <w:r w:rsidRPr="00D05EBD">
        <w:rPr>
          <w:sz w:val="24"/>
          <w:szCs w:val="24"/>
        </w:rPr>
        <w:t>=</w:t>
      </w:r>
      <w:r w:rsidRPr="00D05EBD">
        <w:rPr>
          <w:i/>
          <w:sz w:val="24"/>
          <w:szCs w:val="24"/>
        </w:rPr>
        <w:t xml:space="preserve"> </w:t>
      </w:r>
      <w:r w:rsidRPr="00D05EBD">
        <w:rPr>
          <w:sz w:val="24"/>
          <w:szCs w:val="24"/>
        </w:rPr>
        <w:t xml:space="preserve">4.49and </w:t>
      </w:r>
      <w:r w:rsidRPr="00D05EBD">
        <w:rPr>
          <w:i/>
          <w:sz w:val="24"/>
          <w:szCs w:val="24"/>
        </w:rPr>
        <w:t xml:space="preserve">M </w:t>
      </w:r>
      <w:r w:rsidRPr="00D05EBD">
        <w:rPr>
          <w:sz w:val="24"/>
          <w:szCs w:val="24"/>
        </w:rPr>
        <w:t xml:space="preserve">= 5.34 respectively). Thus, from the results found in the present study, it could be said that improving the emotions of a close other was the case that reflected more AIER. </w:t>
      </w: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ind w:firstLine="720"/>
        <w:jc w:val="both"/>
        <w:rPr>
          <w:sz w:val="24"/>
          <w:szCs w:val="24"/>
        </w:rPr>
      </w:pPr>
      <w:r w:rsidRPr="00D05EBD">
        <w:rPr>
          <w:sz w:val="24"/>
          <w:szCs w:val="24"/>
        </w:rPr>
        <w:t xml:space="preserve">One of the reasons why the findings of the present study suggest that regulating the emotions of close others happens in a more automatic way than regulating the emotions of acquaintances might be because close others activate nonconscious goals that are associated to themselves (e.g. a mother’s nonconscious goal to protect gets activated by the presence of her children). </w:t>
      </w:r>
      <w:r w:rsidR="00B06E70">
        <w:rPr>
          <w:sz w:val="24"/>
          <w:szCs w:val="24"/>
        </w:rPr>
        <w:fldChar w:fldCharType="begin" w:fldLock="1"/>
      </w:r>
      <w:r w:rsidR="00E82714">
        <w:rPr>
          <w:sz w:val="24"/>
          <w:szCs w:val="24"/>
        </w:rPr>
        <w:instrText>ADDIN CSL_CITATION { "citationItems" : [ { "id" : "ITEM-1", "itemData" : { "DOI" : "10.1038/nature13314.A", "ISBN" : "3143627344", "ISSN" : "1878-5832", "PMID" : "21959306", "abstract" : "Much of social life is experienced through mental processes that are not intended and about which one is fairly oblivious. These processes are automatically triggered by features of the immediate social environment, such as the group memberships of other people, the qualities of their behavior, and features of social situations (e.g., norms, one's relative power). Recent research has shown these nonconscious influences to extend beyond the perception and interpretation of the social world to the actual guidance, over extended time periods, of one's important goal pursuits and social interactions.", "author" : [ { "dropping-particle" : "", "family" : "Bargh", "given" : "John", "non-dropping-particle" : "", "parse-names" : false, "suffix" : "" }, { "dropping-particle" : "", "family" : "Williams", "given" : "Erin", "non-dropping-particle" : "", "parse-names" : false, "suffix" : "" } ], "container-title" : "Current Directions in Psychological Science", "id" : "ITEM-1", "issue" : "1", "issued" : { "date-parts" : [ [ "2006" ] ] }, "page" : "1-4", "title" : "The Automaticity of Social Life", "type" : "article-journal", "volume" : "2" }, "uris" : [ "http://www.mendeley.com/documents/?uuid=e2b4d438-d007-308a-b533-fccbf7684468" ] } ], "mendeley" : { "formattedCitation" : "(J. Bargh &amp; Williams, 2006)", "manualFormatting" : "(Bargh &amp; Williams, 2006)", "plainTextFormattedCitation" : "(J. Bargh &amp; Williams, 2006)", "previouslyFormattedCitation" : "(J. Bargh &amp; Williams, 2006)" }, "properties" : { "noteIndex" : 0 }, "schema" : "https://github.com/citation-style-language/schema/raw/master/csl-citation.json" }</w:instrText>
      </w:r>
      <w:r w:rsidR="00B06E70">
        <w:rPr>
          <w:sz w:val="24"/>
          <w:szCs w:val="24"/>
        </w:rPr>
        <w:fldChar w:fldCharType="separate"/>
      </w:r>
      <w:r w:rsidR="00E22EDF">
        <w:rPr>
          <w:noProof/>
          <w:sz w:val="24"/>
          <w:szCs w:val="24"/>
        </w:rPr>
        <w:t>Bargh and Williams</w:t>
      </w:r>
      <w:r w:rsidR="00E82714" w:rsidRPr="00E82714">
        <w:rPr>
          <w:noProof/>
          <w:sz w:val="24"/>
          <w:szCs w:val="24"/>
        </w:rPr>
        <w:t xml:space="preserve"> </w:t>
      </w:r>
      <w:r w:rsidR="00E22EDF">
        <w:rPr>
          <w:noProof/>
          <w:sz w:val="24"/>
          <w:szCs w:val="24"/>
        </w:rPr>
        <w:t>(</w:t>
      </w:r>
      <w:r w:rsidR="00E82714" w:rsidRPr="00E82714">
        <w:rPr>
          <w:noProof/>
          <w:sz w:val="24"/>
          <w:szCs w:val="24"/>
        </w:rPr>
        <w:t>2006)</w:t>
      </w:r>
      <w:r w:rsidR="00B06E70">
        <w:rPr>
          <w:sz w:val="24"/>
          <w:szCs w:val="24"/>
        </w:rPr>
        <w:fldChar w:fldCharType="end"/>
      </w:r>
      <w:r w:rsidRPr="00D05EBD">
        <w:rPr>
          <w:sz w:val="24"/>
          <w:szCs w:val="24"/>
        </w:rPr>
        <w:t xml:space="preserve"> suggest that due to the kind of goals people typically pursue with close others (e.g. intimacy, belonging, achievement) and the high frequency of interaction in close relationships, close others are likely to externally prompt the pursuit of nonconscious goals. The present study believes this to be true for IER,</w:t>
      </w:r>
      <w:r w:rsidRPr="00DE1F3F">
        <w:rPr>
          <w:sz w:val="24"/>
          <w:szCs w:val="24"/>
        </w:rPr>
        <w:t xml:space="preserve"> </w:t>
      </w:r>
      <w:r w:rsidRPr="00D05EBD">
        <w:rPr>
          <w:sz w:val="24"/>
          <w:szCs w:val="24"/>
        </w:rPr>
        <w:t xml:space="preserve">in that there are improving IER goals that people typically pursue with those they feel close to, and the frequency of interaction in their close relationships makes the close others become triggers of nonconscious IER aimed at improving the emotions of someone else. This association may indeed be true as when </w:t>
      </w:r>
      <w:r w:rsidRPr="00D05EBD">
        <w:rPr>
          <w:sz w:val="24"/>
          <w:szCs w:val="24"/>
        </w:rPr>
        <w:lastRenderedPageBreak/>
        <w:t xml:space="preserve">people are presented with the representation of a close other their behaviour is affected by the goals that the close other represent </w:t>
      </w:r>
      <w:r w:rsidR="00B06E70">
        <w:rPr>
          <w:sz w:val="24"/>
          <w:szCs w:val="24"/>
        </w:rPr>
        <w:fldChar w:fldCharType="begin" w:fldLock="1"/>
      </w:r>
      <w:r w:rsidR="00E82714">
        <w:rPr>
          <w:sz w:val="24"/>
          <w:szCs w:val="24"/>
        </w:rPr>
        <w:instrText>ADDIN CSL_CITATION { "citationItems" : [ { "id" : "ITEM-1", "itemData" : { "DOI" : "10.1111/j.0963-7214.2005.00325.x", "ISBN" : "0963-7214", "ISSN" : "09637214", "PMID" : "22873", "abstract" : "This article reviews recent research on the automatic activation and management of goals. In particular, it focuses on research examining the variety of ways in which goals may be automatically brought to mind in everyday settings and how such goal priming may affect individuals\u2019 deliberate goal pursuits. Moreover, given the variety of ways in which goals may be automatically ac- tivated and the often numerous goals people deliberately choose to pursue, the article also examines an important component of effective self-regulation: automatically managing, or \u2018\u2018juggling,\u2019\u2019 various pursuits in order to best ensure their successful completion.", "author" : [ { "dropping-particle" : "", "family" : "Shah", "given" : "James Y.", "non-dropping-particle" : "", "parse-names" : false, "suffix" : "" } ], "container-title" : "Current Directions in Psychological Science", "id" : "ITEM-1", "issued" : { "date-parts" : [ [ "2005" ] ] }, "title" : "The automatic pursuit and management of goals", "type" : "article-journal" }, "uris" : [ "http://www.mendeley.com/documents/?uuid=71d625e4-660f-37d3-8f3e-a78a623d1cd2" ] } ], "mendeley" : { "formattedCitation" : "(Shah, 2005)", "plainTextFormattedCitation" : "(Shah, 2005)", "previouslyFormattedCitation" : "(Shah, 2005)" }, "properties" : { "noteIndex" : 0 }, "schema" : "https://github.com/citation-style-language/schema/raw/master/csl-citation.json" }</w:instrText>
      </w:r>
      <w:r w:rsidR="00B06E70">
        <w:rPr>
          <w:sz w:val="24"/>
          <w:szCs w:val="24"/>
        </w:rPr>
        <w:fldChar w:fldCharType="separate"/>
      </w:r>
      <w:r w:rsidR="00E82714" w:rsidRPr="00E82714">
        <w:rPr>
          <w:noProof/>
          <w:sz w:val="24"/>
          <w:szCs w:val="24"/>
        </w:rPr>
        <w:t>(Shah, 2005)</w:t>
      </w:r>
      <w:r w:rsidR="00B06E70">
        <w:rPr>
          <w:sz w:val="24"/>
          <w:szCs w:val="24"/>
        </w:rPr>
        <w:fldChar w:fldCharType="end"/>
      </w:r>
      <w:r w:rsidRPr="00D05EBD">
        <w:rPr>
          <w:sz w:val="24"/>
          <w:szCs w:val="24"/>
        </w:rPr>
        <w:t xml:space="preserve">. People aim to form and maintain close and healthy relationships in order to keep and promote their psychological and physiological health </w:t>
      </w:r>
      <w:r w:rsidR="00B06E70">
        <w:rPr>
          <w:sz w:val="24"/>
          <w:szCs w:val="24"/>
        </w:rPr>
        <w:fldChar w:fldCharType="begin" w:fldLock="1"/>
      </w:r>
      <w:r w:rsidR="00844B08">
        <w:rPr>
          <w:sz w:val="24"/>
          <w:szCs w:val="24"/>
        </w:rPr>
        <w:instrText>ADDIN CSL_CITATION { "citationItems" : [ { "id" : "ITEM-1", "itemData" : { "author" : [ { "dropping-particle" : "", "family" : "Baumeister", "given" : "Roy F.", "non-dropping-particle" : "", "parse-names" : false, "suffix" : "" }, { "dropping-particle" : "", "family" : "Leary", "given" : "mark r.", "non-dropping-particle" : "", "parse-names" : false, "suffix" : "" } ], "container-title" : "Psychological Bulletin", "id" : "ITEM-1", "issue" : "3", "issued" : { "date-parts" : [ [ "1995" ] ] }, "page" : "497-529", "title" : "the need to belong: desire for interpersonal atachments as a fundamental human motivation", "type" : "article-journal", "volume" : "117" }, "uris" : [ "http://www.mendeley.com/documents/?uuid=12232677-49bf-4b67-9af6-4a3f1399425b" ] } ], "mendeley" : { "formattedCitation" : "(Baumeister &amp; Leary, 1995a)", "plainTextFormattedCitation" : "(Baumeister &amp; Leary, 1995a)", "previouslyFormattedCitation" : "(Roy F. Baumeister &amp; Leary, 1995)" }, "properties" : { "noteIndex" : 0 }, "schema" : "https://github.com/citation-style-language/schema/raw/master/csl-citation.json" }</w:instrText>
      </w:r>
      <w:r w:rsidR="00B06E70">
        <w:rPr>
          <w:sz w:val="24"/>
          <w:szCs w:val="24"/>
        </w:rPr>
        <w:fldChar w:fldCharType="separate"/>
      </w:r>
      <w:r w:rsidR="00844B08" w:rsidRPr="00844B08">
        <w:rPr>
          <w:noProof/>
          <w:sz w:val="24"/>
          <w:szCs w:val="24"/>
        </w:rPr>
        <w:t>(Baumeister &amp; Leary, 1995a)</w:t>
      </w:r>
      <w:r w:rsidR="00B06E70">
        <w:rPr>
          <w:sz w:val="24"/>
          <w:szCs w:val="24"/>
        </w:rPr>
        <w:fldChar w:fldCharType="end"/>
      </w:r>
      <w:r w:rsidRPr="00D05EBD">
        <w:rPr>
          <w:rFonts w:eastAsia="Times New Roman" w:cs="Arial"/>
          <w:color w:val="222222"/>
          <w:sz w:val="24"/>
          <w:szCs w:val="24"/>
          <w:shd w:val="clear" w:color="auto" w:fill="FFFFFF"/>
          <w:lang w:eastAsia="en-GB"/>
        </w:rPr>
        <w:t>, and they p</w:t>
      </w:r>
      <w:r w:rsidRPr="00D05EBD">
        <w:rPr>
          <w:sz w:val="24"/>
          <w:szCs w:val="24"/>
        </w:rPr>
        <w:t>romote them by engaging in positive emotion interactions (e.g., empathic, loving, forgiving) (Kell</w:t>
      </w:r>
      <w:r w:rsidR="00E82714">
        <w:rPr>
          <w:sz w:val="24"/>
          <w:szCs w:val="24"/>
        </w:rPr>
        <w:t>e</w:t>
      </w:r>
      <w:r w:rsidRPr="00D05EBD">
        <w:rPr>
          <w:sz w:val="24"/>
          <w:szCs w:val="24"/>
        </w:rPr>
        <w:t xml:space="preserve">y et al., 1983). Improving IER might happen relatively automatically because people have the goal of maintaining good relationships with close others and the processes associated to the maintenance of a good relationship with a significant other could be translated into improving IER strategies (e.g. making someone laugh, valuing someone), which could have become </w:t>
      </w:r>
      <w:proofErr w:type="spellStart"/>
      <w:r w:rsidRPr="00D05EBD">
        <w:rPr>
          <w:sz w:val="24"/>
          <w:szCs w:val="24"/>
        </w:rPr>
        <w:t>automatised</w:t>
      </w:r>
      <w:proofErr w:type="spellEnd"/>
      <w:r w:rsidRPr="00D05EBD">
        <w:rPr>
          <w:sz w:val="24"/>
          <w:szCs w:val="24"/>
        </w:rPr>
        <w:t xml:space="preserve"> due to the high frequency of interaction people have in close relationships. </w:t>
      </w:r>
    </w:p>
    <w:p w:rsidR="00FB1389" w:rsidRPr="00D05EBD" w:rsidRDefault="00FB1389" w:rsidP="00AE640B">
      <w:pPr>
        <w:spacing w:after="0" w:line="480" w:lineRule="auto"/>
        <w:jc w:val="both"/>
        <w:rPr>
          <w:sz w:val="24"/>
          <w:szCs w:val="24"/>
        </w:rPr>
      </w:pPr>
      <w:r w:rsidRPr="00D05EBD">
        <w:rPr>
          <w:sz w:val="24"/>
          <w:szCs w:val="24"/>
        </w:rPr>
        <w:tab/>
      </w:r>
    </w:p>
    <w:p w:rsidR="00FB1389" w:rsidRPr="00D05EBD" w:rsidRDefault="00FB1389" w:rsidP="00AE640B">
      <w:pPr>
        <w:spacing w:after="0" w:line="480" w:lineRule="auto"/>
        <w:jc w:val="both"/>
        <w:rPr>
          <w:sz w:val="24"/>
          <w:szCs w:val="24"/>
        </w:rPr>
      </w:pPr>
      <w:r w:rsidRPr="00D05EBD">
        <w:rPr>
          <w:sz w:val="24"/>
          <w:szCs w:val="24"/>
        </w:rPr>
        <w:tab/>
        <w:t xml:space="preserve">Worsening the emotions of close others was also reported by participants to occur more automatically between close others than between acquaintances. Nevertheless, this finding was not statistically significant. When observing the mean scores for each, the acquaintances and close other group, it can be seen that they fall quite low on the SRBAI scale (i.e., below the midpoint), thus, it cannot be claimed that worsening IER also occurs more automatically with close others than with acquaintances. However, the IER strategies aimed at worsening the emotions of someone else follow the same trend as the IER strategies aimed at improving the emotions of someone else. If participants indeed use worsening IER more automatically with close others that with acquaintances, it could be because in close relationships there is a higher frequency of negative emotional behaviours occurring as well. For example, dissatisfied married couples tend to share negative affect reciprocity (the </w:t>
      </w:r>
      <w:r w:rsidRPr="00D05EBD">
        <w:rPr>
          <w:sz w:val="24"/>
          <w:szCs w:val="24"/>
        </w:rPr>
        <w:lastRenderedPageBreak/>
        <w:t xml:space="preserve">mutual feeling by both members of the couple of experiencing negative affect about the same event) </w:t>
      </w:r>
      <w:r w:rsidR="00B06E70">
        <w:rPr>
          <w:sz w:val="24"/>
          <w:szCs w:val="24"/>
        </w:rPr>
        <w:fldChar w:fldCharType="begin" w:fldLock="1"/>
      </w:r>
      <w:r w:rsidR="007F6ADA">
        <w:rPr>
          <w:sz w:val="24"/>
          <w:szCs w:val="24"/>
        </w:rPr>
        <w:instrText>ADDIN CSL_CITATION { "citationItems" : [ { "id" : "ITEM-1", "itemData" : { "DOI" : "10.1037/0022-3514.67.1.56", "ISBN" : "0022-3514", "ISSN" : "0022-3514", "PMID" : "8046584", "abstract" : "Self-reported affect and autonomic and somatic physiology were studied during three 15-min conversations (events of the day, problem area, pleasant topic) in a sample of 151 couples in long-term marriages. Couples differed in age (40-50 or 60-70) and marital satisfaction (satisfied or dissatisfied). Marital interaction in older couples was associated with more affective positivity and lower physiological arousal (even when controlling for affective differences) than in middle-age couples. As has previously been found with younger couples, marital dissatisfaction was associated with less positive affect, greater negative affect, and greater negative affect reciprocity. In terms of the relation between physiological arousal and affective experience, husbands reported feeling more negative the more they were physiologically aroused; for wives, affect and arousal were not correlated. These findings are related to theories of socioemotional change with age and of gender differences in marital behavior and health.", "author" : [ { "dropping-particle" : "", "family" : "Levenson", "given" : "Robert W", "non-dropping-particle" : "", "parse-names" : false, "suffix" : "" }, { "dropping-particle" : "", "family" : "Carstensen", "given" : "Laura L", "non-dropping-particle" : "", "parse-names" : false, "suffix" : "" }, { "dropping-particle" : "", "family" : "Gottman", "given" : "John M", "non-dropping-particle" : "", "parse-names" : false, "suffix" : "" } ], "container-title" : "Journal of personality and social psychology", "id" : "ITEM-1", "issue" : "1", "issued" : { "date-parts" : [ [ "1994" ] ] }, "page" : "56-68", "title" : "The influence of age and gender on affect, physiology, and their interrelations: a study of long-term marriages.", "type" : "article-journal", "volume" : "67" }, "uris" : [ "http://www.mendeley.com/documents/?uuid=f60f6d9c-ef47-3a35-8825-10f54163ec7b" ] } ], "mendeley" : { "formattedCitation" : "(Robert W Levenson, Carstensen, &amp; Gottman, 1994)", "plainTextFormattedCitation" : "(Robert W Levenson, Carstensen, &amp; Gottman, 1994)", "previouslyFormattedCitation" : "(Robert W Levenson, Carstensen, &amp; Gottman, 1994)" }, "properties" : { "noteIndex" : 0 }, "schema" : "https://github.com/citation-style-language/schema/raw/master/csl-citation.json" }</w:instrText>
      </w:r>
      <w:r w:rsidR="00B06E70">
        <w:rPr>
          <w:sz w:val="24"/>
          <w:szCs w:val="24"/>
        </w:rPr>
        <w:fldChar w:fldCharType="separate"/>
      </w:r>
      <w:r w:rsidR="00E22EDF">
        <w:rPr>
          <w:noProof/>
          <w:sz w:val="24"/>
          <w:szCs w:val="24"/>
        </w:rPr>
        <w:t>(</w:t>
      </w:r>
      <w:r w:rsidR="007F6ADA" w:rsidRPr="007F6ADA">
        <w:rPr>
          <w:noProof/>
          <w:sz w:val="24"/>
          <w:szCs w:val="24"/>
        </w:rPr>
        <w:t>Levenson, Carstensen, &amp; Gottman, 1994)</w:t>
      </w:r>
      <w:r w:rsidR="00B06E70">
        <w:rPr>
          <w:sz w:val="24"/>
          <w:szCs w:val="24"/>
        </w:rPr>
        <w:fldChar w:fldCharType="end"/>
      </w:r>
      <w:r w:rsidRPr="00D05EBD">
        <w:rPr>
          <w:sz w:val="24"/>
          <w:szCs w:val="24"/>
        </w:rPr>
        <w:t xml:space="preserve">, dissatisfied couples, also, tend to engage in continuation of negative </w:t>
      </w:r>
      <w:proofErr w:type="spellStart"/>
      <w:r w:rsidRPr="00D05EBD">
        <w:rPr>
          <w:sz w:val="24"/>
          <w:szCs w:val="24"/>
        </w:rPr>
        <w:t>affect</w:t>
      </w:r>
      <w:proofErr w:type="spellEnd"/>
      <w:r w:rsidRPr="00D05EBD">
        <w:rPr>
          <w:sz w:val="24"/>
          <w:szCs w:val="24"/>
        </w:rPr>
        <w:t xml:space="preserve">, meaning that the expression of negative affect by one spouse is continued by the expression of negative affect by the other spouse </w:t>
      </w:r>
      <w:r w:rsidR="00B06E70">
        <w:rPr>
          <w:sz w:val="24"/>
          <w:szCs w:val="24"/>
        </w:rPr>
        <w:fldChar w:fldCharType="begin" w:fldLock="1"/>
      </w:r>
      <w:r w:rsidR="007D59CB">
        <w:rPr>
          <w:sz w:val="24"/>
          <w:szCs w:val="24"/>
        </w:rPr>
        <w:instrText>ADDIN CSL_CITATION { "citationItems" : [ { "id" : "ITEM-1", "itemData" : { "ISSN" : "0882-7974", "PMID" : "7779311", "abstract" : "In exploring the emotional climate of long-term marriages, this study used an observational coding system to identify specifical emotional behaviors expressed by middle-aged and older spouses during discussions of a marital problem. 156 couples differing in age and marital satisfaction were studied. In older couples, the resolution of conflict was less emotionally negative and more affectionate than in middle-aged marriages. Differences between husbands and wives and between happy and unhappy marriages were also found. Wives were more affectively negative than husbands, whereas husbands were more defensive than wives, and unhappy marriages involved greater exchange of negative affect than happy marriages.", "author" : [ { "dropping-particle" : "", "family" : "Carstensen", "given" : "Laura L", "non-dropping-particle" : "", "parse-names" : false, "suffix" : "" }, { "dropping-particle" : "", "family" : "Gottman", "given" : "John M", "non-dropping-particle" : "", "parse-names" : false, "suffix" : "" }, { "dropping-particle" : "", "family" : "Levenson", "given" : "Robert W", "non-dropping-particle" : "", "parse-names" : false, "suffix" : "" } ], "container-title" : "Psychology and Aging", "id" : "ITEM-1", "issue" : "1", "issued" : { "date-parts" : [ [ "1995", "3" ] ] }, "page" : "140-149", "title" : "Emotional Behavior in Long-Term Marriage Emotion and Aging Gender Differences in Marital Interactions", "type" : "article-journal", "volume" : "10" }, "uris" : [ "http://www.mendeley.com/documents/?uuid=068595c8-eef3-31ec-ac25-7824c8db1a39" ] } ], "mendeley" : { "formattedCitation" : "(Carstensen, Gottman, &amp; Levenson, 1995)", "plainTextFormattedCitation" : "(Carstensen, Gottman, &amp; Levenson, 1995)", "previouslyFormattedCitation" : "(Carstensen, Gottman, &amp; Levenson, 1995)" }, "properties" : { "noteIndex" : 0 }, "schema" : "https://github.com/citation-style-language/schema/raw/master/csl-citation.json" }</w:instrText>
      </w:r>
      <w:r w:rsidR="00B06E70">
        <w:rPr>
          <w:sz w:val="24"/>
          <w:szCs w:val="24"/>
        </w:rPr>
        <w:fldChar w:fldCharType="separate"/>
      </w:r>
      <w:r w:rsidR="007D59CB" w:rsidRPr="007D59CB">
        <w:rPr>
          <w:noProof/>
          <w:sz w:val="24"/>
          <w:szCs w:val="24"/>
        </w:rPr>
        <w:t>(Carstensen, Gottman, &amp; Levenson, 1995)</w:t>
      </w:r>
      <w:r w:rsidR="00B06E70">
        <w:rPr>
          <w:sz w:val="24"/>
          <w:szCs w:val="24"/>
        </w:rPr>
        <w:fldChar w:fldCharType="end"/>
      </w:r>
      <w:r w:rsidRPr="00D05EBD">
        <w:rPr>
          <w:sz w:val="24"/>
          <w:szCs w:val="24"/>
        </w:rPr>
        <w:t xml:space="preserve">. A research example that more clearly illustrates that worsening IER is more likely to happen among close others that among acquaintances was conducted by </w:t>
      </w:r>
      <w:r w:rsidR="00B06E70">
        <w:rPr>
          <w:sz w:val="24"/>
          <w:szCs w:val="24"/>
        </w:rPr>
        <w:fldChar w:fldCharType="begin" w:fldLock="1"/>
      </w:r>
      <w:r w:rsidR="00E82714">
        <w:rPr>
          <w:sz w:val="24"/>
          <w:szCs w:val="24"/>
        </w:rPr>
        <w:instrText>ADDIN CSL_CITATION { "citationItems" : [ { "id" : "ITEM-1", "itemData" : { "DOI" : "10.1111/j.1468-2958.1991.tb00527.x", "ISBN" : "1468-2958", "ISSN" : "0360-3989", "abstract" : "Communication plays an important role in eliciting and shaping people's emotions. Yet surprisingly little empirical or conceptual work has explored how social interaction encourages or discourages various emotions. This article summarizes a series of four studies which examined how people, in conversations, go about generating one emotion\u2014that of guilt\u2014in others. In the first study, a typology of 12 guilt moves was inductively devised. The most common ways of making another feel guilty were: reminding the other of his or her obligation to a relationship, listing sacrifices one has made for the other, reminding the other of his or her role responsibilities, comparing the other to someone else, and questioning the other. The primary reason for using guilt in conversations was persuasion. In the second study, the typology's generalizability was confirmed. Findings also revealed that the likelihood of using guilt in conversations increases with greater relationship intimacy and that people believe others are more likely to use guilt than themselves. The 12 techniques for guilt elicitation were examined in the third study for their independence and dimensionality via multidimensional scaling. The results suggest three underlying dimensions (self-nonself, acquiescence-restrictiveness, and commission-omission) and six potential clusters. The final study conceptualized guilt elicitation and sensitivity as individual differences. A brief, multifactor scale of individuals\u2019 tendency to use guilt, to use it with ease, and to be susceptible to guilt moves was developed. The three dimensions correlated significantly with a number of communication-focused personality variables.", "author" : [ { "dropping-particle" : "", "family" : "Vangelisti", "given" : "Anita L", "non-dropping-particle" : "", "parse-names" : false, "suffix" : "" }, { "dropping-particle" : "", "family" : "Daly", "given" : "John A", "non-dropping-particle" : "", "parse-names" : false, "suffix" : "" }, { "dropping-particle" : "", "family" : "Rudnick", "given" : "Janine", "non-dropping-particle" : "", "parse-names" : false, "suffix" : "" } ], "container-title" : "Human communication research", "id" : "ITEM-1", "issue" : "1", "issued" : { "date-parts" : [ [ "1991" ] ] }, "page" : "3-39", "title" : "Making people feel guilty in conversations", "type" : "article-journal", "volume" : "18" }, "uris" : [ "http://www.mendeley.com/documents/?uuid=87813a28-d3ac-3702-9d5e-1f556fdf7f9a" ] } ], "mendeley" : { "formattedCitation" : "(Vangelisti et al., 1991)", "manualFormatting" : "Vangelisti and colleagues (Studies 1 and 2, 1991)", "plainTextFormattedCitation" : "(Vangelisti et al., 1991)", "previouslyFormattedCitation" : "(Vangelisti et al., 1991)" }, "properties" : { "noteIndex" : 0 }, "schema" : "https://github.com/citation-style-language/schema/raw/master/csl-citation.json" }</w:instrText>
      </w:r>
      <w:r w:rsidR="00B06E70">
        <w:rPr>
          <w:sz w:val="24"/>
          <w:szCs w:val="24"/>
        </w:rPr>
        <w:fldChar w:fldCharType="separate"/>
      </w:r>
      <w:r w:rsidR="00E82714" w:rsidRPr="00E82714">
        <w:rPr>
          <w:noProof/>
          <w:sz w:val="24"/>
          <w:szCs w:val="24"/>
        </w:rPr>
        <w:t xml:space="preserve">Vangelisti </w:t>
      </w:r>
      <w:r w:rsidR="00E82714">
        <w:rPr>
          <w:noProof/>
          <w:sz w:val="24"/>
          <w:szCs w:val="24"/>
        </w:rPr>
        <w:t>and colleagues (Studies 1 and 2,</w:t>
      </w:r>
      <w:r w:rsidR="00E82714" w:rsidRPr="00E82714">
        <w:rPr>
          <w:noProof/>
          <w:sz w:val="24"/>
          <w:szCs w:val="24"/>
        </w:rPr>
        <w:t xml:space="preserve"> 1991)</w:t>
      </w:r>
      <w:r w:rsidR="00B06E70">
        <w:rPr>
          <w:sz w:val="24"/>
          <w:szCs w:val="24"/>
        </w:rPr>
        <w:fldChar w:fldCharType="end"/>
      </w:r>
      <w:r w:rsidRPr="00D05EBD">
        <w:rPr>
          <w:sz w:val="24"/>
          <w:szCs w:val="24"/>
        </w:rPr>
        <w:t>. They studied the use of guilt as an IER strategy. They asked participants to write down a situation where someone made them feel guilty and when they made someone feel guilty, and to specify how close they felt to this person in each case</w:t>
      </w:r>
      <w:r w:rsidRPr="00E82714">
        <w:rPr>
          <w:sz w:val="24"/>
          <w:szCs w:val="24"/>
        </w:rPr>
        <w:t xml:space="preserve">. </w:t>
      </w:r>
      <w:proofErr w:type="spellStart"/>
      <w:r w:rsidRPr="00E82714">
        <w:rPr>
          <w:sz w:val="24"/>
          <w:szCs w:val="24"/>
        </w:rPr>
        <w:t>Vangelisti</w:t>
      </w:r>
      <w:proofErr w:type="spellEnd"/>
      <w:r w:rsidRPr="00D05EBD">
        <w:rPr>
          <w:sz w:val="24"/>
          <w:szCs w:val="24"/>
        </w:rPr>
        <w:t xml:space="preserve"> and colleagues results showed that the attempts to generate guilt occurred mainly in close relationships (80% of the relationships were described as very close ones, and 20% as somehow close). Furthermore they found that guilt was typically used in close relationships as reported by participants (Study 2). More evidence why worsening AIER could be higher with a close other is because some kinds of negative emotions serve prosocial purposes in close relationships. </w:t>
      </w:r>
      <w:r w:rsidR="00B06E70">
        <w:rPr>
          <w:sz w:val="24"/>
          <w:szCs w:val="24"/>
        </w:rPr>
        <w:fldChar w:fldCharType="begin" w:fldLock="1"/>
      </w:r>
      <w:r w:rsidR="00442362">
        <w:rPr>
          <w:sz w:val="24"/>
          <w:szCs w:val="24"/>
        </w:rPr>
        <w:instrText>ADDIN CSL_CITATION { "citationItems" : [ { "id" : "ITEM-1", "itemData" : { "DOI" : "10.1177/1754073915590620", "ISBN" : "1111111111", "ISSN" : "1754-0739", "PMID" : "16452361", "author" : [ { "dropping-particle" : "", "family" : "Schoebi", "given" : "Dominik", "non-dropping-particle" : "", "parse-names" : false, "suffix" : "" }, { "dropping-particle" : "", "family" : "Randall", "given" : "Ashley K.", "non-dropping-particle" : "", "parse-names" : false, "suffix" : "" } ], "container-title" : "Emotion Review", "id" : "ITEM-1", "issue" : "4", "issued" : { "date-parts" : [ [ "2015" ] ] }, "page" : "1-7", "title" : "Emotional Dynamics in Intimate Relationships", "type" : "article-journal", "volume" : "7" }, "uris" : [ "http://www.mendeley.com/documents/?uuid=9ea06990-6796-403c-affb-0016368ed0ec" ] } ], "mendeley" : { "formattedCitation" : "(Schoebi &amp; Randall, 2015)", "manualFormatting" : "Schoebi and Randall (2015)", "plainTextFormattedCitation" : "(Schoebi &amp; Randall, 2015)", "previouslyFormattedCitation" : "(Schoebi &amp; Randall, 2015)" }, "properties" : { "noteIndex" : 0 }, "schema" : "https://github.com/citation-style-language/schema/raw/master/csl-citation.json" }</w:instrText>
      </w:r>
      <w:r w:rsidR="00B06E70">
        <w:rPr>
          <w:sz w:val="24"/>
          <w:szCs w:val="24"/>
        </w:rPr>
        <w:fldChar w:fldCharType="separate"/>
      </w:r>
      <w:r w:rsidR="00E82714" w:rsidRPr="00E82714">
        <w:rPr>
          <w:noProof/>
          <w:sz w:val="24"/>
          <w:szCs w:val="24"/>
        </w:rPr>
        <w:t xml:space="preserve">Schoebi </w:t>
      </w:r>
      <w:r w:rsidR="00442362">
        <w:rPr>
          <w:noProof/>
          <w:sz w:val="24"/>
          <w:szCs w:val="24"/>
        </w:rPr>
        <w:t>and Randall</w:t>
      </w:r>
      <w:r w:rsidR="00E82714" w:rsidRPr="00E82714">
        <w:rPr>
          <w:noProof/>
          <w:sz w:val="24"/>
          <w:szCs w:val="24"/>
        </w:rPr>
        <w:t xml:space="preserve"> </w:t>
      </w:r>
      <w:r w:rsidR="00442362">
        <w:rPr>
          <w:noProof/>
          <w:sz w:val="24"/>
          <w:szCs w:val="24"/>
        </w:rPr>
        <w:t>(</w:t>
      </w:r>
      <w:r w:rsidR="00E82714" w:rsidRPr="00E82714">
        <w:rPr>
          <w:noProof/>
          <w:sz w:val="24"/>
          <w:szCs w:val="24"/>
        </w:rPr>
        <w:t>2015)</w:t>
      </w:r>
      <w:r w:rsidR="00B06E70">
        <w:rPr>
          <w:sz w:val="24"/>
          <w:szCs w:val="24"/>
        </w:rPr>
        <w:fldChar w:fldCharType="end"/>
      </w:r>
      <w:r w:rsidRPr="00D05EBD">
        <w:rPr>
          <w:sz w:val="24"/>
          <w:szCs w:val="24"/>
        </w:rPr>
        <w:t xml:space="preserve"> conducted a study exploring the “susceptibility to partner’s affect” (degree to which the expressed emotions of one partner affect the subsequent emotions of the other partner) of couples, and the relationship of these susceptibility with symptoms of psychological distress (as measured by the Beck Depression Inventory for Primary Care</w:t>
      </w:r>
      <w:r w:rsidR="00442362">
        <w:rPr>
          <w:sz w:val="24"/>
          <w:szCs w:val="24"/>
        </w:rPr>
        <w:t>;</w:t>
      </w:r>
      <w:r w:rsidRPr="00D05EBD">
        <w:rPr>
          <w:sz w:val="24"/>
          <w:szCs w:val="24"/>
        </w:rPr>
        <w:t xml:space="preserve"> </w:t>
      </w:r>
      <w:r w:rsidR="00B06E70">
        <w:rPr>
          <w:sz w:val="24"/>
          <w:szCs w:val="24"/>
        </w:rPr>
        <w:fldChar w:fldCharType="begin" w:fldLock="1"/>
      </w:r>
      <w:r w:rsidR="00442362">
        <w:rPr>
          <w:sz w:val="24"/>
          <w:szCs w:val="24"/>
        </w:rPr>
        <w:instrText>ADDIN CSL_CITATION { "citationItems" : [ { "id" : "ITEM-1", "itemData" : { "DOI" : "10.1016/S0163-8343(98)00070-X", "ISBN" : "0163-8343", "ISSN" : "01638343", "PMID" : "1505745", "abstract" : "To ascertain how effective the Beck Depression Inventory for Primary Care (BDI-PC) was in screening for DSM-IV major depression disorders (MDD) in outpatients who were scheduled for routine office visits with physicians specializing in internal medicine, the BDI-PC was administered to 60 male and 60 female outpatients. The internal consistency of the BDI-PC was high (alpha 0.85), and the Mood Module from the Primary Care Evaluation of Mental Disorders was used to diagnose MDD. The BDI-PC scores were not significantly correlated with sex, age, ethnicity, or total number of medical diagnoses. A BDI-PC cutoff score of 4 and above yielded 98% maximum clinical efficiency with 97% (95% CI 82%-99%) sensitivity and 99% (95% CI 94%-99%) specificity rates, respectively, for identifying patients with and without MDD. The BDI- PC is discussed as an effective case-finding instrument for screening primary care patients for MDD.", "author" : [ { "dropping-particle" : "", "family" : "Steer", "given" : "Robert A.", "non-dropping-particle" : "", "parse-names" : false, "suffix" : "" }, { "dropping-particle" : "", "family" : "Cavalieri", "given" : "Thomas A.", "non-dropping-particle" : "", "parse-names" : false, "suffix" : "" }, { "dropping-particle" : "", "family" : "Leonard", "given" : "Douglas M.", "non-dropping-particle" : "", "parse-names" : false, "suffix" : "" }, { "dropping-particle" : "", "family" : "Beck", "given" : "Aaron T.", "non-dropping-particle" : "", "parse-names" : false, "suffix" : "" } ], "container-title" : "General Hospital Psychiatry", "id" : "ITEM-1", "issue" : "2", "issued" : { "date-parts" : [ [ "1999" ] ] }, "page" : "106-111", "title" : "Use of the beck depression inventory for primary care to screen for major depression disorders", "type" : "article-journal", "volume" : "21" }, "uris" : [ "http://www.mendeley.com/documents/?uuid=277b3008-79b3-46aa-9608-3629142dded5" ] } ], "mendeley" : { "formattedCitation" : "(Steer, Cavalieri, Leonard, &amp; Beck, 1999)", "manualFormatting" : "Steer, Cavalieri, Leonard, &amp; Beck, 1999)", "plainTextFormattedCitation" : "(Steer, Cavalieri, Leonard, &amp; Beck, 1999)", "previouslyFormattedCitation" : "(Steer, Cavalieri, Leonard, &amp; Beck, 1999)" }, "properties" : { "noteIndex" : 0 }, "schema" : "https://github.com/citation-style-language/schema/raw/master/csl-citation.json" }</w:instrText>
      </w:r>
      <w:r w:rsidR="00B06E70">
        <w:rPr>
          <w:sz w:val="24"/>
          <w:szCs w:val="24"/>
        </w:rPr>
        <w:fldChar w:fldCharType="separate"/>
      </w:r>
      <w:r w:rsidR="00442362" w:rsidRPr="00442362">
        <w:rPr>
          <w:noProof/>
          <w:sz w:val="24"/>
          <w:szCs w:val="24"/>
        </w:rPr>
        <w:t>Steer, Cavalieri, Leonard, &amp; Beck, 1999)</w:t>
      </w:r>
      <w:r w:rsidR="00B06E70">
        <w:rPr>
          <w:sz w:val="24"/>
          <w:szCs w:val="24"/>
        </w:rPr>
        <w:fldChar w:fldCharType="end"/>
      </w:r>
      <w:r w:rsidRPr="00D05EBD">
        <w:rPr>
          <w:sz w:val="24"/>
          <w:szCs w:val="24"/>
        </w:rPr>
        <w:t xml:space="preserve">. They found that susceptibility to the partners soft negative affect (as in hurt or fear, which is considered to be relationship oriented because it shows a concern for the relationship) was associated with less psychological distress over the course of 12 months. This study suggests that it is possible that certain </w:t>
      </w:r>
      <w:r w:rsidRPr="00D05EBD">
        <w:rPr>
          <w:sz w:val="24"/>
          <w:szCs w:val="24"/>
        </w:rPr>
        <w:lastRenderedPageBreak/>
        <w:t xml:space="preserve">types of negative affect (soft negative </w:t>
      </w:r>
      <w:proofErr w:type="spellStart"/>
      <w:r w:rsidRPr="00D05EBD">
        <w:rPr>
          <w:sz w:val="24"/>
          <w:szCs w:val="24"/>
        </w:rPr>
        <w:t>affect</w:t>
      </w:r>
      <w:proofErr w:type="spellEnd"/>
      <w:r w:rsidRPr="00D05EBD">
        <w:rPr>
          <w:sz w:val="24"/>
          <w:szCs w:val="24"/>
        </w:rPr>
        <w:t xml:space="preserve"> in this case) also occur in close relationships as they may have beneficial effects for the individual and for the relationship. Thus, following the same logic as in the case of improving IER strategies, it is probable that in the participants’ daily lives, the high frequency of interaction they have with their nominated close others, plus the high amount of negative emotional episodes, are likely to cause close others to activate the use of worsening IER strategies. </w:t>
      </w:r>
    </w:p>
    <w:p w:rsidR="00FB1389" w:rsidRPr="00D05EBD" w:rsidRDefault="00FB1389" w:rsidP="00AE640B">
      <w:pPr>
        <w:spacing w:after="0" w:line="480" w:lineRule="auto"/>
        <w:jc w:val="both"/>
        <w:rPr>
          <w:sz w:val="24"/>
          <w:szCs w:val="24"/>
        </w:rPr>
      </w:pPr>
    </w:p>
    <w:p w:rsidR="00FB1389" w:rsidRDefault="00FB1389" w:rsidP="00AE640B">
      <w:pPr>
        <w:spacing w:after="0" w:line="480" w:lineRule="auto"/>
        <w:ind w:firstLine="720"/>
        <w:jc w:val="both"/>
        <w:rPr>
          <w:sz w:val="24"/>
          <w:szCs w:val="24"/>
        </w:rPr>
      </w:pPr>
      <w:r w:rsidRPr="00D05EBD">
        <w:rPr>
          <w:sz w:val="24"/>
          <w:szCs w:val="24"/>
        </w:rPr>
        <w:t>The results of this first study prove important as they serve to answer the first question of the present thesis: whether it is possible to empirically observe AIER, confirming that th</w:t>
      </w:r>
      <w:r w:rsidR="00E22EDF">
        <w:rPr>
          <w:sz w:val="24"/>
          <w:szCs w:val="24"/>
        </w:rPr>
        <w:t>rough</w:t>
      </w:r>
      <w:r w:rsidRPr="00D05EBD">
        <w:rPr>
          <w:sz w:val="24"/>
          <w:szCs w:val="24"/>
        </w:rPr>
        <w:t xml:space="preserve"> the use of the SRBAI it is possible to measure the participants use of AIER strategies. Moreover, Study 1 indicates that the sort of relationship (close relationships or relationships with acquaintances) and the valence of the IER strategy (to improve or to worsen the emotions of someone else) seem to be fundamental if one is to study AIER. Close relationships are fertile ground to observe AIER as people in these kinds of relationships interact on more frequent basis, which promotes the development of habitual and thus more automatic forms of IER. Furthermore, the automaticity of IER seems to occur more often when people aim to improve the emotions of someone else which concurs with interpersonal goals that search for the development and maintenance of healthy and pleasant close relationships. </w:t>
      </w: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jc w:val="both"/>
        <w:rPr>
          <w:b/>
          <w:sz w:val="24"/>
          <w:szCs w:val="24"/>
        </w:rPr>
      </w:pPr>
      <w:r w:rsidRPr="00D05EBD">
        <w:rPr>
          <w:b/>
          <w:sz w:val="24"/>
          <w:szCs w:val="24"/>
        </w:rPr>
        <w:t>2.5 Limitations and Future Directions</w:t>
      </w: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jc w:val="both"/>
        <w:rPr>
          <w:sz w:val="24"/>
          <w:szCs w:val="24"/>
        </w:rPr>
      </w:pPr>
      <w:r w:rsidRPr="00D05EBD">
        <w:rPr>
          <w:sz w:val="24"/>
          <w:szCs w:val="24"/>
        </w:rPr>
        <w:tab/>
        <w:t xml:space="preserve">There are some important limitations to the current investigation. First, the extent to which IER is automatic is based on self-report data; therefore, responses could </w:t>
      </w:r>
      <w:r w:rsidRPr="00D05EBD">
        <w:rPr>
          <w:sz w:val="24"/>
          <w:szCs w:val="24"/>
        </w:rPr>
        <w:lastRenderedPageBreak/>
        <w:t>be influenced by what participants perceived as being a "socially adequate" response. Research has shown that when people are asked things that could give a negative impression of themselves (e.g. show them as racist), they tend to modify their responses or to act in a social desirable manner</w:t>
      </w:r>
      <w:r w:rsidR="00341DD8">
        <w:rPr>
          <w:sz w:val="24"/>
          <w:szCs w:val="24"/>
        </w:rPr>
        <w:t xml:space="preserve"> </w:t>
      </w:r>
      <w:r w:rsidR="00B06E70">
        <w:rPr>
          <w:sz w:val="24"/>
          <w:szCs w:val="24"/>
        </w:rPr>
        <w:fldChar w:fldCharType="begin" w:fldLock="1"/>
      </w:r>
      <w:r w:rsidR="00341DD8">
        <w:rPr>
          <w:sz w:val="24"/>
          <w:szCs w:val="24"/>
        </w:rPr>
        <w:instrText>ADDIN CSL_CITATION { "citationItems" : [ { "id" : "ITEM-1", "itemData" : { "DOI" : "10.1111/j.1467-8721.2007.00477.x", "ISBN" : "0963-7214", "ISSN" : "0963-7214", "PMID" : "24719563", "abstract" : "Mental process and mental experience are not the same thing.The former is the operation of the mind; the latter is the subjective life that emerges from that operation. In social evaluation, implicit and explicit attitudes express this distinction. Although it is clear that they are not the same, how they differ is not. Across content domains, implicit and explicit attitude measures show substantial variability in the strength of correspondence, ranging from near zero to strongly positive. Variation in controllability, intentionality, awareness, or efficiency is thought to differentiate implicit and explicit attitudes. Dual-process theories and empirical evidence for moderating influences of implicit\u2013explicit attitude relations provide aframework for comprehending relations between the operation and the experience of the mind.", "author" : [ { "dropping-particle" : "", "family" : "Nosek", "given" : "Brian a", "non-dropping-particle" : "", "parse-names" : false, "suffix" : "" } ], "container-title" : "Current Directions in Psychological Science", "id" : "ITEM-1", "issue" : "2", "issued" : { "date-parts" : [ [ "2007" ] ] }, "page" : "65-69", "title" : "Implicit \u2013 Explicit Relations", "type" : "article-journal", "volume" : "16" }, "uris" : [ "http://www.mendeley.com/documents/?uuid=af0f988e-d523-4d26-b974-1213a8bbfcbc" ] } ], "mendeley" : { "formattedCitation" : "(Nosek, 2007)", "plainTextFormattedCitation" : "(Nosek, 2007)", "previouslyFormattedCitation" : "(Nosek, 2007)" }, "properties" : { "noteIndex" : 0 }, "schema" : "https://github.com/citation-style-language/schema/raw/master/csl-citation.json" }</w:instrText>
      </w:r>
      <w:r w:rsidR="00B06E70">
        <w:rPr>
          <w:sz w:val="24"/>
          <w:szCs w:val="24"/>
        </w:rPr>
        <w:fldChar w:fldCharType="separate"/>
      </w:r>
      <w:r w:rsidR="00341DD8" w:rsidRPr="00341DD8">
        <w:rPr>
          <w:noProof/>
          <w:sz w:val="24"/>
          <w:szCs w:val="24"/>
        </w:rPr>
        <w:t>(Nosek, 2007)</w:t>
      </w:r>
      <w:r w:rsidR="00B06E70">
        <w:rPr>
          <w:sz w:val="24"/>
          <w:szCs w:val="24"/>
        </w:rPr>
        <w:fldChar w:fldCharType="end"/>
      </w:r>
      <w:r w:rsidRPr="00D05EBD">
        <w:rPr>
          <w:sz w:val="24"/>
          <w:szCs w:val="24"/>
        </w:rPr>
        <w:t xml:space="preserve">.  In the present research, participants could have reported using more improving IER more automatically with a close other than worsening IER because reporting the contrary might have made them look mean, aggressive or unfriendly. Although this could be the case, research that has used other-reported data (where people report on whether they believe another person has used IER strategies towards them), demonstrated that people indeed use more improving IER than negative IER </w:t>
      </w:r>
      <w:r w:rsidR="00B06E70">
        <w:rPr>
          <w:sz w:val="24"/>
          <w:szCs w:val="24"/>
        </w:rPr>
        <w:fldChar w:fldCharType="begin" w:fldLock="1"/>
      </w:r>
      <w:r w:rsidR="00242A0C">
        <w:rPr>
          <w:sz w:val="24"/>
          <w:szCs w:val="24"/>
        </w:rPr>
        <w:instrText>ADDIN CSL_CITATION { "citationItems" : [ { "id" : "ITEM-1", "itemData" : { "DOI" : "10.1080/00224545.2011.599823", "ISBN" : "0022-4545", "ISSN" : "0022-4545", "PMID" : "22468424", "abstract" : "Individuals in a variety of social contexts try to regulate other people\u2019s feelings, but how does this process affect the regulators themselves? This research aimed to establish a relationship between people\u2019s use of interpersonal affect regulation and their own affective well-being. In a field study, self- and other-reported data were collected from prisoners and staff members in a therapeutic prison using two surveys separated in time. In a laboratory study, a student sample reported their affect before and after attempting to influence the feelings of talent show contestants in a role-play task. The results of both studies indicated congruent associations between the use of affect-improving and affect- worsening interpersonal affect regulation and strategy agents\u2019 affective well-being. Our findings highlight that, when performing interpersonal affect regulation, people may not be immune from the effects of their own actions.", "author" : [ { "dropping-particle" : "", "family" : "Niven", "given" : "Karen", "non-dropping-particle" : "", "parse-names" : false, "suffix" : "" }, { "dropping-particle" : "", "family" : "Totterdell", "given" : "Peter", "non-dropping-particle" : "", "parse-names" : false, "suffix" : "" }, { "dropping-particle" : "", "family" : "Holman", "given" : "David", "non-dropping-particle" : "", "parse-names" : false, "suffix" : "" }, { "dropping-particle" : "", "family" : "Headley", "given" : "Tara", "non-dropping-particle" : "", "parse-names" : false, "suffix" : "" } ], "container-title" : "The Journal of Social Psychology", "id" : "ITEM-1", "issue" : "2", "issued" : { "date-parts" : [ [ "2012" ] ] }, "page" : "246-260", "title" : "Does Regulating Others' Feelings Influence People's Own Affective Well-Being?", "type" : "article-journal", "volume" : "152" }, "uris" : [ "http://www.mendeley.com/documents/?uuid=ab5152e6-8346-34bf-bdc3-4cc32bbf4e7a" ] }, { "id" : "ITEM-2", "itemData" : { "DOI" : "10.1007/s12144-011-9099-9", "ISBN" : "10461310", "ISSN" : "10461310", "PMID" : "59222920", "abstract" : "Research on affect regulation has blossomed in recent years. However, the lack of validated scales assessing individual differences in the use of strategies to achieve alternative types of affect regulation, e.g., the regulation of others\u2019 affect and the worsening of affect, has hampered research on these important processes. This\\r\\npaper presents the development and validation of a brief new measure of individual differences in the use of strategies to regulate one\u2019s own and other people\u2019s feelings:m the Emotion Regulation of Others and Self (EROS) scale. Two distinct samples (N=551 and N=227) confirmed a four-factor structure: intrinsic affect-improving,\\r\\nintrinsic affect-worsening, extrinsic affect-improving and extrinsic affect-worsening. In line with predictions, these factors were associated with existing measures of affect regulation, personality and affect. Both intrinsic factors were positively associated with emotional exhaustion, while all factors except extrinsic affect-improving were positively associated with health-related impairments. Convergence between self- and other-reported scores on the extrinsic factors in a third sample (N=50 dyads) demonstrated further evidence of validity.", "author" : [ { "dropping-particle" : "", "family" : "Niven", "given" : "Karen", "non-dropping-particle" : "", "parse-names" : false, "suffix" : "" }, { "dropping-particle" : "", "family" : "Totterdell", "given" : "Peter", "non-dropping-particle" : "", "parse-names" : false, "suffix" : "" }, { "dropping-particle" : "", "family" : "Stride", "given" : "Christopher B.", "non-dropping-particle" : "", "parse-names" : false, "suffix" : "" }, { "dropping-particle" : "", "family" : "Holman", "given" : "David", "non-dropping-particle" : "", "parse-names" : false, "suffix" : "" } ], "container-title" : "Current Psychology", "id" : "ITEM-2", "issue" : "1", "issued" : { "date-parts" : [ [ "2011" ] ] }, "page" : "53-73", "title" : "Emotion Regulation of Others and Self (EROS): The Development and Validation of a New Individual Difference Measure", "type" : "article-journal", "volume" : "30" }, "uris" : [ "http://www.mendeley.com/documents/?uuid=4ea71d50-689a-3b25-aa32-744cd3a8d801" ] } ], "mendeley" : { "formattedCitation" : "(Niven, Totterdell, et al., 2012; Niven et al., 2011)", "plainTextFormattedCitation" : "(Niven, Totterdell, et al., 2012; Niven et al., 2011)", "previouslyFormattedCitation" : "(Niven, Totterdell, et al., 2012; Niven et al., 2011)" }, "properties" : { "noteIndex" : 0 }, "schema" : "https://github.com/citation-style-language/schema/raw/master/csl-citation.json" }</w:instrText>
      </w:r>
      <w:r w:rsidR="00B06E70">
        <w:rPr>
          <w:sz w:val="24"/>
          <w:szCs w:val="24"/>
        </w:rPr>
        <w:fldChar w:fldCharType="separate"/>
      </w:r>
      <w:r w:rsidR="00341DD8" w:rsidRPr="00341DD8">
        <w:rPr>
          <w:noProof/>
          <w:sz w:val="24"/>
          <w:szCs w:val="24"/>
        </w:rPr>
        <w:t>(Niven, Totterdell, et al., 2012; Niven et al., 2011)</w:t>
      </w:r>
      <w:r w:rsidR="00B06E70">
        <w:rPr>
          <w:sz w:val="24"/>
          <w:szCs w:val="24"/>
        </w:rPr>
        <w:fldChar w:fldCharType="end"/>
      </w:r>
      <w:r w:rsidRPr="00D05EBD">
        <w:rPr>
          <w:sz w:val="24"/>
          <w:szCs w:val="24"/>
        </w:rPr>
        <w:t xml:space="preserve">. The fact that the automatic improving IER seemed to only have occurred with close others was also expected, as close others provide a stable context where improving IER repeatedly occurs and thus, likely becomes automatic. Thus, social desirability might not have influenced the findings of this study. A second limitation of self-reported data is that it relies on the participant’s memory of events, in this case of the occurrence of AIER strategies. To deal with this issue, further research should explore the use of AIER strategies in real time and correlate them with the scores on the SRBAI. </w:t>
      </w: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jc w:val="both"/>
        <w:rPr>
          <w:sz w:val="24"/>
          <w:szCs w:val="24"/>
        </w:rPr>
      </w:pPr>
      <w:r w:rsidRPr="00D05EBD">
        <w:rPr>
          <w:sz w:val="24"/>
          <w:szCs w:val="24"/>
        </w:rPr>
        <w:tab/>
        <w:t xml:space="preserve">Most importantly, one could argue that self-reported data is, by definition, based on awareness. Given the fact that self-report measures involve respondents knowing about what they are being assessed (in the present research, their use of IER), one would think that the results of a self-report instrument measuring automatic use of IER strategies could not be considered as automatic, as one of the key features of an automatic process is a lack of awareness in its use </w:t>
      </w:r>
      <w:r w:rsidR="00B06E70">
        <w:rPr>
          <w:sz w:val="24"/>
          <w:szCs w:val="24"/>
        </w:rPr>
        <w:fldChar w:fldCharType="begin" w:fldLock="1"/>
      </w:r>
      <w:r w:rsidR="00242A0C">
        <w:rPr>
          <w:sz w:val="24"/>
          <w:szCs w:val="24"/>
        </w:rPr>
        <w:instrText>ADDIN CSL_CITATION { "citationItems" : [ { "id" : "ITEM-1", "itemData" : { "author" : [ { "dropping-particle" : "", "family" : "Bargh", "given" : "John A.", "non-dropping-particle" : "", "parse-names" : false, "suffix" : "" } ], "chapter-number" : "1", "container-title" : "Handbook of Social Cognition:", "editor" : [ { "dropping-particle" : "", "family" : "Wyer, Robert S.", "given" : "Jr", "non-dropping-particle" : "", "parse-names" : false, "suffix" : "" }, { "dropping-particle" : "", "family" : "Srull", "given" : "Thomas K", "non-dropping-particle" : "", "parse-names" : false, "suffix" : "" } ], "id" : "ITEM-1", "issued" : { "date-parts" : [ [ "1994" ] ] }, "page" : "1-40", "publisher" : "Lawrence Erlbaum Associates", "publisher-place" : "Hillsdale,NJ, US", "title" : "The four horsemen of automaticity: Awareness, intention, efficiency, and control in social cognition", "type" : "chapter" }, "uris" : [ "http://www.mendeley.com/documents/?uuid=35fd2c30-517b-3ec6-9ecc-41a72bd35578" ] } ], "mendeley" : { "formattedCitation" : "(J. A. Bargh, 1994)", "manualFormatting" : "(Bargh, 1994)", "plainTextFormattedCitation" : "(J. A. Bargh, 1994)", "previouslyFormattedCitation" : "(J. A. Bargh, 1994)" }, "properties" : { "noteIndex" : 0 }, "schema" : "https://github.com/citation-style-language/schema/raw/master/csl-citation.json" }</w:instrText>
      </w:r>
      <w:r w:rsidR="00B06E70">
        <w:rPr>
          <w:sz w:val="24"/>
          <w:szCs w:val="24"/>
        </w:rPr>
        <w:fldChar w:fldCharType="separate"/>
      </w:r>
      <w:r w:rsidR="00242A0C">
        <w:rPr>
          <w:noProof/>
          <w:sz w:val="24"/>
          <w:szCs w:val="24"/>
        </w:rPr>
        <w:t>(</w:t>
      </w:r>
      <w:r w:rsidR="00242A0C" w:rsidRPr="00242A0C">
        <w:rPr>
          <w:noProof/>
          <w:sz w:val="24"/>
          <w:szCs w:val="24"/>
        </w:rPr>
        <w:t>Bargh, 1994)</w:t>
      </w:r>
      <w:r w:rsidR="00B06E70">
        <w:rPr>
          <w:sz w:val="24"/>
          <w:szCs w:val="24"/>
        </w:rPr>
        <w:fldChar w:fldCharType="end"/>
      </w:r>
      <w:r w:rsidRPr="00D05EBD">
        <w:rPr>
          <w:sz w:val="24"/>
          <w:szCs w:val="24"/>
        </w:rPr>
        <w:t xml:space="preserve">. Nevertheless, research </w:t>
      </w:r>
      <w:r w:rsidRPr="00D05EBD">
        <w:rPr>
          <w:sz w:val="24"/>
          <w:szCs w:val="24"/>
        </w:rPr>
        <w:lastRenderedPageBreak/>
        <w:t xml:space="preserve">on implicit attitudes shows that people are able to accurately predict their implicit attitudes </w:t>
      </w:r>
      <w:r w:rsidR="00B06E70">
        <w:rPr>
          <w:sz w:val="24"/>
          <w:szCs w:val="24"/>
        </w:rPr>
        <w:fldChar w:fldCharType="begin" w:fldLock="1"/>
      </w:r>
      <w:r w:rsidR="00B04471">
        <w:rPr>
          <w:sz w:val="24"/>
          <w:szCs w:val="24"/>
        </w:rPr>
        <w:instrText>ADDIN CSL_CITATION { "citationItems" : [ { "id" : "ITEM-1", "itemData" : { "DOI" : "10.1037/a0035028", "ISBN" : "1939-2222(Electronic);0096-3445(Print)", "ISSN" : "1939-2222", "PMID" : "24294868", "abstract" : "Research on implicit attitudes has raised questions about how well people know their own attitudes. Most research on this question has focused on the correspondence between measures of implicit attitudes and measures of explicit attitudes, with low correspondence interpreted as showing that people have little awareness of their implicit attitudes. We took a different approach and directly asked participants to predict their results on upcoming Implicit Association Test (IAT) measures of implicit attitudes toward 5 social groups. We found that participants were surprisingly accurate in their predictions. Across 4 studies, predictions were accurate regardless of whether implicit attitudes were described as true attitudes or culturally learned associations (Studies 1 and 2), regardless of whether predictions were made as specific response patterns (Study 1) or as conceptual responses (Studies 2-4), and regardless of how much experience or explanation participants received before making their predictions (Study 4). Study 3 further suggested that participants' predictions reflected unique insight into their own implicit responses, beyond intuitions about how people in general might respond. Prediction accuracy occurred despite generally low correspondence between implicit and explicit measures of attitudes, as found in prior research. Altogether, the research findings cast doubt on the belief that attitudes or evaluations measured by the IAT necessarily reflect unconscious attitudes.", "author" : [ { "dropping-particle" : "", "family" : "Hahn", "given" : "Adam", "non-dropping-particle" : "", "parse-names" : false, "suffix" : "" }, { "dropping-particle" : "", "family" : "Judd", "given" : "Charles M", "non-dropping-particle" : "", "parse-names" : false, "suffix" : "" }, { "dropping-particle" : "", "family" : "Hirsh", "given" : "Holen K", "non-dropping-particle" : "", "parse-names" : false, "suffix" : "" }, { "dropping-particle" : "V", "family" : "Blair", "given" : "Irene", "non-dropping-particle" : "", "parse-names" : false, "suffix" : "" } ], "container-title" : "Journal of experimental psychology. General", "id" : "ITEM-1", "issue" : "3", "issued" : { "date-parts" : [ [ "2014" ] ] }, "page" : "1369-92", "publisher" : "Quillian Wittenbrink &amp; Schwartz Gladwell The Oprah Winfrey Show", "title" : "Awareness of implicit attitudes.", "type" : "article-journal", "volume" : "143" }, "uris" : [ "http://www.mendeley.com/documents/?uuid=0ed34aa7-0bf8-3130-9ed1-58ca549e821a" ] } ], "mendeley" : { "formattedCitation" : "(Hahn, Judd, Hirsh, &amp; Blair, 2014)", "plainTextFormattedCitation" : "(Hahn, Judd, Hirsh, &amp; Blair, 2014)", "previouslyFormattedCitation" : "(Hahn, Judd, Hirsh, &amp; Blair, 2014)" }, "properties" : { "noteIndex" : 0 }, "schema" : "https://github.com/citation-style-language/schema/raw/master/csl-citation.json" }</w:instrText>
      </w:r>
      <w:r w:rsidR="00B06E70">
        <w:rPr>
          <w:sz w:val="24"/>
          <w:szCs w:val="24"/>
        </w:rPr>
        <w:fldChar w:fldCharType="separate"/>
      </w:r>
      <w:r w:rsidR="00B04471" w:rsidRPr="00B04471">
        <w:rPr>
          <w:noProof/>
          <w:sz w:val="24"/>
          <w:szCs w:val="24"/>
        </w:rPr>
        <w:t>(Hahn, Judd, Hirsh, &amp; Blair, 2014)</w:t>
      </w:r>
      <w:r w:rsidR="00B06E70">
        <w:rPr>
          <w:sz w:val="24"/>
          <w:szCs w:val="24"/>
        </w:rPr>
        <w:fldChar w:fldCharType="end"/>
      </w:r>
      <w:r w:rsidRPr="00D05EBD">
        <w:rPr>
          <w:sz w:val="24"/>
          <w:szCs w:val="24"/>
        </w:rPr>
        <w:t xml:space="preserve">. Thus, it is possible that participants were relatively accurate in reporting the extent to which they engaged in IER automatically with their nominated close other and acquaintance. Also, as mentioned in section 2.3, the scale used to measure habituation of IER, the SRBAI, has proved to measured other habitual patterns of behaviour that have actually correlated with the behaviours themselves </w:t>
      </w:r>
      <w:r w:rsidR="00B06E70">
        <w:rPr>
          <w:sz w:val="24"/>
          <w:szCs w:val="24"/>
        </w:rPr>
        <w:fldChar w:fldCharType="begin" w:fldLock="1"/>
      </w:r>
      <w:r w:rsidR="00B04471">
        <w:rPr>
          <w:sz w:val="24"/>
          <w:szCs w:val="24"/>
        </w:rPr>
        <w:instrText>ADDIN CSL_CITATION { "citationItems" : [ { "id" : "ITEM-1", "itemData" : { "DOI" : "10.1186/1479-5868-9-102", "ISBN" : "14795868 (ISSN)", "ISSN" : "1479-5868", "PMID" : "22935297", "abstract" : "BACKGROUND: The twelve-item Self-Report Habit Index (SRHI) is the most popular measure of energy-balance related habits. This measure characterises habit by automatic activation, behavioural frequency, and relevance to self-identity. Previous empirical research suggests that the SRHI may be abbreviated with no losses in reliability or predictive utility. Drawing on recent theorising suggesting that automaticity is the 'active ingredient' of habit-behaviour relationships, we tested whether an automaticity-specific SRHI subscale could capture habit-based behaviour patterns in self-report data.\\n\\nMETHODS: A content validity task was undertaken to identify a subset of automaticity indicators within the SRHI. The reliability, convergent validity and predictive validity of the automaticity item subset was subsequently tested in secondary analyses of all previous SRHI applications, identified via systematic review, and in primary analyses of four raw datasets relating to energy-balance relevant behaviours (inactive travel, active travel, snacking, and alcohol consumption).\\n\\nRESULTS: A four-item automaticity subscale (the 'Self-Report Behavioural Automaticity Index'; 'SRBAI') was found to be reliable and sensitive to two hypothesised effects of habit on behaviour: a habit-behaviour correlation, and a moderating effect of habit on the intention-behaviour relationship.\\n\\nCONCLUSION: The SRBAI offers a parsimonious measure that adequately captures habitual behaviour patterns. The SRBAI may be of particular utility in predicting future behaviour and in studies tracking habit formation or disruption.", "author" : [ { "dropping-particle" : "", "family" : "Gardner", "given" : "Benjamin", "non-dropping-particle" : "", "parse-names" : false, "suffix" : "" }, { "dropping-particle" : "", "family" : "Abraham", "given" : "Charles", "non-dropping-particle" : "", "parse-names" : false, "suffix" : "" }, { "dropping-particle" : "", "family" : "Lally", "given" : "Phillippa", "non-dropping-particle" : "", "parse-names" : false, "suffix" : "" }, { "dropping-particle" : "", "family" : "Bruijn", "given" : "Gert-Jan", "non-dropping-particle" : "de", "parse-names" : false, "suffix" : "" } ], "container-title" : "The international journal of behavioral nutrition and physical activity", "id" : "ITEM-1", "issued" : { "date-parts" : [ [ "2012" ] ] }, "page" : "102", "title" : "Towards parsimony in habit measurement: testing the convergent and predictive validity of an automaticity subscale of the Self-Report Habit Index.", "type" : "article-journal", "volume" : "9" }, "uris" : [ "http://www.mendeley.com/documents/?uuid=fba3267a-b7e4-36cf-bffd-b02de7b1d6ca" ] } ], "mendeley" : { "formattedCitation" : "(Gardner et al., 2012)", "plainTextFormattedCitation" : "(Gardner et al., 2012)", "previouslyFormattedCitation" : "(Gardner et al., 2012)" }, "properties" : { "noteIndex" : 0 }, "schema" : "https://github.com/citation-style-language/schema/raw/master/csl-citation.json" }</w:instrText>
      </w:r>
      <w:r w:rsidR="00B06E70">
        <w:rPr>
          <w:sz w:val="24"/>
          <w:szCs w:val="24"/>
        </w:rPr>
        <w:fldChar w:fldCharType="separate"/>
      </w:r>
      <w:r w:rsidR="00B04471" w:rsidRPr="00B04471">
        <w:rPr>
          <w:noProof/>
          <w:sz w:val="24"/>
          <w:szCs w:val="24"/>
        </w:rPr>
        <w:t>(Gardner et al., 2012)</w:t>
      </w:r>
      <w:r w:rsidR="00B06E70">
        <w:rPr>
          <w:sz w:val="24"/>
          <w:szCs w:val="24"/>
        </w:rPr>
        <w:fldChar w:fldCharType="end"/>
      </w:r>
      <w:r w:rsidRPr="00D05EBD">
        <w:rPr>
          <w:sz w:val="24"/>
          <w:szCs w:val="24"/>
        </w:rPr>
        <w:t xml:space="preserve">. </w:t>
      </w: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jc w:val="both"/>
        <w:rPr>
          <w:sz w:val="24"/>
          <w:szCs w:val="24"/>
        </w:rPr>
      </w:pPr>
      <w:r w:rsidRPr="00D05EBD">
        <w:rPr>
          <w:sz w:val="24"/>
          <w:szCs w:val="24"/>
        </w:rPr>
        <w:tab/>
        <w:t xml:space="preserve">In the present study participants were not asked further questions concerning the nature of the relationship they had with their close other nor with their acquaintance, which does not allow us to see whether there is a difference in the use of IER in different kinds of close relationships (e.g. romantic relationships, friendships or family relationships). Previous studies have shown that the amount of IER used in different close relationships varies according to the kind of relationship </w:t>
      </w:r>
      <w:r w:rsidR="00B06E70">
        <w:rPr>
          <w:sz w:val="24"/>
          <w:szCs w:val="24"/>
        </w:rPr>
        <w:fldChar w:fldCharType="begin" w:fldLock="1"/>
      </w:r>
      <w:r w:rsidR="00B04471">
        <w:rPr>
          <w:sz w:val="24"/>
          <w:szCs w:val="24"/>
        </w:rPr>
        <w:instrText>ADDIN CSL_CITATION { "citationItems" : [ { "id" : "ITEM-1", "itemData" : { "DOI" : "10.3389/fpsyg.2012.00394", "ISBN" : "1664-1078", "ISSN" : "16641078", "PMID" : "23060849", "abstract" : "Individuals use a range of interpersonal emotion regulation strategies to influence the feelings of others, e.g., friends, family members, romantic partners, work colleagues. But little is known about whether people vary their strategy use across these different relational contexts. We characterize and measure this variability as \"spin,\" i.e., the extent of dispersion in a person's interpersonal emotion regulation strategy use across different relationships, and focus on two key questions. First, is spin adaptive or maladaptive with regard to personal well-being and relationship quality? Second, do personality traits that are considered important for interpersonal functioning (i.e., empathy, attachment style) predict spin? The data used in this study is drawn from a large online survey. A key contribution of this study is to reveal that people who varied the type of strategies they used across relationships (i.e., those with high spin) had lower positive mood, higher emotional exhaustion, and less close relationships. A further key contribution is to show that spin was associated with low empathic concern and perspective taking and high anxious attachment style. High variability in interpersonal emotion regulation strategies across relationships therefore appears to be maladaptive both personally and socially.", "author" : [ { "dropping-particle" : "", "family" : "Niven", "given" : "Karen", "non-dropping-particle" : "", "parse-names" : false, "suffix" : "" }, { "dropping-particle" : "", "family" : "Macdonald", "given" : "Ian", "non-dropping-particle" : "", "parse-names" : false, "suffix" : "" }, { "dropping-particle" : "", "family" : "Holman", "given" : "David", "non-dropping-particle" : "", "parse-names" : false, "suffix" : "" } ], "container-title" : "Frontiers in Psychology", "id" : "ITEM-1", "issue" : "OCT", "issued" : { "date-parts" : [ [ "2012" ] ] }, "title" : "You spin me right round: Cross-relationship variability in interpersonal emotion regulation", "type" : "article-journal", "volume" : "3" }, "uris" : [ "http://www.mendeley.com/documents/?uuid=b50d11be-ef10-322f-870f-e0684460cc35" ] } ], "mendeley" : { "formattedCitation" : "(Niven, Macdonald, et al., 2012)", "plainTextFormattedCitation" : "(Niven, Macdonald, et al., 2012)", "previouslyFormattedCitation" : "(Niven, Macdonald, et al., 2012)" }, "properties" : { "noteIndex" : 0 }, "schema" : "https://github.com/citation-style-language/schema/raw/master/csl-citation.json" }</w:instrText>
      </w:r>
      <w:r w:rsidR="00B06E70">
        <w:rPr>
          <w:sz w:val="24"/>
          <w:szCs w:val="24"/>
        </w:rPr>
        <w:fldChar w:fldCharType="separate"/>
      </w:r>
      <w:r w:rsidR="00B04471" w:rsidRPr="00B04471">
        <w:rPr>
          <w:noProof/>
          <w:sz w:val="24"/>
          <w:szCs w:val="24"/>
        </w:rPr>
        <w:t>(Niven, Macdonald, et al., 2012)</w:t>
      </w:r>
      <w:r w:rsidR="00B06E70">
        <w:rPr>
          <w:sz w:val="24"/>
          <w:szCs w:val="24"/>
        </w:rPr>
        <w:fldChar w:fldCharType="end"/>
      </w:r>
      <w:r w:rsidRPr="00D05EBD">
        <w:rPr>
          <w:sz w:val="24"/>
          <w:szCs w:val="24"/>
        </w:rPr>
        <w:t>. Given that male participants tended to nominate women as their close other (and vice versa), it is possible that most of the relationships reported in the present study might have been romantic relationships. This would not be a surprise as in other studies where participants have been asked to nominate a person they feel close to, they have, in most cases, chosen a romantic partner (e.g.</w:t>
      </w:r>
      <w:r w:rsidR="003B282D">
        <w:rPr>
          <w:sz w:val="24"/>
          <w:szCs w:val="24"/>
        </w:rPr>
        <w:t>,</w:t>
      </w:r>
      <w:r w:rsidR="00B04471">
        <w:rPr>
          <w:sz w:val="24"/>
          <w:szCs w:val="24"/>
        </w:rPr>
        <w:t xml:space="preserve"> </w:t>
      </w:r>
      <w:r w:rsidR="00B06E70">
        <w:rPr>
          <w:sz w:val="24"/>
          <w:szCs w:val="24"/>
        </w:rPr>
        <w:fldChar w:fldCharType="begin" w:fldLock="1"/>
      </w:r>
      <w:r w:rsidR="003B282D">
        <w:rPr>
          <w:sz w:val="24"/>
          <w:szCs w:val="24"/>
        </w:rPr>
        <w:instrText>ADDIN CSL_CITATION { "citationItems" : [ { "id" : "ITEM-1", "itemData" : { "DOI" : "10.1016/j.jesp.2006.10.012", "ISBN" : "0022-1031", "ISSN" : "00221031", "abstract" : "Hitherto, the literature on forgiveness has almost exclusively focused on the role of deliberative processes (e.g., attribution processes) in determining forgiveness. However, in the present article, we argue that in the context of close relationships, the inclination to forgive can be relatively automatically evoked in response to an offense. Four studies provide evidence relevant to this general hypothesis. Studies 1 and 2 demonstrate that the subliminal presentation of close others (versus non-close others or a control word) induces a relatively strong inclination to forgive various offenses. Study 3 provides insight into the cognitive processes that underlie the closeness-forgiveness link, demonstrating that thinking of (a transgression of) a close other (compared to a non-close other) leads to enhanced accessibility of the construct of forgiveness. Finally, Study 4 demonstrates that forgiving responses toward a close offender are less dependent on cognitive resources than are forgiving responses toward a non-close offender, suggesting that, in close relationships, the inclination to forgive arises in a relatively effortless, habitual manner. Implications for theorizing on how people forgive are being discussed. \u00a9 2006 Elsevier Inc. All rights reserved.", "author" : [ { "dropping-particle" : "", "family" : "Karremans", "given" : "Johan C.", "non-dropping-particle" : "", "parse-names" : false, "suffix" : "" }, { "dropping-particle" : "", "family" : "Aarts", "given" : "Henk", "non-dropping-particle" : "", "parse-names" : false, "suffix" : "" } ], "container-title" : "Journal of Experimental Social Psychology", "id" : "ITEM-1", "issue" : "6", "issued" : { "date-parts" : [ [ "2007" ] ] }, "page" : "902-917", "title" : "The role of automaticity in determining the inclination to forgive close others", "type" : "article-journal", "volume" : "43" }, "uris" : [ "http://www.mendeley.com/documents/?uuid=64ab7865-01e7-3cb6-b459-47ac1c19faf9" ] } ], "mendeley" : { "formattedCitation" : "(Karremans &amp; Aarts, 2007)", "manualFormatting" : "Karremans &amp; Aarts, 2007)", "plainTextFormattedCitation" : "(Karremans &amp; Aarts, 2007)", "previouslyFormattedCitation" : "(Karremans &amp; Aarts, 2007)" }, "properties" : { "noteIndex" : 0 }, "schema" : "https://github.com/citation-style-language/schema/raw/master/csl-citation.json" }</w:instrText>
      </w:r>
      <w:r w:rsidR="00B06E70">
        <w:rPr>
          <w:sz w:val="24"/>
          <w:szCs w:val="24"/>
        </w:rPr>
        <w:fldChar w:fldCharType="separate"/>
      </w:r>
      <w:r w:rsidR="00B04471" w:rsidRPr="00B04471">
        <w:rPr>
          <w:noProof/>
          <w:sz w:val="24"/>
          <w:szCs w:val="24"/>
        </w:rPr>
        <w:t>Karremans &amp; Aarts, 2007)</w:t>
      </w:r>
      <w:r w:rsidR="00B06E70">
        <w:rPr>
          <w:sz w:val="24"/>
          <w:szCs w:val="24"/>
        </w:rPr>
        <w:fldChar w:fldCharType="end"/>
      </w:r>
      <w:r w:rsidRPr="00D05EBD">
        <w:rPr>
          <w:sz w:val="24"/>
          <w:szCs w:val="24"/>
        </w:rPr>
        <w:t>. If most people in the present research indeed chose a romantic partner as their close other, this could help explain why the IER strategies were reported as used more automatically with close others than with acquaintances as research suggests that romantic relationships present more emotions occurring in an interpersonal context than other kinds of relationships (Kell</w:t>
      </w:r>
      <w:r w:rsidR="003B282D">
        <w:rPr>
          <w:sz w:val="24"/>
          <w:szCs w:val="24"/>
        </w:rPr>
        <w:t>e</w:t>
      </w:r>
      <w:r w:rsidRPr="00D05EBD">
        <w:rPr>
          <w:sz w:val="24"/>
          <w:szCs w:val="24"/>
        </w:rPr>
        <w:t xml:space="preserve">y et al., 1983). For example, </w:t>
      </w:r>
      <w:r w:rsidR="00B06E70">
        <w:rPr>
          <w:sz w:val="24"/>
          <w:szCs w:val="24"/>
        </w:rPr>
        <w:fldChar w:fldCharType="begin" w:fldLock="1"/>
      </w:r>
      <w:r w:rsidR="003B282D">
        <w:rPr>
          <w:sz w:val="24"/>
          <w:szCs w:val="24"/>
        </w:rPr>
        <w:instrText>ADDIN CSL_CITATION { "citationItems" : [ { "id" : "ITEM-1", "itemData" : { "DOI" : "10.1111/j.1467-6494.1992.tb00981.x", "ISBN" : "0022-3506 (Print)\\r0022-3506 (Linking)", "ISSN" : "0022-3506", "PMID" : "1635051", "abstract" : "This research had three basic goals: (a) to identify manipulation tactics used in close relationships; (b) to document empirically the degree of generality and specificity of tactical deployment across relationship types (mates, friends, parents); and (c) to identify links between five major personality dimensions and the usage of manipulation tactics. Twelve manipulation tactics were identified through separate factor analyses of two instruments based on different data sources: Charm, Reason, Coercion, Silent Treatment, Debasement, and Regression (replicating Buss et al., 1987), and Responsibility Invocation, Reciprocity, Monetary Reward, Pleasure Induction, Social Comparison, and Hardball (an amalgam of threats, lies, and violence). The Big Five personality factors were assessed through three separate data sources: self-report, spouse report, and two independent interviewers. Personality factors showed coherent links with tactics, including Surgency (Coercion, Responsibility, Invocation), Desurgency (Debasement), Agreeableness (Pleasure Induction), Disagreeableness (Coercion), Conscientiousness (Reason), Emotional Instability (Regression), and Intellect-Openness (Reason). Discussion focuses on the consequences of the five personality factors for social interaction in close relationships.", "author" : [ { "dropping-particle" : "", "family" : "Buss", "given" : "David M", "non-dropping-particle" : "", "parse-names" : false, "suffix" : "" } ], "container-title" : "Journal of personality", "id" : "ITEM-1", "issue" : "2", "issued" : { "date-parts" : [ [ "1992" ] ] }, "page" : "477-499", "title" : "Manipulation in close relationships: five personality factors in interactional context.", "type" : "article-journal", "volume" : "60" }, "uris" : [ "http://www.mendeley.com/documents/?uuid=5447f3e5-31f7-3a28-9ee7-3efdeeb5920e" ] } ], "mendeley" : { "formattedCitation" : "(Buss, 1992)", "manualFormatting" : "Buss (1992)", "plainTextFormattedCitation" : "(Buss, 1992)", "previouslyFormattedCitation" : "(Buss, 1992)" }, "properties" : { "noteIndex" : 0 }, "schema" : "https://github.com/citation-style-language/schema/raw/master/csl-citation.json" }</w:instrText>
      </w:r>
      <w:r w:rsidR="00B06E70">
        <w:rPr>
          <w:sz w:val="24"/>
          <w:szCs w:val="24"/>
        </w:rPr>
        <w:fldChar w:fldCharType="separate"/>
      </w:r>
      <w:r w:rsidR="003B282D">
        <w:rPr>
          <w:noProof/>
          <w:sz w:val="24"/>
          <w:szCs w:val="24"/>
        </w:rPr>
        <w:t>Buss</w:t>
      </w:r>
      <w:r w:rsidR="003B282D" w:rsidRPr="003B282D">
        <w:rPr>
          <w:noProof/>
          <w:sz w:val="24"/>
          <w:szCs w:val="24"/>
        </w:rPr>
        <w:t xml:space="preserve"> </w:t>
      </w:r>
      <w:r w:rsidR="003B282D">
        <w:rPr>
          <w:noProof/>
          <w:sz w:val="24"/>
          <w:szCs w:val="24"/>
        </w:rPr>
        <w:t>(</w:t>
      </w:r>
      <w:r w:rsidR="003B282D" w:rsidRPr="003B282D">
        <w:rPr>
          <w:noProof/>
          <w:sz w:val="24"/>
          <w:szCs w:val="24"/>
        </w:rPr>
        <w:t>1992)</w:t>
      </w:r>
      <w:r w:rsidR="00B06E70">
        <w:rPr>
          <w:sz w:val="24"/>
          <w:szCs w:val="24"/>
        </w:rPr>
        <w:fldChar w:fldCharType="end"/>
      </w:r>
      <w:r w:rsidRPr="00D05EBD">
        <w:rPr>
          <w:sz w:val="24"/>
          <w:szCs w:val="24"/>
        </w:rPr>
        <w:t xml:space="preserve"> </w:t>
      </w:r>
      <w:r w:rsidRPr="00D05EBD">
        <w:rPr>
          <w:sz w:val="24"/>
          <w:szCs w:val="24"/>
        </w:rPr>
        <w:lastRenderedPageBreak/>
        <w:t xml:space="preserve">investigated tactics of manipulation (i.e. charm, reason, coercion, silent treatment, debasement, regression, responsibility invocation, reciprocity, monetary reward, pleasure induction, social comparison, and hardball) in close relationships (i.e. spouses, close friends, and parents), and individual differences in the use of these tactics according to different personality dimensions. He found that spousal relationships presented the highest frequency across all manipulations tactics. Further research should explore the use of AIER strategies in different kinds of close relationships. </w:t>
      </w: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ind w:firstLine="720"/>
        <w:jc w:val="both"/>
        <w:rPr>
          <w:sz w:val="24"/>
          <w:szCs w:val="24"/>
        </w:rPr>
      </w:pPr>
      <w:r w:rsidRPr="00D05EBD">
        <w:rPr>
          <w:sz w:val="24"/>
          <w:szCs w:val="24"/>
        </w:rPr>
        <w:t xml:space="preserve">Another option why participants reported more automatic IER with close others could be due to the effect of cross-gender interactions, rather than relationship closeness. Research has found that opposite-sex relationships display more affectionate behaviours than same-sex relationships, although this was only true </w:t>
      </w:r>
      <w:r w:rsidR="00E22EDF">
        <w:rPr>
          <w:sz w:val="24"/>
          <w:szCs w:val="24"/>
        </w:rPr>
        <w:t xml:space="preserve">when compared with </w:t>
      </w:r>
      <w:r w:rsidRPr="00D05EBD">
        <w:rPr>
          <w:sz w:val="24"/>
          <w:szCs w:val="24"/>
        </w:rPr>
        <w:t xml:space="preserve">men in same-sex relationships </w:t>
      </w:r>
      <w:r w:rsidR="00B06E70">
        <w:rPr>
          <w:sz w:val="24"/>
          <w:szCs w:val="24"/>
        </w:rPr>
        <w:fldChar w:fldCharType="begin" w:fldLock="1"/>
      </w:r>
      <w:r w:rsidR="007F6ADA">
        <w:rPr>
          <w:sz w:val="24"/>
          <w:szCs w:val="24"/>
        </w:rPr>
        <w:instrText>ADDIN CSL_CITATION { "citationItems" : [ { "id" : "ITEM-1", "itemData" : { "author" : [ { "dropping-particle" : "", "family" : "Shuntich", "given" : "R J", "non-dropping-particle" : "", "parse-names" : false, "suffix" : "" }, { "dropping-particle" : "", "family" : "Shapiro", "given" : "R M", "non-dropping-particle" : "", "parse-names" : false, "suffix" : "" } ], "container-title" : "Journal of Social Behavior and Personality", "id" : "ITEM-1", "issue" : "2", "issued" : { "date-parts" : [ [ "1991" ] ] }, "page" : "283-300", "title" : "Explorations of verbal affection and aggression", "type" : "article-journal", "volume" : "6" }, "uris" : [ "http://www.mendeley.com/documents/?uuid=840d3cbe-9e01-4002-b101-5ad4dd4a0e53" ] } ], "mendeley" : { "formattedCitation" : "(Shuntich &amp; Shapiro, 1991)", "plainTextFormattedCitation" : "(Shuntich &amp; Shapiro, 1991)", "previouslyFormattedCitation" : "(Shuntich &amp; Shapiro, 1991)" }, "properties" : { "noteIndex" : 0 }, "schema" : "https://github.com/citation-style-language/schema/raw/master/csl-citation.json" }</w:instrText>
      </w:r>
      <w:r w:rsidR="00B06E70">
        <w:rPr>
          <w:sz w:val="24"/>
          <w:szCs w:val="24"/>
        </w:rPr>
        <w:fldChar w:fldCharType="separate"/>
      </w:r>
      <w:r w:rsidR="00075FCC" w:rsidRPr="00075FCC">
        <w:rPr>
          <w:noProof/>
          <w:sz w:val="24"/>
          <w:szCs w:val="24"/>
        </w:rPr>
        <w:t>(Shuntich &amp; Shapiro, 1991)</w:t>
      </w:r>
      <w:r w:rsidR="00B06E70">
        <w:rPr>
          <w:sz w:val="24"/>
          <w:szCs w:val="24"/>
        </w:rPr>
        <w:fldChar w:fldCharType="end"/>
      </w:r>
      <w:r w:rsidRPr="00D05EBD">
        <w:rPr>
          <w:sz w:val="24"/>
          <w:szCs w:val="24"/>
        </w:rPr>
        <w:t xml:space="preserve"> as women in same-sex relationships displayed as much affectionate behaviours as heterosexual couples. Future research should look at homosexual relationships to rule out this possibility. It is also possible that both worsening and improving IER strategies were reported as used more automatically with close others because close others provide a context of more confidence, where the expression of emotion is less restrictive than with acquaintances or strangers, as well as more socially accepted </w:t>
      </w:r>
      <w:r w:rsidR="00B06E70">
        <w:rPr>
          <w:sz w:val="24"/>
          <w:szCs w:val="24"/>
        </w:rPr>
        <w:fldChar w:fldCharType="begin" w:fldLock="1"/>
      </w:r>
      <w:r w:rsidR="003B282D">
        <w:rPr>
          <w:sz w:val="24"/>
          <w:szCs w:val="24"/>
        </w:rPr>
        <w:instrText>ADDIN CSL_CITATION { "citationItems" : [ { "id" : "ITEM-1", "itemData" : { "DOI" : "10.1080/10570319709374578", "ISSN" : "1057-0314", "abstract" : "espite its importance for healthy relational development, the overt communication of affection is inherently risk-laden and subject to normative expectancies for appropriateness. The present study examines a number of individual, relational, and contextual factors that individually and collectively influence the perceived appropriateness of communicating affection in nonromantic dyadic relationships. An experiment involving 386 subjects was conducted to assess the influence of biological sex, sex composition, relational type, and the privacy and emotional intensity of interactive contexts. Predictions regarding their influence were substantially supported.", "author" : [ { "dropping-particle" : "", "family" : "Floyd", "given" : "Kory", "non-dropping-particle" : "", "parse-names" : false, "suffix" : "" }, { "dropping-particle" : "", "family" : "Morman", "given" : "Mark T.", "non-dropping-particle" : "", "parse-names" : false, "suffix" : "" } ], "container-title" : "Western Journal of Communication", "id" : "ITEM-1", "issue" : "February 2015", "issued" : { "date-parts" : [ [ "1997" ] ] }, "page" : "279-298", "title" : "Affectionate communication in nonromantic relationships: Influences of communicator, relational, and contextual factors", "type" : "article-journal", "volume" : "61" }, "uris" : [ "http://www.mendeley.com/documents/?uuid=cfdeca4d-0227-3a9f-88e6-b44038d5ef59" ] } ], "mendeley" : { "formattedCitation" : "(Floyd &amp; Morman, 1997)", "plainTextFormattedCitation" : "(Floyd &amp; Morman, 1997)", "previouslyFormattedCitation" : "(Floyd &amp; Morman, 1997)" }, "properties" : { "noteIndex" : 0 }, "schema" : "https://github.com/citation-style-language/schema/raw/master/csl-citation.json" }</w:instrText>
      </w:r>
      <w:r w:rsidR="00B06E70">
        <w:rPr>
          <w:sz w:val="24"/>
          <w:szCs w:val="24"/>
        </w:rPr>
        <w:fldChar w:fldCharType="separate"/>
      </w:r>
      <w:r w:rsidR="003B282D" w:rsidRPr="003B282D">
        <w:rPr>
          <w:noProof/>
          <w:sz w:val="24"/>
          <w:szCs w:val="24"/>
        </w:rPr>
        <w:t>(Floyd &amp; Morman, 1997)</w:t>
      </w:r>
      <w:r w:rsidR="00B06E70">
        <w:rPr>
          <w:sz w:val="24"/>
          <w:szCs w:val="24"/>
        </w:rPr>
        <w:fldChar w:fldCharType="end"/>
      </w:r>
      <w:r w:rsidRPr="00D05EBD">
        <w:rPr>
          <w:sz w:val="24"/>
          <w:szCs w:val="24"/>
        </w:rPr>
        <w:t xml:space="preserve">. Future research should explore the level of confidence between close others to see if this affects their use of AIER strategies. </w:t>
      </w: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ind w:firstLine="720"/>
        <w:jc w:val="both"/>
        <w:rPr>
          <w:rFonts w:eastAsia="Times New Roman" w:cs="Arial"/>
          <w:color w:val="222222"/>
          <w:sz w:val="24"/>
          <w:szCs w:val="24"/>
          <w:shd w:val="clear" w:color="auto" w:fill="FFFFFF"/>
          <w:lang w:eastAsia="en-GB"/>
        </w:rPr>
      </w:pPr>
      <w:r w:rsidRPr="00D05EBD">
        <w:rPr>
          <w:sz w:val="24"/>
          <w:szCs w:val="24"/>
        </w:rPr>
        <w:t xml:space="preserve">The quality of the relationship was another aspect that was not explored in this study. Participants might have chosen a close other with whom they feel happy and this </w:t>
      </w:r>
      <w:r w:rsidRPr="00D05EBD">
        <w:rPr>
          <w:sz w:val="24"/>
          <w:szCs w:val="24"/>
        </w:rPr>
        <w:lastRenderedPageBreak/>
        <w:t>might have also influenced the increased level of improving  AIER reported by participants when interacting with a close other</w:t>
      </w:r>
      <w:r w:rsidRPr="00D05EBD">
        <w:rPr>
          <w:rFonts w:eastAsia="Times New Roman" w:cs="Arial"/>
          <w:color w:val="222222"/>
          <w:sz w:val="24"/>
          <w:szCs w:val="24"/>
          <w:shd w:val="clear" w:color="auto" w:fill="FFFFFF"/>
          <w:lang w:eastAsia="en-GB"/>
        </w:rPr>
        <w:t xml:space="preserve">. According to </w:t>
      </w:r>
      <w:r w:rsidR="00B06E70">
        <w:rPr>
          <w:rFonts w:eastAsia="Times New Roman" w:cs="Arial"/>
          <w:color w:val="222222"/>
          <w:sz w:val="24"/>
          <w:szCs w:val="24"/>
          <w:shd w:val="clear" w:color="auto" w:fill="FFFFFF"/>
          <w:lang w:eastAsia="en-GB"/>
        </w:rPr>
        <w:fldChar w:fldCharType="begin" w:fldLock="1"/>
      </w:r>
      <w:r w:rsidR="00844B08">
        <w:rPr>
          <w:rFonts w:eastAsia="Times New Roman" w:cs="Arial"/>
          <w:color w:val="222222"/>
          <w:sz w:val="24"/>
          <w:szCs w:val="24"/>
          <w:shd w:val="clear" w:color="auto" w:fill="FFFFFF"/>
          <w:lang w:eastAsia="en-GB"/>
        </w:rPr>
        <w:instrText>ADDIN CSL_CITATION { "citationItems" : [ { "id" : "ITEM-1", "itemData" : { "DOI" : "10.1037//1089-2680.5.4.323", "author" : [ { "dropping-particle" : "", "family" : "Baumeister", "given" : "Roy F.", "non-dropping-particle" : "", "parse-names" : false, "suffix" : "" }, { "dropping-particle" : "", "family" : "Bratslavsky", "given" : "Ellen", "non-dropping-particle" : "", "parse-names" : false, "suffix" : "" }, { "dropping-particle" : "", "family" : "Vohs", "given" : "Kathleen D", "non-dropping-particle" : "", "parse-names" : false, "suffix" : "" } ], "container-title" : "Review of General Psychology", "id" : "ITEM-1", "issue" : "4", "issued" : { "date-parts" : [ [ "2001" ] ] }, "page" : "323-370", "title" : "Bad Is Stronger Than Good", "type" : "article-journal", "volume" : "5" }, "uris" : [ "http://www.mendeley.com/documents/?uuid=cc4fb4e6-ef75-3d2b-993b-7c470e5fe8e6" ] } ], "mendeley" : { "formattedCitation" : "(Baumeister, Bratslavsky, &amp; Vohs, 2001)", "manualFormatting" : "Baumeister, Bratslavsky, and Vohs (p. 328, 2001)", "plainTextFormattedCitation" : "(Baumeister, Bratslavsky, &amp; Vohs, 2001)", "previouslyFormattedCitation" : "(Roy F. Baumeister, Bratslavsky, &amp; Vohs, 2001)"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3B282D" w:rsidRPr="003B282D">
        <w:rPr>
          <w:rFonts w:eastAsia="Times New Roman" w:cs="Arial"/>
          <w:noProof/>
          <w:color w:val="222222"/>
          <w:sz w:val="24"/>
          <w:szCs w:val="24"/>
          <w:shd w:val="clear" w:color="auto" w:fill="FFFFFF"/>
          <w:lang w:eastAsia="en-GB"/>
        </w:rPr>
        <w:t xml:space="preserve">Baumeister, Bratslavsky, </w:t>
      </w:r>
      <w:r w:rsidR="003B282D">
        <w:rPr>
          <w:rFonts w:eastAsia="Times New Roman" w:cs="Arial"/>
          <w:noProof/>
          <w:color w:val="222222"/>
          <w:sz w:val="24"/>
          <w:szCs w:val="24"/>
          <w:shd w:val="clear" w:color="auto" w:fill="FFFFFF"/>
          <w:lang w:eastAsia="en-GB"/>
        </w:rPr>
        <w:t>and Vohs</w:t>
      </w:r>
      <w:r w:rsidR="003B282D" w:rsidRPr="003B282D">
        <w:rPr>
          <w:rFonts w:eastAsia="Times New Roman" w:cs="Arial"/>
          <w:noProof/>
          <w:color w:val="222222"/>
          <w:sz w:val="24"/>
          <w:szCs w:val="24"/>
          <w:shd w:val="clear" w:color="auto" w:fill="FFFFFF"/>
          <w:lang w:eastAsia="en-GB"/>
        </w:rPr>
        <w:t xml:space="preserve"> </w:t>
      </w:r>
      <w:r w:rsidR="003B282D">
        <w:rPr>
          <w:rFonts w:eastAsia="Times New Roman" w:cs="Arial"/>
          <w:noProof/>
          <w:color w:val="222222"/>
          <w:sz w:val="24"/>
          <w:szCs w:val="24"/>
          <w:shd w:val="clear" w:color="auto" w:fill="FFFFFF"/>
          <w:lang w:eastAsia="en-GB"/>
        </w:rPr>
        <w:t xml:space="preserve">(p. 328, </w:t>
      </w:r>
      <w:r w:rsidR="003B282D" w:rsidRPr="003B282D">
        <w:rPr>
          <w:rFonts w:eastAsia="Times New Roman" w:cs="Arial"/>
          <w:noProof/>
          <w:color w:val="222222"/>
          <w:sz w:val="24"/>
          <w:szCs w:val="24"/>
          <w:shd w:val="clear" w:color="auto" w:fill="FFFFFF"/>
          <w:lang w:eastAsia="en-GB"/>
        </w:rPr>
        <w:t>2001)</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xml:space="preserve"> "people satisfied with their relationships communicate with more positive verbal behaviours (e.g. agreement, confirmation, constructive problem solving, politeness, expressive forgiveness) and nonverbal behaviours (e.g. smiling, head nodding, cari</w:t>
      </w:r>
      <w:r w:rsidR="003B282D">
        <w:rPr>
          <w:rFonts w:eastAsia="Times New Roman" w:cs="Arial"/>
          <w:color w:val="222222"/>
          <w:sz w:val="24"/>
          <w:szCs w:val="24"/>
          <w:shd w:val="clear" w:color="auto" w:fill="FFFFFF"/>
          <w:lang w:eastAsia="en-GB"/>
        </w:rPr>
        <w:t>ng, or concerned voice)”</w:t>
      </w:r>
      <w:r w:rsidRPr="00D05EBD">
        <w:rPr>
          <w:rFonts w:eastAsia="Times New Roman" w:cs="Arial"/>
          <w:color w:val="222222"/>
          <w:sz w:val="24"/>
          <w:szCs w:val="24"/>
          <w:shd w:val="clear" w:color="auto" w:fill="FFFFFF"/>
          <w:lang w:eastAsia="en-GB"/>
        </w:rPr>
        <w:t xml:space="preserve">. It is likely that participants chose a close other with whom they have a good quality relationship, hence the increased level of improving AIER. Further research should evaluate the quality of the relationship with the acquaintance and the close other to see if the variations in the levels of use of AIER are affected by this. </w:t>
      </w: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jc w:val="both"/>
        <w:rPr>
          <w:rFonts w:eastAsia="Times New Roman" w:cs="Arial"/>
          <w:color w:val="222222"/>
          <w:sz w:val="24"/>
          <w:szCs w:val="24"/>
          <w:shd w:val="clear" w:color="auto" w:fill="FFFFFF"/>
          <w:lang w:eastAsia="en-GB"/>
        </w:rPr>
      </w:pPr>
      <w:r w:rsidRPr="00D05EBD">
        <w:rPr>
          <w:rFonts w:eastAsia="Times New Roman" w:cs="Arial"/>
          <w:color w:val="222222"/>
          <w:sz w:val="24"/>
          <w:szCs w:val="24"/>
          <w:shd w:val="clear" w:color="auto" w:fill="FFFFFF"/>
          <w:lang w:eastAsia="en-GB"/>
        </w:rPr>
        <w:tab/>
        <w:t xml:space="preserve">Even though the participants’ scores on worsening AIER fell below the midpoint of the SRBAI scale, which suggests that people generally do not use worsening forms of IER automatically, it might be the case that the nominated people participants chose (a close other and/or an acquaintance) were people they had positive feelings toward and therefore didn’t elicit worsening AIER behaviours. After all, negative emotions have a bigger impact on people than positive emotions </w:t>
      </w:r>
      <w:r w:rsidR="00B06E70">
        <w:rPr>
          <w:rFonts w:eastAsia="Times New Roman" w:cs="Arial"/>
          <w:color w:val="222222"/>
          <w:sz w:val="24"/>
          <w:szCs w:val="24"/>
          <w:shd w:val="clear" w:color="auto" w:fill="FFFFFF"/>
          <w:lang w:eastAsia="en-GB"/>
        </w:rPr>
        <w:fldChar w:fldCharType="begin" w:fldLock="1"/>
      </w:r>
      <w:r w:rsidR="00844B08">
        <w:rPr>
          <w:rFonts w:eastAsia="Times New Roman" w:cs="Arial"/>
          <w:color w:val="222222"/>
          <w:sz w:val="24"/>
          <w:szCs w:val="24"/>
          <w:shd w:val="clear" w:color="auto" w:fill="FFFFFF"/>
          <w:lang w:eastAsia="en-GB"/>
        </w:rPr>
        <w:instrText>ADDIN CSL_CITATION { "citationItems" : [ { "id" : "ITEM-1", "itemData" : { "DOI" : "10.1037//1089-2680.5.4.323", "author" : [ { "dropping-particle" : "", "family" : "Baumeister", "given" : "Roy F.", "non-dropping-particle" : "", "parse-names" : false, "suffix" : "" }, { "dropping-particle" : "", "family" : "Bratslavsky", "given" : "Ellen", "non-dropping-particle" : "", "parse-names" : false, "suffix" : "" }, { "dropping-particle" : "", "family" : "Vohs", "given" : "Kathleen D", "non-dropping-particle" : "", "parse-names" : false, "suffix" : "" } ], "container-title" : "Review of General Psychology", "id" : "ITEM-1", "issue" : "4", "issued" : { "date-parts" : [ [ "2001" ] ] }, "page" : "323-370", "title" : "Bad Is Stronger Than Good", "type" : "article-journal", "volume" : "5" }, "uris" : [ "http://www.mendeley.com/documents/?uuid=cc4fb4e6-ef75-3d2b-993b-7c470e5fe8e6" ] } ], "mendeley" : { "formattedCitation" : "(Baumeister et al., 2001)", "plainTextFormattedCitation" : "(Baumeister et al., 2001)", "previouslyFormattedCitation" : "(Roy F. Baumeister et al., 2001)"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844B08" w:rsidRPr="00844B08">
        <w:rPr>
          <w:rFonts w:eastAsia="Times New Roman" w:cs="Arial"/>
          <w:noProof/>
          <w:color w:val="222222"/>
          <w:sz w:val="24"/>
          <w:szCs w:val="24"/>
          <w:shd w:val="clear" w:color="auto" w:fill="FFFFFF"/>
          <w:lang w:eastAsia="en-GB"/>
        </w:rPr>
        <w:t>(Baumeister et al., 2001)</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xml:space="preserve">. For example, research has found that negative behaviours in married couples (e.g. reciprocating the negative emotions of the partner) have a bigger impact on the relationship satisfaction, irrespective of whether positive behaviours occur with the same frequency as negative behaviours </w:t>
      </w:r>
      <w:r w:rsidR="00B06E70">
        <w:rPr>
          <w:rFonts w:eastAsia="Times New Roman" w:cs="Arial"/>
          <w:color w:val="222222"/>
          <w:sz w:val="24"/>
          <w:szCs w:val="24"/>
          <w:shd w:val="clear" w:color="auto" w:fill="FFFFFF"/>
          <w:lang w:eastAsia="en-GB"/>
        </w:rPr>
        <w:fldChar w:fldCharType="begin" w:fldLock="1"/>
      </w:r>
      <w:r w:rsidR="007F6ADA">
        <w:rPr>
          <w:rFonts w:eastAsia="Times New Roman" w:cs="Arial"/>
          <w:color w:val="222222"/>
          <w:sz w:val="24"/>
          <w:szCs w:val="24"/>
          <w:shd w:val="clear" w:color="auto" w:fill="FFFFFF"/>
          <w:lang w:eastAsia="en-GB"/>
        </w:rPr>
        <w:instrText>ADDIN CSL_CITATION { "citationItems" : [ { "id" : "ITEM-1", "itemData" : { "DOI" : "10.1037/0022-3514.45.3.587", "ISBN" : "1939-1315", "ISSN" : "0022-3514", "PMID" : "6620126", "abstract" : "Thirty married couples were studied during naturalistic interactions to determine the extent to which variation in marital satisfaction could be accounted for by physiological and affective patterns between and within spouses. The authors hypothesized that (a) compared to nondistressed couples' interactions, distressed couples' interactions would show greater physiological interrelatedness or \"linkage,\" more negative affect, and more reciprocity of negative affect and (b) these differences would be more pronounced when the interaction was high in conflict (discussing a marital problem) as opposed to low in conflict (discussing the events of the day). Heart rate, skin conductance, pulse transmission time, and somatic activity from both spouses were analyzed using bivariate time-series techniques to derive a measure of physiological linkage. Self-report affective data (obtained using a video-recall procedure) were analyzed using sequential analyses to derive a measure of affect reciprocity. The hypotheses were strongly supported; 60% of the variance in marital satisfaction was accounted for using measures of physiological linkage alone. Additional nonredundant variance was accounted for by the other physiological and affective measures.", "author" : [ { "dropping-particle" : "", "family" : "Levenson", "given" : "R W", "non-dropping-particle" : "", "parse-names" : false, "suffix" : "" }, { "dropping-particle" : "", "family" : "Gottman", "given" : "J M", "non-dropping-particle" : "", "parse-names" : false, "suffix" : "" } ], "container-title" : "Journal of Personality and Social Psychology", "id" : "ITEM-1", "issue" : "3", "issued" : { "date-parts" : [ [ "1983" ] ] }, "page" : "587-597", "title" : "Marital interaction: Physiological linkage and affective exchange.", "type" : "article-journal", "volume" : "45" }, "uris" : [ "http://www.mendeley.com/documents/?uuid=e75cc02c-7c2d-452a-8ca2-07d329545796" ] }, { "id" : "ITEM-2", "itemData" : { "DOI" : "10.1037/0022-3514.49.1.85", "ISBN" : "0022-3514", "ISSN" : "0022-3514", "PMID" : "4020618", "abstract" : "In 1980, 30 married couples had engaged in a low-conflict and a high-conflict conversational interaction while continuous physiological data were obtained. In a separate session each spouse had provided a continuous self-report of affect while viewing the videotape of the interaction. In 1983, 19 of these couples were re-located to determine the change in relationship satisfaction that had occurred over the preceding 3 years. A broadly based pattern of physiological arousal (across spouses, interaction segments, and physiological measures) in 1980 was found to predict decline in marital satisfaction; the more aroused the couple was during the 1980 interactions, the more their marital satisfaction declined over the ensuing 3 years. Several affective variables also predicted decline in marital satisfaction, including a pronounced sex difference in negative affect reciprocity: Marital satisfaction declined most when husbands did not reciprocate their wives' negative affect, and when wives did reciprocate their husbands' negative affect.", "author" : [ { "dropping-particle" : "", "family" : "Levenson", "given" : "R W", "non-dropping-particle" : "", "parse-names" : false, "suffix" : "" }, { "dropping-particle" : "", "family" : "Gottman", "given" : "J M", "non-dropping-particle" : "", "parse-names" : false, "suffix" : "" } ], "container-title" : "Journal of personality and social psychology", "id" : "ITEM-2", "issue" : "1", "issued" : { "date-parts" : [ [ "1985" ] ] }, "page" : "85-94", "title" : "Physiological and affective predictors of change in relationship satisfaction.", "type" : "article-journal", "volume" : "49" }, "uris" : [ "http://www.mendeley.com/documents/?uuid=87defaed-19cd-4af8-9718-88394a735512" ] } ], "mendeley" : { "formattedCitation" : "(R W Levenson &amp; Gottman, 1983, 1985)", "plainTextFormattedCitation" : "(R W Levenson &amp; Gottman, 1983, 1985)", "previouslyFormattedCitation" : "(R W Levenson &amp; Gottman, 1983, 1985)"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7F6ADA" w:rsidRPr="007F6ADA">
        <w:rPr>
          <w:rFonts w:eastAsia="Times New Roman" w:cs="Arial"/>
          <w:noProof/>
          <w:color w:val="222222"/>
          <w:sz w:val="24"/>
          <w:szCs w:val="24"/>
          <w:shd w:val="clear" w:color="auto" w:fill="FFFFFF"/>
          <w:lang w:eastAsia="en-GB"/>
        </w:rPr>
        <w:t>(Levenson &amp; Gottman, 1983, 1985)</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xml:space="preserve">. Thus, future research should explore relationship satisfaction to see if it affects the participants report of use of worsening AIER. If the frequency with which participants interact with close others and the relationship goals of having a good relationship influence the participants use of </w:t>
      </w:r>
      <w:r w:rsidRPr="00D05EBD">
        <w:rPr>
          <w:rFonts w:eastAsia="Times New Roman" w:cs="Arial"/>
          <w:color w:val="222222"/>
          <w:sz w:val="24"/>
          <w:szCs w:val="24"/>
          <w:shd w:val="clear" w:color="auto" w:fill="FFFFFF"/>
          <w:lang w:eastAsia="en-GB"/>
        </w:rPr>
        <w:lastRenderedPageBreak/>
        <w:t>improving AIER strategies, it is probable that with low levels of satisfaction people might engage in more worsening AIER in their daily lives, as the frequency of interaction would still be high and, in a dissatisfied relationship the relationship goals might be different. Along with relationship satisfaction, how much participants liked the close other and the acquaintance was not measured either. Research suggests that liking someone promotes the use of improving interpersonal behaviours (e.g., being nice to that person</w:t>
      </w:r>
      <w:r w:rsidR="009967A4">
        <w:rPr>
          <w:rFonts w:eastAsia="Times New Roman" w:cs="Arial"/>
          <w:color w:val="222222"/>
          <w:sz w:val="24"/>
          <w:szCs w:val="24"/>
          <w:shd w:val="clear" w:color="auto" w:fill="FFFFFF"/>
          <w:lang w:eastAsia="en-GB"/>
        </w:rPr>
        <w:t xml:space="preserve">, </w:t>
      </w:r>
      <w:r w:rsidR="00B06E70">
        <w:rPr>
          <w:rFonts w:eastAsia="Times New Roman" w:cs="Arial"/>
          <w:color w:val="222222"/>
          <w:sz w:val="24"/>
          <w:szCs w:val="24"/>
          <w:shd w:val="clear" w:color="auto" w:fill="FFFFFF"/>
          <w:lang w:eastAsia="en-GB"/>
        </w:rPr>
        <w:fldChar w:fldCharType="begin" w:fldLock="1"/>
      </w:r>
      <w:r w:rsidR="00331277">
        <w:rPr>
          <w:rFonts w:eastAsia="Times New Roman" w:cs="Arial"/>
          <w:color w:val="222222"/>
          <w:sz w:val="24"/>
          <w:szCs w:val="24"/>
          <w:shd w:val="clear" w:color="auto" w:fill="FFFFFF"/>
          <w:lang w:eastAsia="en-GB"/>
        </w:rPr>
        <w:instrText>ADDIN CSL_CITATION { "citationItems" : [ { "id" : "ITEM-1", "itemData" : { "DOI" : "10.1177/1745691610393979", "ISBN" : "1745-6916", "ISSN" : "1745-6916", "PMID" : "26162107", "abstract" : "Like many topics of psychological research, the explanation for friendship is at once intuitive and difficult to address empirically. These difficulties worsen when one seeks, as we do, to go beyond \u201cobvious\u201d explanations (\u201chumans are social creatures\u201d) to ask deeper questions, such as \u201cWhat is the evolved function of human friendship?\u201d In recent years, however, a new window into human behavior has opened as a growing fraction of people\u2019s social activity has moved online, leaving a wealth of digital traces behind. One example is a feature of the MySpace social network that allows millions of users to rank their \u201cTop Friends.\u201d In this study, we collected over 10 million people\u2019s friendship decisions from MySpace to test predictions made by hypotheses about human friendship. We found particular support for the alliance hypothesis, which holds that human friendship is caused by cognitive systems that function to create alliances for potential disputes. Because an ally\u2019s support can be undermined by a stronger outside relationship, the alliance model predicts that people will prefer partners who rank them above other friends. Consistent with the alliance model, we found that an individual\u2019s choice of best friend in MySpace is strongly predicted by how partners rank that individual.", "author" : [ { "dropping-particle" : "", "family" : "DeScioli", "given" : "P.", "non-dropping-particle" : "", "parse-names" : false, "suffix" : "" }, { "dropping-particle" : "", "family" : "Kurzban", "given" : "R.", "non-dropping-particle" : "", "parse-names" : false, "suffix" : "" }, { "dropping-particle" : "", "family" : "Koch", "given" : "E. N.", "non-dropping-particle" : "", "parse-names" : false, "suffix" : "" }, { "dropping-particle" : "", "family" : "Liben-Nowell", "given" : "D.", "non-dropping-particle" : "", "parse-names" : false, "suffix" : "" } ], "container-title" : "Perspectives on Psychological Science", "id" : "ITEM-1", "issue" : "1", "issued" : { "date-parts" : [ [ "2011" ] ] }, "page" : "6-8", "title" : "Best Friends: Alliances, Friend Ranking, and the MySpace Social Network", "type" : "article-journal", "volume" : "6" }, "uris" : [ "http://www.mendeley.com/documents/?uuid=21c7671e-998c-47eb-8920-90d3cc807281" ] } ], "mendeley" : { "formattedCitation" : "(DeScioli, Kurzban, Koch, &amp; Liben-Nowell, 2011)", "manualFormatting" : "DeScioli, Kurzban, Koch, &amp; Liben-Nowell, 2011)", "plainTextFormattedCitation" : "(DeScioli, Kurzban, Koch, &amp; Liben-Nowell, 2011)", "previouslyFormattedCitation" : "(DeScioli, Kurzban, Koch, &amp; Liben-Nowell, 2011)"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331277" w:rsidRPr="00331277">
        <w:rPr>
          <w:rFonts w:eastAsia="Times New Roman" w:cs="Arial"/>
          <w:noProof/>
          <w:color w:val="222222"/>
          <w:sz w:val="24"/>
          <w:szCs w:val="24"/>
          <w:shd w:val="clear" w:color="auto" w:fill="FFFFFF"/>
          <w:lang w:eastAsia="en-GB"/>
        </w:rPr>
        <w:t>DeScioli, Kurzban, Koch, &amp; Liben-Nowell, 2011)</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xml:space="preserve">. Participants might have liked their close other more than they liked their acquaintance, hence, they reported more automatic use of improving IER strategies. Even if participants liked their nominated close other more than their nominated acquaintance, it is questionable that this was the reason there was more improving AIER with close others, as research suggests that the amount of liking does not affect the automatic use of prosocial behaviours such as forgiveness. For example, research by </w:t>
      </w:r>
      <w:r w:rsidR="00B06E70">
        <w:rPr>
          <w:rFonts w:eastAsia="Times New Roman" w:cs="Arial"/>
          <w:color w:val="222222"/>
          <w:sz w:val="24"/>
          <w:szCs w:val="24"/>
          <w:shd w:val="clear" w:color="auto" w:fill="FFFFFF"/>
          <w:lang w:eastAsia="en-GB"/>
        </w:rPr>
        <w:fldChar w:fldCharType="begin" w:fldLock="1"/>
      </w:r>
      <w:r w:rsidR="00331277">
        <w:rPr>
          <w:rFonts w:eastAsia="Times New Roman" w:cs="Arial"/>
          <w:color w:val="222222"/>
          <w:sz w:val="24"/>
          <w:szCs w:val="24"/>
          <w:shd w:val="clear" w:color="auto" w:fill="FFFFFF"/>
          <w:lang w:eastAsia="en-GB"/>
        </w:rPr>
        <w:instrText>ADDIN CSL_CITATION { "citationItems" : [ { "id" : "ITEM-1", "itemData" : { "DOI" : "10.1016/j.jesp.2006.10.012", "ISBN" : "0022-1031", "ISSN" : "00221031", "abstract" : "Hitherto, the literature on forgiveness has almost exclusively focused on the role of deliberative processes (e.g., attribution processes) in determining forgiveness. However, in the present article, we argue that in the context of close relationships, the inclination to forgive can be relatively automatically evoked in response to an offense. Four studies provide evidence relevant to this general hypothesis. Studies 1 and 2 demonstrate that the subliminal presentation of close others (versus non-close others or a control word) induces a relatively strong inclination to forgive various offenses. Study 3 provides insight into the cognitive processes that underlie the closeness-forgiveness link, demonstrating that thinking of (a transgression of) a close other (compared to a non-close other) leads to enhanced accessibility of the construct of forgiveness. Finally, Study 4 demonstrates that forgiving responses toward a close offender are less dependent on cognitive resources than are forgiving responses toward a non-close offender, suggesting that, in close relationships, the inclination to forgive arises in a relatively effortless, habitual manner. Implications for theorizing on how people forgive are being discussed. \u00a9 2006 Elsevier Inc. All rights reserved.", "author" : [ { "dropping-particle" : "", "family" : "Karremans", "given" : "Johan C.", "non-dropping-particle" : "", "parse-names" : false, "suffix" : "" }, { "dropping-particle" : "", "family" : "Aarts", "given" : "Henk", "non-dropping-particle" : "", "parse-names" : false, "suffix" : "" } ], "container-title" : "Journal of Experimental Social Psychology", "id" : "ITEM-1", "issue" : "6", "issued" : { "date-parts" : [ [ "2007" ] ] }, "page" : "902-917", "title" : "The role of automaticity in determining the inclination to forgive close others", "type" : "article-journal", "volume" : "43" }, "uris" : [ "http://www.mendeley.com/documents/?uuid=64ab7865-01e7-3cb6-b459-47ac1c19faf9" ] } ], "mendeley" : { "formattedCitation" : "(Karremans &amp; Aarts, 2007)", "manualFormatting" : "Karremans and Aarts (2007)", "plainTextFormattedCitation" : "(Karremans &amp; Aarts, 2007)", "previouslyFormattedCitation" : "(Karremans &amp; Aarts, 2007)" }, "properties" : { "noteIndex" : 0 }, "schema" : "https://github.com/citation-style-language/schema/raw/master/csl-citation.json" }</w:instrText>
      </w:r>
      <w:r w:rsidR="00B06E70">
        <w:rPr>
          <w:rFonts w:eastAsia="Times New Roman" w:cs="Arial"/>
          <w:color w:val="222222"/>
          <w:sz w:val="24"/>
          <w:szCs w:val="24"/>
          <w:shd w:val="clear" w:color="auto" w:fill="FFFFFF"/>
          <w:lang w:eastAsia="en-GB"/>
        </w:rPr>
        <w:fldChar w:fldCharType="separate"/>
      </w:r>
      <w:r w:rsidR="00331277">
        <w:rPr>
          <w:rFonts w:eastAsia="Times New Roman" w:cs="Arial"/>
          <w:noProof/>
          <w:color w:val="222222"/>
          <w:sz w:val="24"/>
          <w:szCs w:val="24"/>
          <w:shd w:val="clear" w:color="auto" w:fill="FFFFFF"/>
          <w:lang w:eastAsia="en-GB"/>
        </w:rPr>
        <w:t>Karremans and Aarts</w:t>
      </w:r>
      <w:r w:rsidR="00331277" w:rsidRPr="00331277">
        <w:rPr>
          <w:rFonts w:eastAsia="Times New Roman" w:cs="Arial"/>
          <w:noProof/>
          <w:color w:val="222222"/>
          <w:sz w:val="24"/>
          <w:szCs w:val="24"/>
          <w:shd w:val="clear" w:color="auto" w:fill="FFFFFF"/>
          <w:lang w:eastAsia="en-GB"/>
        </w:rPr>
        <w:t xml:space="preserve"> </w:t>
      </w:r>
      <w:r w:rsidR="00331277">
        <w:rPr>
          <w:rFonts w:eastAsia="Times New Roman" w:cs="Arial"/>
          <w:noProof/>
          <w:color w:val="222222"/>
          <w:sz w:val="24"/>
          <w:szCs w:val="24"/>
          <w:shd w:val="clear" w:color="auto" w:fill="FFFFFF"/>
          <w:lang w:eastAsia="en-GB"/>
        </w:rPr>
        <w:t>(</w:t>
      </w:r>
      <w:r w:rsidR="00331277" w:rsidRPr="00331277">
        <w:rPr>
          <w:rFonts w:eastAsia="Times New Roman" w:cs="Arial"/>
          <w:noProof/>
          <w:color w:val="222222"/>
          <w:sz w:val="24"/>
          <w:szCs w:val="24"/>
          <w:shd w:val="clear" w:color="auto" w:fill="FFFFFF"/>
          <w:lang w:eastAsia="en-GB"/>
        </w:rPr>
        <w:t>2007)</w:t>
      </w:r>
      <w:r w:rsidR="00B06E70">
        <w:rPr>
          <w:rFonts w:eastAsia="Times New Roman" w:cs="Arial"/>
          <w:color w:val="222222"/>
          <w:sz w:val="24"/>
          <w:szCs w:val="24"/>
          <w:shd w:val="clear" w:color="auto" w:fill="FFFFFF"/>
          <w:lang w:eastAsia="en-GB"/>
        </w:rPr>
        <w:fldChar w:fldCharType="end"/>
      </w:r>
      <w:r w:rsidRPr="00D05EBD">
        <w:rPr>
          <w:rFonts w:eastAsia="Times New Roman" w:cs="Arial"/>
          <w:color w:val="222222"/>
          <w:sz w:val="24"/>
          <w:szCs w:val="24"/>
          <w:shd w:val="clear" w:color="auto" w:fill="FFFFFF"/>
          <w:lang w:eastAsia="en-GB"/>
        </w:rPr>
        <w:t xml:space="preserve"> revealed that automatically forgiving the offenses of a close other was not influenced by the how much they liked that person. </w:t>
      </w:r>
    </w:p>
    <w:p w:rsidR="00FB1389" w:rsidRPr="00D05EBD" w:rsidRDefault="00FB1389" w:rsidP="00AE640B">
      <w:pPr>
        <w:spacing w:after="0" w:line="480" w:lineRule="auto"/>
        <w:jc w:val="both"/>
        <w:rPr>
          <w:rFonts w:eastAsia="Times New Roman" w:cs="Arial"/>
          <w:color w:val="222222"/>
          <w:sz w:val="24"/>
          <w:szCs w:val="24"/>
          <w:shd w:val="clear" w:color="auto" w:fill="FFFFFF"/>
          <w:lang w:eastAsia="en-GB"/>
        </w:rPr>
      </w:pPr>
    </w:p>
    <w:p w:rsidR="00FB1389" w:rsidRPr="00D05EBD" w:rsidRDefault="00FB1389" w:rsidP="00AE640B">
      <w:pPr>
        <w:spacing w:after="0" w:line="480" w:lineRule="auto"/>
        <w:ind w:firstLine="720"/>
        <w:jc w:val="both"/>
        <w:rPr>
          <w:rFonts w:eastAsia="Times New Roman" w:cs="Arial"/>
          <w:color w:val="222222"/>
          <w:sz w:val="24"/>
          <w:szCs w:val="24"/>
          <w:shd w:val="clear" w:color="auto" w:fill="FFFFFF"/>
          <w:lang w:eastAsia="en-GB"/>
        </w:rPr>
      </w:pPr>
      <w:r w:rsidRPr="00D05EBD">
        <w:rPr>
          <w:rFonts w:eastAsia="Times New Roman" w:cs="Arial"/>
          <w:color w:val="222222"/>
          <w:sz w:val="24"/>
          <w:szCs w:val="24"/>
          <w:shd w:val="clear" w:color="auto" w:fill="FFFFFF"/>
          <w:lang w:eastAsia="en-GB"/>
        </w:rPr>
        <w:t xml:space="preserve">Finally, future research should also explore the mood of the person who engages in IER as research has found that improving the emotions of someone else has positive effects on the person doing the regulation, while worsening the emotions of someone else has negative consequences for the person who regulates the emotions of others. </w:t>
      </w:r>
      <w:r w:rsidRPr="00D05EBD">
        <w:rPr>
          <w:sz w:val="24"/>
          <w:szCs w:val="24"/>
        </w:rPr>
        <w:t xml:space="preserve">Research has shown that improving the emotions of someone else, also improves de emotions of the person engaging in IER </w:t>
      </w:r>
      <w:r w:rsidR="00B06E70">
        <w:rPr>
          <w:sz w:val="24"/>
          <w:szCs w:val="24"/>
        </w:rPr>
        <w:fldChar w:fldCharType="begin" w:fldLock="1"/>
      </w:r>
      <w:r w:rsidR="00FA6CD3">
        <w:rPr>
          <w:sz w:val="24"/>
          <w:szCs w:val="24"/>
        </w:rPr>
        <w:instrText>ADDIN CSL_CITATION { "citationItems" : [ { "id" : "ITEM-1", "itemData" : { "author" : [ { "dropping-particle" : "", "family" : "Niven", "given" : "Karen", "non-dropping-particle" : "", "parse-names" : false, "suffix" : "" }, { "dropping-particle" : "", "family" : "Totterdell", "given" : "Peter", "non-dropping-particle" : "", "parse-names" : false, "suffix" : "" }, { "dropping-particle" : "", "family" : "Holman", "given" : "David", "non-dropping-particle" : "", "parse-names" : false, "suffix" : "" } ], "container-title" : "Prison Service Journal", "id" : "ITEM-1", "issued" : { "date-parts" : [ [ "2007" ] ] }, "page" : "39-45", "title" : "Changing moods and influencing people: The use and effects of emotional influence behaviours at HMP Grendon", "type" : "article-journal", "volume" : "173" }, "uris" : [ "http://www.mendeley.com/documents/?uuid=21aad76c-f66b-40e7-ae92-5cfe42eda26e" ] }, { "id" : "ITEM-2", "itemData" : { "DOI" : "10.1037/a0033839", "ISBN" : "1-59385-148-0; 978-1-59385-148-4", "ISSN" : "1931-1516", "PMID" : "24098929", "abstract" : "Contemporary emotion regulation research emphasizes intrapersonal processes such as cognitive reappraisal and expressive suppression, but people experiencing affect commonly choose not to go it alone. Instead, individuals often turn to others for help in shaping their affective lives. How and under what circumstances does such interpersonal regulation modulate emotional experience? Although scientists have examined allied phenomena such as social sharing, empathy, social support, and prosocial behavior for decades, there have been surprisingly few attempts to integrate these data into a single conceptual framework of interpersonal regulation. Here we propose such a framework. We first map a \"space\" differentiating classes of interpersonal regulation according to whether an individual uses an interpersonal regulatory episode to alter their own or another person's emotion. We then identify 2 types of processes--response-dependent and response-independent--that could support interpersonal regulation. This framework classifies an array of processes through which interpersonal contact fulfills regulatory goals. More broadly, it organizes diffuse, heretofore independent data on \"pieces\" of interpersonal regulation, and identifies growth points for this young and exciting research domain.", "author" : [ { "dropping-particle" : "", "family" : "Zaki", "given" : "Jamil", "non-dropping-particle" : "", "parse-names" : false, "suffix" : "" }, { "dropping-particle" : "", "family" : "Williams", "given" : "W Craig", "non-dropping-particle" : "", "parse-names" : false, "suffix" : "" } ], "container-title" : "Emotion (Washington, D.C.)", "id" : "ITEM-2", "issue" : "5", "issued" : { "date-parts" : [ [ "2013" ] ] }, "page" : "803-10", "title" : "Interpersonal emotion regulation.", "type" : "article-journal", "volume" : "13" }, "uris" : [ "http://www.mendeley.com/documents/?uuid=1df2865a-93a2-3b24-98f8-83648dc5c5bb" ] } ], "mendeley" : { "formattedCitation" : "(Niven et al., 2007; Zaki &amp; Williams, 2013)", "plainTextFormattedCitation" : "(Niven et al., 2007; Zaki &amp; Williams, 2013)", "previouslyFormattedCitation" : "(Niven et al., 2007; Zaki &amp; Williams, 2013)" }, "properties" : { "noteIndex" : 0 }, "schema" : "https://github.com/citation-style-language/schema/raw/master/csl-citation.json" }</w:instrText>
      </w:r>
      <w:r w:rsidR="00B06E70">
        <w:rPr>
          <w:sz w:val="24"/>
          <w:szCs w:val="24"/>
        </w:rPr>
        <w:fldChar w:fldCharType="separate"/>
      </w:r>
      <w:r w:rsidR="00331277" w:rsidRPr="00331277">
        <w:rPr>
          <w:noProof/>
          <w:sz w:val="24"/>
          <w:szCs w:val="24"/>
        </w:rPr>
        <w:t>(Niven et al., 2007; Zaki &amp; Williams, 2013)</w:t>
      </w:r>
      <w:r w:rsidR="00B06E70">
        <w:rPr>
          <w:sz w:val="24"/>
          <w:szCs w:val="24"/>
        </w:rPr>
        <w:fldChar w:fldCharType="end"/>
      </w:r>
      <w:r w:rsidRPr="00D05EBD">
        <w:rPr>
          <w:sz w:val="24"/>
          <w:szCs w:val="24"/>
        </w:rPr>
        <w:t xml:space="preserve">. In a study exploring the use of improving and worsening IER strategies by staff and inmates in an UK prison, Niven and colleagues (2007) found that using strategies to make </w:t>
      </w:r>
      <w:r w:rsidRPr="00D05EBD">
        <w:rPr>
          <w:sz w:val="24"/>
          <w:szCs w:val="24"/>
        </w:rPr>
        <w:lastRenderedPageBreak/>
        <w:t>someone feel better reduced the person’s levels of anger and fear and increased the person’s levels of pride, hope and calmness; on the other hand, using worsening IER strategies worsened the feelings of participants. Furthermore, in another study by Niven and colleagues exploring individual differences in intrapersonal emotion regulation and interpersonal emotion regulation, they found that worsening the emotions of someone else was associated to health related problems (as shown in participants scores of the SF-12 Health Survey</w:t>
      </w:r>
      <w:r w:rsidRPr="00973AEB">
        <w:rPr>
          <w:rStyle w:val="Refdenotaalpie"/>
        </w:rPr>
        <w:footnoteReference w:id="14"/>
      </w:r>
      <w:r w:rsidRPr="00D05EBD">
        <w:rPr>
          <w:sz w:val="24"/>
          <w:szCs w:val="24"/>
        </w:rPr>
        <w:t xml:space="preserve">) </w:t>
      </w:r>
      <w:r w:rsidR="00B06E70">
        <w:rPr>
          <w:sz w:val="24"/>
          <w:szCs w:val="24"/>
        </w:rPr>
        <w:fldChar w:fldCharType="begin" w:fldLock="1"/>
      </w:r>
      <w:r w:rsidR="00FA6CD3">
        <w:rPr>
          <w:sz w:val="24"/>
          <w:szCs w:val="24"/>
        </w:rPr>
        <w:instrText>ADDIN CSL_CITATION { "citationItems" : [ { "id" : "ITEM-1", "itemData" : { "DOI" : "10.1007/s12144-011-9099-9", "ISBN" : "10461310", "ISSN" : "10461310", "PMID" : "59222920", "abstract" : "Research on affect regulation has blossomed in recent years. However, the lack of validated scales assessing individual differences in the use of strategies to achieve alternative types of affect regulation, e.g., the regulation of others\u2019 affect and the worsening of affect, has hampered research on these important processes. This\\r\\npaper presents the development and validation of a brief new measure of individual differences in the use of strategies to regulate one\u2019s own and other people\u2019s feelings:m the Emotion Regulation of Others and Self (EROS) scale. Two distinct samples (N=551 and N=227) confirmed a four-factor structure: intrinsic affect-improving,\\r\\nintrinsic affect-worsening, extrinsic affect-improving and extrinsic affect-worsening. In line with predictions, these factors were associated with existing measures of affect regulation, personality and affect. Both intrinsic factors were positively associated with emotional exhaustion, while all factors except extrinsic affect-improving were positively associated with health-related impairments. Convergence between self- and other-reported scores on the extrinsic factors in a third sample (N=50 dyads) demonstrated further evidence of validity.", "author" : [ { "dropping-particle" : "", "family" : "Niven", "given" : "Karen", "non-dropping-particle" : "", "parse-names" : false, "suffix" : "" }, { "dropping-particle" : "", "family" : "Totterdell", "given" : "Peter", "non-dropping-particle" : "", "parse-names" : false, "suffix" : "" }, { "dropping-particle" : "", "family" : "Stride", "given" : "Christopher B.", "non-dropping-particle" : "", "parse-names" : false, "suffix" : "" }, { "dropping-particle" : "", "family" : "Holman", "given" : "David", "non-dropping-particle" : "", "parse-names" : false, "suffix" : "" } ], "container-title" : "Current Psychology", "id" : "ITEM-1", "issue" : "1", "issued" : { "date-parts" : [ [ "2011" ] ] }, "page" : "53-73", "title" : "Emotion Regulation of Others and Self (EROS): The Development and Validation of a New Individual Difference Measure", "type" : "article-journal", "volume" : "30" }, "uris" : [ "http://www.mendeley.com/documents/?uuid=4ea71d50-689a-3b25-aa32-744cd3a8d801" ] } ], "mendeley" : { "formattedCitation" : "(Niven et al., 2011)", "plainTextFormattedCitation" : "(Niven et al., 2011)", "previouslyFormattedCitation" : "(Niven et al., 2011)" }, "properties" : { "noteIndex" : 0 }, "schema" : "https://github.com/citation-style-language/schema/raw/master/csl-citation.json" }</w:instrText>
      </w:r>
      <w:r w:rsidR="00B06E70">
        <w:rPr>
          <w:sz w:val="24"/>
          <w:szCs w:val="24"/>
        </w:rPr>
        <w:fldChar w:fldCharType="separate"/>
      </w:r>
      <w:r w:rsidR="00FA6CD3" w:rsidRPr="00FA6CD3">
        <w:rPr>
          <w:noProof/>
          <w:sz w:val="24"/>
          <w:szCs w:val="24"/>
        </w:rPr>
        <w:t>(Niven et al., 2011)</w:t>
      </w:r>
      <w:r w:rsidR="00B06E70">
        <w:rPr>
          <w:sz w:val="24"/>
          <w:szCs w:val="24"/>
        </w:rPr>
        <w:fldChar w:fldCharType="end"/>
      </w:r>
      <w:r w:rsidRPr="00D05EBD">
        <w:rPr>
          <w:sz w:val="24"/>
          <w:szCs w:val="24"/>
        </w:rPr>
        <w:t>. A history of repetition of use of improving IER strategies may condition people and lead them to associate that making someone feel better is going to make the person feel better. It is likely that people would have learn</w:t>
      </w:r>
      <w:r w:rsidR="00902C46">
        <w:rPr>
          <w:sz w:val="24"/>
          <w:szCs w:val="24"/>
        </w:rPr>
        <w:t>ed</w:t>
      </w:r>
      <w:r w:rsidRPr="00D05EBD">
        <w:rPr>
          <w:sz w:val="24"/>
          <w:szCs w:val="24"/>
        </w:rPr>
        <w:t xml:space="preserve"> this from diverse interpersonal interactions throughout their lives and now they engage in prosocial behaviour in an habitual, thus automatic, way.</w:t>
      </w:r>
      <w:r w:rsidRPr="00D05EBD">
        <w:rPr>
          <w:rFonts w:eastAsia="Times New Roman" w:cs="Arial"/>
          <w:color w:val="222222"/>
          <w:sz w:val="24"/>
          <w:szCs w:val="24"/>
          <w:shd w:val="clear" w:color="auto" w:fill="FFFFFF"/>
          <w:lang w:eastAsia="en-GB"/>
        </w:rPr>
        <w:t xml:space="preserve"> </w:t>
      </w:r>
      <w:r w:rsidRPr="00D05EBD">
        <w:rPr>
          <w:sz w:val="24"/>
          <w:szCs w:val="24"/>
        </w:rPr>
        <w:t>Exploring the affect of participants after engaging in AIER could provide information with respect to whether people engage in AIER to self-enhance their own emotions.</w:t>
      </w: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jc w:val="both"/>
        <w:rPr>
          <w:b/>
          <w:sz w:val="24"/>
          <w:szCs w:val="24"/>
        </w:rPr>
      </w:pPr>
      <w:r w:rsidRPr="00D05EBD">
        <w:rPr>
          <w:b/>
          <w:sz w:val="24"/>
          <w:szCs w:val="24"/>
        </w:rPr>
        <w:t>2.6 Conclusion</w:t>
      </w:r>
    </w:p>
    <w:p w:rsidR="00FB1389" w:rsidRPr="00D05EBD" w:rsidRDefault="00FB1389" w:rsidP="00AE640B">
      <w:pPr>
        <w:spacing w:after="0" w:line="480" w:lineRule="auto"/>
        <w:jc w:val="both"/>
        <w:rPr>
          <w:b/>
          <w:sz w:val="24"/>
          <w:szCs w:val="24"/>
        </w:rPr>
      </w:pPr>
    </w:p>
    <w:p w:rsidR="00FB1389" w:rsidRPr="00D05EBD" w:rsidRDefault="00FB1389" w:rsidP="00AE640B">
      <w:pPr>
        <w:spacing w:after="0" w:line="480" w:lineRule="auto"/>
        <w:jc w:val="both"/>
        <w:rPr>
          <w:sz w:val="24"/>
          <w:szCs w:val="24"/>
        </w:rPr>
      </w:pPr>
      <w:r w:rsidRPr="00D05EBD">
        <w:rPr>
          <w:sz w:val="24"/>
          <w:szCs w:val="24"/>
        </w:rPr>
        <w:tab/>
        <w:t xml:space="preserve">The present study helped answer the first research question of this thesis, providing evidence that it is possible to empirically observe  AIER via the use of the SRBAI. Moreover, it suggested that participants use more improving AIER but only with people they feel close to, as indicated by the SRBAI scores above the midpoint of the scale. The results also showed that people report using more worsening AIER with close others rather than with acquaintances, although it cannot be said that worsening IER happened automatically, as the scores on the SRBAI fell below the midpoint of the scale. </w:t>
      </w:r>
      <w:r w:rsidRPr="00D05EBD">
        <w:rPr>
          <w:sz w:val="24"/>
          <w:szCs w:val="24"/>
        </w:rPr>
        <w:lastRenderedPageBreak/>
        <w:t xml:space="preserve">Two important limitations of the SRBAI are that: </w:t>
      </w:r>
      <w:proofErr w:type="spellStart"/>
      <w:r w:rsidRPr="00D05EBD">
        <w:rPr>
          <w:sz w:val="24"/>
          <w:szCs w:val="24"/>
        </w:rPr>
        <w:t>i</w:t>
      </w:r>
      <w:proofErr w:type="spellEnd"/>
      <w:r w:rsidRPr="00D05EBD">
        <w:rPr>
          <w:sz w:val="24"/>
          <w:szCs w:val="24"/>
        </w:rPr>
        <w:t xml:space="preserve">) as the SRBAI is a self-report measure, the use of AIER strategies can only be inferred by what participants report, ii) social desirability might have affected the participants report on their use of worsening AIER strategies. Thereby, in the next Chapter of this thesis, AIER would be investigated in real time in a series of laboratory studies, specifically, the next series of studies will explore worsening AIER. To control for the effects social desirability may have on the participants’ use of AIER, AIER will be elicited in an unobtrusive way, via priming. </w:t>
      </w:r>
    </w:p>
    <w:p w:rsidR="00B85BBB" w:rsidRDefault="00B85BBB" w:rsidP="00AE640B">
      <w:pPr>
        <w:spacing w:line="480" w:lineRule="auto"/>
        <w:jc w:val="both"/>
        <w:rPr>
          <w:rFonts w:cs="Times New Roman"/>
          <w:b/>
          <w:sz w:val="24"/>
          <w:szCs w:val="24"/>
        </w:rPr>
      </w:pPr>
    </w:p>
    <w:p w:rsidR="00B85BBB" w:rsidRDefault="00B85BBB" w:rsidP="00AE640B">
      <w:pPr>
        <w:spacing w:line="480" w:lineRule="auto"/>
        <w:jc w:val="both"/>
        <w:rPr>
          <w:rFonts w:cs="Times New Roman"/>
          <w:b/>
          <w:sz w:val="24"/>
          <w:szCs w:val="24"/>
        </w:rPr>
      </w:pPr>
    </w:p>
    <w:p w:rsidR="00902C46" w:rsidRDefault="00902C46" w:rsidP="00AE640B">
      <w:pPr>
        <w:spacing w:line="480" w:lineRule="auto"/>
        <w:jc w:val="both"/>
        <w:rPr>
          <w:rFonts w:cs="Times New Roman"/>
          <w:b/>
          <w:sz w:val="24"/>
          <w:szCs w:val="24"/>
        </w:rPr>
      </w:pPr>
    </w:p>
    <w:p w:rsidR="00902C46" w:rsidRDefault="00902C46" w:rsidP="00AE640B">
      <w:pPr>
        <w:spacing w:line="480" w:lineRule="auto"/>
        <w:jc w:val="both"/>
        <w:rPr>
          <w:rFonts w:cs="Times New Roman"/>
          <w:b/>
          <w:sz w:val="24"/>
          <w:szCs w:val="24"/>
        </w:rPr>
      </w:pPr>
    </w:p>
    <w:p w:rsidR="00902C46" w:rsidRDefault="00902C46" w:rsidP="00AE640B">
      <w:pPr>
        <w:spacing w:line="480" w:lineRule="auto"/>
        <w:jc w:val="both"/>
        <w:rPr>
          <w:rFonts w:cs="Times New Roman"/>
          <w:b/>
          <w:sz w:val="24"/>
          <w:szCs w:val="24"/>
        </w:rPr>
      </w:pPr>
    </w:p>
    <w:p w:rsidR="00902C46" w:rsidRDefault="00902C46" w:rsidP="00AE640B">
      <w:pPr>
        <w:spacing w:line="480" w:lineRule="auto"/>
        <w:jc w:val="both"/>
        <w:rPr>
          <w:rFonts w:cs="Times New Roman"/>
          <w:b/>
          <w:sz w:val="24"/>
          <w:szCs w:val="24"/>
        </w:rPr>
      </w:pPr>
    </w:p>
    <w:p w:rsidR="00902C46" w:rsidRDefault="00902C46" w:rsidP="00AE640B">
      <w:pPr>
        <w:spacing w:line="480" w:lineRule="auto"/>
        <w:jc w:val="both"/>
        <w:rPr>
          <w:rFonts w:cs="Times New Roman"/>
          <w:b/>
          <w:sz w:val="24"/>
          <w:szCs w:val="24"/>
        </w:rPr>
      </w:pPr>
    </w:p>
    <w:p w:rsidR="00902C46" w:rsidRDefault="00902C46" w:rsidP="00AE640B">
      <w:pPr>
        <w:spacing w:line="480" w:lineRule="auto"/>
        <w:jc w:val="both"/>
        <w:rPr>
          <w:rFonts w:cs="Times New Roman"/>
          <w:b/>
          <w:sz w:val="24"/>
          <w:szCs w:val="24"/>
        </w:rPr>
      </w:pPr>
    </w:p>
    <w:p w:rsidR="00902C46" w:rsidRDefault="00902C46" w:rsidP="00AE640B">
      <w:pPr>
        <w:spacing w:line="480" w:lineRule="auto"/>
        <w:jc w:val="both"/>
        <w:rPr>
          <w:rFonts w:cs="Times New Roman"/>
          <w:b/>
          <w:sz w:val="24"/>
          <w:szCs w:val="24"/>
        </w:rPr>
      </w:pPr>
    </w:p>
    <w:p w:rsidR="00902C46" w:rsidRDefault="00902C46" w:rsidP="00AE640B">
      <w:pPr>
        <w:spacing w:line="480" w:lineRule="auto"/>
        <w:jc w:val="both"/>
        <w:rPr>
          <w:rFonts w:cs="Times New Roman"/>
          <w:b/>
          <w:sz w:val="24"/>
          <w:szCs w:val="24"/>
        </w:rPr>
      </w:pPr>
    </w:p>
    <w:p w:rsidR="00322E9E" w:rsidRDefault="00322E9E" w:rsidP="00322E9E">
      <w:pPr>
        <w:spacing w:line="480" w:lineRule="auto"/>
        <w:rPr>
          <w:rFonts w:cs="Times New Roman"/>
          <w:b/>
          <w:sz w:val="72"/>
          <w:szCs w:val="72"/>
        </w:rPr>
      </w:pPr>
    </w:p>
    <w:p w:rsidR="00902C46" w:rsidRDefault="00902C46" w:rsidP="00B85BBB">
      <w:pPr>
        <w:spacing w:line="480" w:lineRule="auto"/>
        <w:jc w:val="center"/>
        <w:rPr>
          <w:rFonts w:cs="Times New Roman"/>
          <w:b/>
          <w:sz w:val="72"/>
          <w:szCs w:val="72"/>
        </w:rPr>
      </w:pPr>
    </w:p>
    <w:p w:rsidR="00FB1389" w:rsidRPr="00B85BBB" w:rsidRDefault="00FB1389" w:rsidP="00B85BBB">
      <w:pPr>
        <w:spacing w:line="480" w:lineRule="auto"/>
        <w:jc w:val="center"/>
        <w:rPr>
          <w:rFonts w:cs="Times New Roman"/>
          <w:b/>
          <w:sz w:val="72"/>
          <w:szCs w:val="72"/>
        </w:rPr>
      </w:pPr>
      <w:r w:rsidRPr="00B85BBB">
        <w:rPr>
          <w:rFonts w:cs="Times New Roman"/>
          <w:b/>
          <w:sz w:val="72"/>
          <w:szCs w:val="72"/>
        </w:rPr>
        <w:t>CHAPTER 3</w:t>
      </w:r>
    </w:p>
    <w:p w:rsidR="00FB1389" w:rsidRPr="00B85BBB" w:rsidRDefault="00FB1389" w:rsidP="00B85BBB">
      <w:pPr>
        <w:spacing w:line="480" w:lineRule="auto"/>
        <w:jc w:val="center"/>
        <w:rPr>
          <w:rFonts w:cs="Times New Roman"/>
          <w:b/>
          <w:bCs/>
          <w:iCs/>
          <w:sz w:val="40"/>
          <w:szCs w:val="40"/>
        </w:rPr>
      </w:pPr>
      <w:r w:rsidRPr="00B85BBB">
        <w:rPr>
          <w:rFonts w:cs="Times New Roman"/>
          <w:b/>
          <w:bCs/>
          <w:iCs/>
          <w:sz w:val="40"/>
          <w:szCs w:val="40"/>
        </w:rPr>
        <w:t>Is it possible to prime interpersonal emotion regulation? Using the Scrambled Sentence Task to instigate Automatic Interpersonal Emotion Regulation</w:t>
      </w: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jc w:val="both"/>
        <w:rPr>
          <w:sz w:val="24"/>
          <w:szCs w:val="24"/>
        </w:rPr>
      </w:pPr>
    </w:p>
    <w:p w:rsidR="00FB1389" w:rsidRPr="00D05EBD" w:rsidRDefault="00FB1389" w:rsidP="00AE640B">
      <w:pPr>
        <w:spacing w:after="0" w:line="480" w:lineRule="auto"/>
        <w:jc w:val="both"/>
        <w:rPr>
          <w:sz w:val="24"/>
          <w:szCs w:val="24"/>
        </w:rPr>
      </w:pPr>
    </w:p>
    <w:p w:rsidR="00B85BBB" w:rsidRDefault="00B85BBB" w:rsidP="00AE640B">
      <w:pPr>
        <w:spacing w:line="480" w:lineRule="auto"/>
        <w:jc w:val="both"/>
        <w:rPr>
          <w:sz w:val="24"/>
          <w:szCs w:val="24"/>
        </w:rPr>
      </w:pPr>
    </w:p>
    <w:p w:rsidR="00EE2232" w:rsidRPr="00D05EBD" w:rsidRDefault="00EE2232" w:rsidP="00AE640B">
      <w:pPr>
        <w:spacing w:line="480" w:lineRule="auto"/>
        <w:jc w:val="both"/>
        <w:rPr>
          <w:rFonts w:cs="Times New Roman"/>
          <w:b/>
          <w:bCs/>
          <w:iCs/>
          <w:sz w:val="24"/>
          <w:szCs w:val="24"/>
        </w:rPr>
      </w:pPr>
    </w:p>
    <w:p w:rsidR="00FB1389" w:rsidRPr="00D05EBD" w:rsidRDefault="00FB1389" w:rsidP="00AE640B">
      <w:pPr>
        <w:spacing w:line="480" w:lineRule="auto"/>
        <w:jc w:val="both"/>
        <w:rPr>
          <w:rFonts w:cs="Times New Roman"/>
          <w:bCs/>
          <w:iCs/>
          <w:sz w:val="24"/>
          <w:szCs w:val="24"/>
        </w:rPr>
      </w:pPr>
      <w:r w:rsidRPr="00D05EBD">
        <w:rPr>
          <w:rFonts w:cs="Times New Roman"/>
          <w:bCs/>
          <w:iCs/>
          <w:sz w:val="24"/>
          <w:szCs w:val="24"/>
        </w:rPr>
        <w:lastRenderedPageBreak/>
        <w:tab/>
        <w:t>Chapter 2 provided initial empirical evidence of automatic interpersonal emotion regulation (AIER) as reported by participants. Specifically, through a self-report scale measuring automatic use of IER strategies (i.e.</w:t>
      </w:r>
      <w:r w:rsidR="000845F4">
        <w:rPr>
          <w:rFonts w:cs="Times New Roman"/>
          <w:bCs/>
          <w:iCs/>
          <w:sz w:val="24"/>
          <w:szCs w:val="24"/>
        </w:rPr>
        <w:t>,</w:t>
      </w:r>
      <w:r w:rsidRPr="00D05EBD">
        <w:rPr>
          <w:rFonts w:cs="Times New Roman"/>
          <w:bCs/>
          <w:iCs/>
          <w:sz w:val="24"/>
          <w:szCs w:val="24"/>
        </w:rPr>
        <w:t xml:space="preserve"> the Self-Report Behavioural Automaticity Index or</w:t>
      </w:r>
      <w:r w:rsidRPr="00D05EBD">
        <w:rPr>
          <w:color w:val="333333"/>
          <w:sz w:val="24"/>
          <w:szCs w:val="24"/>
          <w:shd w:val="clear" w:color="auto" w:fill="FFFFFF"/>
        </w:rPr>
        <w:t xml:space="preserve"> </w:t>
      </w:r>
      <w:r w:rsidRPr="00D05EBD">
        <w:rPr>
          <w:rFonts w:cs="Times New Roman"/>
          <w:bCs/>
          <w:iCs/>
          <w:sz w:val="24"/>
          <w:szCs w:val="24"/>
        </w:rPr>
        <w:t>SRBAI), it was found that participants used more AIER with a close other but only to improve the other's emotions.</w:t>
      </w:r>
      <w:r w:rsidR="000845F4">
        <w:rPr>
          <w:rFonts w:cs="Times New Roman"/>
          <w:bCs/>
          <w:iCs/>
          <w:sz w:val="24"/>
          <w:szCs w:val="24"/>
        </w:rPr>
        <w:t xml:space="preserve"> Although these results suggest</w:t>
      </w:r>
      <w:r w:rsidRPr="00D05EBD">
        <w:rPr>
          <w:rFonts w:cs="Times New Roman"/>
          <w:bCs/>
          <w:iCs/>
          <w:sz w:val="24"/>
          <w:szCs w:val="24"/>
        </w:rPr>
        <w:t xml:space="preserve"> participants engage</w:t>
      </w:r>
      <w:r w:rsidR="000845F4">
        <w:rPr>
          <w:rFonts w:cs="Times New Roman"/>
          <w:bCs/>
          <w:iCs/>
          <w:sz w:val="24"/>
          <w:szCs w:val="24"/>
        </w:rPr>
        <w:t>d</w:t>
      </w:r>
      <w:r w:rsidRPr="00D05EBD">
        <w:rPr>
          <w:rFonts w:cs="Times New Roman"/>
          <w:bCs/>
          <w:iCs/>
          <w:sz w:val="24"/>
          <w:szCs w:val="24"/>
        </w:rPr>
        <w:t xml:space="preserve"> in AIER, the self-report nature of the instrument used to measure AIER posits two main limitations (see section 2.5 of Chapter 2 for a full discussion of the limitations). First, de</w:t>
      </w:r>
      <w:r w:rsidR="000845F4">
        <w:rPr>
          <w:rFonts w:cs="Times New Roman"/>
          <w:bCs/>
          <w:iCs/>
          <w:sz w:val="24"/>
          <w:szCs w:val="24"/>
        </w:rPr>
        <w:t>spite the fact that there exist</w:t>
      </w:r>
      <w:r w:rsidRPr="00D05EBD">
        <w:rPr>
          <w:rFonts w:cs="Times New Roman"/>
          <w:bCs/>
          <w:iCs/>
          <w:sz w:val="24"/>
          <w:szCs w:val="24"/>
        </w:rPr>
        <w:t xml:space="preserve"> evidence that indicates that people are able to report on automatic behaviours via self-report questionnaires (</w:t>
      </w:r>
      <w:r w:rsidR="000845F4">
        <w:rPr>
          <w:rFonts w:cs="Times New Roman"/>
          <w:bCs/>
          <w:iCs/>
          <w:sz w:val="24"/>
          <w:szCs w:val="24"/>
        </w:rPr>
        <w:t xml:space="preserve">e.g., </w:t>
      </w:r>
      <w:r w:rsidR="00B06E70">
        <w:rPr>
          <w:rFonts w:cs="Times New Roman"/>
          <w:bCs/>
          <w:iCs/>
          <w:sz w:val="24"/>
          <w:szCs w:val="24"/>
        </w:rPr>
        <w:fldChar w:fldCharType="begin" w:fldLock="1"/>
      </w:r>
      <w:r w:rsidR="00BE37EC">
        <w:rPr>
          <w:rFonts w:cs="Times New Roman"/>
          <w:bCs/>
          <w:iCs/>
          <w:sz w:val="24"/>
          <w:szCs w:val="24"/>
        </w:rPr>
        <w:instrText>ADDIN CSL_CITATION { "citationItems" : [ { "id" : "ITEM-1", "itemData" : { "DOI" : "10.1037/a0035028", "ISBN" : "1939-2222(Electronic);0096-3445(Print)", "ISSN" : "1939-2222", "PMID" : "24294868", "abstract" : "Research on implicit attitudes has raised questions about how well people know their own attitudes. Most research on this question has focused on the correspondence between measures of implicit attitudes and measures of explicit attitudes, with low correspondence interpreted as showing that people have little awareness of their implicit attitudes. We took a different approach and directly asked participants to predict their results on upcoming Implicit Association Test (IAT) measures of implicit attitudes toward 5 social groups. We found that participants were surprisingly accurate in their predictions. Across 4 studies, predictions were accurate regardless of whether implicit attitudes were described as true attitudes or culturally learned associations (Studies 1 and 2), regardless of whether predictions were made as specific response patterns (Study 1) or as conceptual responses (Studies 2-4), and regardless of how much experience or explanation participants received before making their predictions (Study 4). Study 3 further suggested that participants' predictions reflected unique insight into their own implicit responses, beyond intuitions about how people in general might respond. Prediction accuracy occurred despite generally low correspondence between implicit and explicit measures of attitudes, as found in prior research. Altogether, the research findings cast doubt on the belief that attitudes or evaluations measured by the IAT necessarily reflect unconscious attitudes.", "author" : [ { "dropping-particle" : "", "family" : "Hahn", "given" : "Adam", "non-dropping-particle" : "", "parse-names" : false, "suffix" : "" }, { "dropping-particle" : "", "family" : "Judd", "given" : "Charles M", "non-dropping-particle" : "", "parse-names" : false, "suffix" : "" }, { "dropping-particle" : "", "family" : "Hirsh", "given" : "Holen K", "non-dropping-particle" : "", "parse-names" : false, "suffix" : "" }, { "dropping-particle" : "V", "family" : "Blair", "given" : "Irene", "non-dropping-particle" : "", "parse-names" : false, "suffix" : "" } ], "container-title" : "Journal of experimental psychology. General", "id" : "ITEM-1", "issue" : "3", "issued" : { "date-parts" : [ [ "2014" ] ] }, "page" : "1369-92", "publisher" : "Quillian Wittenbrink &amp; Schwartz Gladwell The Oprah Winfrey Show", "title" : "Awareness of implicit attitudes.", "type" : "article-journal", "volume" : "143" }, "uris" : [ "http://www.mendeley.com/documents/?uuid=0ed34aa7-0bf8-3130-9ed1-58ca549e821a" ] } ], "mendeley" : { "formattedCitation" : "(Hahn et al., 2014)", "manualFormatting" : "Hahn et al., 2014)", "plainTextFormattedCitation" : "(Hahn et al., 2014)", "previouslyFormattedCitation" : "(Hahn et al., 2014)" }, "properties" : { "noteIndex" : 0 }, "schema" : "https://github.com/citation-style-language/schema/raw/master/csl-citation.json" }</w:instrText>
      </w:r>
      <w:r w:rsidR="00B06E70">
        <w:rPr>
          <w:rFonts w:cs="Times New Roman"/>
          <w:bCs/>
          <w:iCs/>
          <w:sz w:val="24"/>
          <w:szCs w:val="24"/>
        </w:rPr>
        <w:fldChar w:fldCharType="separate"/>
      </w:r>
      <w:r w:rsidR="00BE37EC" w:rsidRPr="00BE37EC">
        <w:rPr>
          <w:rFonts w:cs="Times New Roman"/>
          <w:bCs/>
          <w:iCs/>
          <w:noProof/>
          <w:sz w:val="24"/>
          <w:szCs w:val="24"/>
        </w:rPr>
        <w:t>Hahn et al., 2014)</w:t>
      </w:r>
      <w:r w:rsidR="00B06E70">
        <w:rPr>
          <w:rFonts w:cs="Times New Roman"/>
          <w:bCs/>
          <w:iCs/>
          <w:sz w:val="24"/>
          <w:szCs w:val="24"/>
        </w:rPr>
        <w:fldChar w:fldCharType="end"/>
      </w:r>
      <w:r w:rsidRPr="00D05EBD">
        <w:rPr>
          <w:rFonts w:cs="Times New Roman"/>
          <w:bCs/>
          <w:iCs/>
          <w:sz w:val="24"/>
          <w:szCs w:val="24"/>
        </w:rPr>
        <w:t>,</w:t>
      </w:r>
      <w:r w:rsidR="000845F4">
        <w:rPr>
          <w:rFonts w:cs="Times New Roman"/>
          <w:bCs/>
          <w:iCs/>
          <w:sz w:val="24"/>
          <w:szCs w:val="24"/>
        </w:rPr>
        <w:t xml:space="preserve"> and even on AER (e.g., </w:t>
      </w:r>
      <w:r w:rsidR="00B06E70">
        <w:rPr>
          <w:rFonts w:cs="Times New Roman"/>
          <w:bCs/>
          <w:iCs/>
          <w:sz w:val="24"/>
          <w:szCs w:val="24"/>
        </w:rPr>
        <w:fldChar w:fldCharType="begin" w:fldLock="1"/>
      </w:r>
      <w:r w:rsidR="00BE37EC">
        <w:rPr>
          <w:rFonts w:cs="Times New Roman"/>
          <w:bCs/>
          <w:iCs/>
          <w:sz w:val="24"/>
          <w:szCs w:val="24"/>
        </w:rPr>
        <w:instrText>ADDIN CSL_CITATION { "citationItems" : [ { "id" : "ITEM-1", "itemData" : { "DOI" : "10.1007/s10608-013-9559-7", "ISBN" : "1573-2819(Electronic);0147-5916(Print)", "ISSN" : "01475916", "abstract" : "Although mood regulation often occurs through automatic processes, there are likely individual differences in whether people believe that their mood can be regulated without effortful control. Believing in automatic mood regulation is hypothesized to be adaptive as it could lead one to conserve cognitive resources, making emotions less disruptive and threatening. A self-report scale measuring beliefs about automatic mood regulation was piloted among undergraduates, and further validated in another undergraduate and community sample. The final measure showed strong internal consistency, test\u2013retest reliability, discriminant validity, and construct validity. After controlling for overlapping variance with confidence in effortful mood regulation, belief in automatic mood regulation was associated with lower depression and less action-oriented coping and emotional awareness. Thus, the scale appears to capture a non-effortful approach to emotion regulation that is associated with lower depression symptoms. [ABSTRACT FROM AUTHOR]", "author" : [ { "dropping-particle" : "", "family" : "Hutchison", "given" : "Jesse A.", "non-dropping-particle" : "", "parse-names" : false, "suffix" : "" }, { "dropping-particle" : "", "family" : "Gunthert", "given" : "Kathleen C.", "non-dropping-particle" : "", "parse-names" : false, "suffix" : "" } ], "container-title" : "Cognitive Therapy and Research", "id" : "ITEM-1", "issued" : { "date-parts" : [ [ "2013" ] ] }, "title" : "Measuring beliefs about automatic mood regulation: Development of a self-report scale", "type" : "article-journal" }, "uris" : [ "http://www.mendeley.com/documents/?uuid=400c3091-6716-3aaf-8971-5d4e56dd4ce5" ] } ], "mendeley" : { "formattedCitation" : "(Hutchison &amp; Gunthert, 2013)", "manualFormatting" : "Hutchison &amp; Gunthert, 2013)", "plainTextFormattedCitation" : "(Hutchison &amp; Gunthert, 2013)", "previouslyFormattedCitation" : "(Hutchison &amp; Gunthert, 2013)" }, "properties" : { "noteIndex" : 0 }, "schema" : "https://github.com/citation-style-language/schema/raw/master/csl-citation.json" }</w:instrText>
      </w:r>
      <w:r w:rsidR="00B06E70">
        <w:rPr>
          <w:rFonts w:cs="Times New Roman"/>
          <w:bCs/>
          <w:iCs/>
          <w:sz w:val="24"/>
          <w:szCs w:val="24"/>
        </w:rPr>
        <w:fldChar w:fldCharType="separate"/>
      </w:r>
      <w:r w:rsidR="00BE37EC" w:rsidRPr="00BE37EC">
        <w:rPr>
          <w:rFonts w:cs="Times New Roman"/>
          <w:bCs/>
          <w:iCs/>
          <w:noProof/>
          <w:sz w:val="24"/>
          <w:szCs w:val="24"/>
        </w:rPr>
        <w:t>Hutchison &amp; Gunthert, 2013)</w:t>
      </w:r>
      <w:r w:rsidR="00B06E70">
        <w:rPr>
          <w:rFonts w:cs="Times New Roman"/>
          <w:bCs/>
          <w:iCs/>
          <w:sz w:val="24"/>
          <w:szCs w:val="24"/>
        </w:rPr>
        <w:fldChar w:fldCharType="end"/>
      </w:r>
      <w:r w:rsidRPr="00D05EBD">
        <w:rPr>
          <w:rFonts w:cs="Times New Roman"/>
          <w:bCs/>
          <w:iCs/>
          <w:sz w:val="24"/>
          <w:szCs w:val="24"/>
        </w:rPr>
        <w:t xml:space="preserve"> self-report instruments, by definition, require the participant's awareness on what is being measured. Thus, reporting on an automatic process (characterised by the person’s unawareness of its occurrence) could be argued to be not really automatic, as the person would have to reflect on its use. Second, self-report instruments, in this case the SRBAI, could not measure AIER occurring in real time, but rather measure the extent to which IER strategies were generally used in an automatic way in participant’s daily lives. Chapter 3 will tackle these two main limitations by approaching the study of AIER in an unobtrusive way so participants are not aware of what is being measured, thus preventing any observation of AIER having occurred under the participant’s awareness. Furthermore, the present research aims at observing AIER in real time by presenting participants with a situation where they will have the opportunity to regulate the emotions of someone else. Finally, in the present chapter the use of AIER aimed at worsening the emotions of someone else, will be investigated. In Study 1 participants reports on their daily use of </w:t>
      </w:r>
      <w:r w:rsidR="00885378">
        <w:rPr>
          <w:rFonts w:cs="Times New Roman"/>
          <w:bCs/>
          <w:iCs/>
          <w:sz w:val="24"/>
          <w:szCs w:val="24"/>
        </w:rPr>
        <w:t xml:space="preserve">AIER </w:t>
      </w:r>
      <w:r w:rsidR="008E633E">
        <w:rPr>
          <w:rFonts w:cs="Times New Roman"/>
          <w:bCs/>
          <w:iCs/>
          <w:sz w:val="24"/>
          <w:szCs w:val="24"/>
        </w:rPr>
        <w:t>strategies</w:t>
      </w:r>
      <w:r w:rsidRPr="00D05EBD">
        <w:rPr>
          <w:rFonts w:cs="Times New Roman"/>
          <w:bCs/>
          <w:iCs/>
          <w:sz w:val="24"/>
          <w:szCs w:val="24"/>
        </w:rPr>
        <w:t xml:space="preserve"> aimed at worsening the emotions of </w:t>
      </w:r>
      <w:r w:rsidRPr="00D05EBD">
        <w:rPr>
          <w:rFonts w:cs="Times New Roman"/>
          <w:bCs/>
          <w:iCs/>
          <w:sz w:val="24"/>
          <w:szCs w:val="24"/>
        </w:rPr>
        <w:lastRenderedPageBreak/>
        <w:t xml:space="preserve">someone else may have been affected by social desirability (the tendency people have to give desirable answers in order to present a more acceptable self-image of themselves, </w:t>
      </w:r>
      <w:r w:rsidR="00B06E70">
        <w:rPr>
          <w:rFonts w:cs="Times New Roman"/>
          <w:bCs/>
          <w:iCs/>
          <w:sz w:val="24"/>
          <w:szCs w:val="24"/>
        </w:rPr>
        <w:fldChar w:fldCharType="begin" w:fldLock="1"/>
      </w:r>
      <w:r w:rsidR="007F6ADA">
        <w:rPr>
          <w:rFonts w:cs="Times New Roman"/>
          <w:bCs/>
          <w:iCs/>
          <w:sz w:val="24"/>
          <w:szCs w:val="24"/>
        </w:rPr>
        <w:instrText>ADDIN CSL_CITATION { "citationItems" : [ { "id" : "ITEM-1", "itemData" : { "DOI" : "10.5964/ejop.v3i4.417", "ISSN" : "1841-0413", "abstract" : "Topic: The objective of this work is to devise a brief, practical, reliable and valid social desirability instrument for use in contexts where a short scale is useful for example in the assessment of social desirability factor in psychiatric patients. Hypothesis: Social Desirability factor which is the tendency to respond in a socially desirable manner to attitudinal questionnaires affects the validity of attitudinal questionnaires. Method &amp;amp; Participants: A five-item social desirability factor was devised using themes from a written record of patients\u2019 conversation and cross-validated on 61 subjects. Reliability was computed using Cronbach Alpha method. The result is a brief reliable and valid 4-item social desirability scale. Conclusion &amp;amp; Significance: The Brief Social Desirability Scale (BSDS) has the advantages of brevity and practicality. It can be used before administering attitudinal surveys in order to factor in the effect of the social desirability on attitudinal questionnaires. BSDS is preferred in many test situations where the administration time is limited or subjects are unable to bear lengthy questionnaires and the related drop in reliability due to brevity of the scale remains tolerable.", "author" : [ { "dropping-particle" : "", "family" : "Haghighat", "given" : "Rahman", "non-dropping-particle" : "", "parse-names" : false, "suffix" : "" } ], "container-title" : "Europe\u2019s Journal of Psychology", "id" : "ITEM-1", "issue" : "4", "issued" : { "date-parts" : [ [ "2007", "11", "30" ] ] }, "title" : "The Development of the Brief Social Desirability Scale (BSDS)", "type" : "article-journal", "volume" : "3" }, "uris" : [ "http://www.mendeley.com/documents/?uuid=5f4960e9-614e-340a-a633-7e58c2747958" ] } ], "mendeley" : { "formattedCitation" : "(Haghighat, 2007)", "plainTextFormattedCitation" : "(Haghighat, 2007)", "previouslyFormattedCitation" : "(Haghighat, 2007)" }, "properties" : { "noteIndex" : 0 }, "schema" : "https://github.com/citation-style-language/schema/raw/master/csl-citation.json" }</w:instrText>
      </w:r>
      <w:r w:rsidR="00B06E70">
        <w:rPr>
          <w:rFonts w:cs="Times New Roman"/>
          <w:bCs/>
          <w:iCs/>
          <w:sz w:val="24"/>
          <w:szCs w:val="24"/>
        </w:rPr>
        <w:fldChar w:fldCharType="separate"/>
      </w:r>
      <w:r w:rsidR="007F6ADA" w:rsidRPr="007F6ADA">
        <w:rPr>
          <w:rFonts w:cs="Times New Roman"/>
          <w:bCs/>
          <w:iCs/>
          <w:noProof/>
          <w:sz w:val="24"/>
          <w:szCs w:val="24"/>
        </w:rPr>
        <w:t>(Haghighat, 2007)</w:t>
      </w:r>
      <w:r w:rsidR="00B06E70">
        <w:rPr>
          <w:rFonts w:cs="Times New Roman"/>
          <w:bCs/>
          <w:iCs/>
          <w:sz w:val="24"/>
          <w:szCs w:val="24"/>
        </w:rPr>
        <w:fldChar w:fldCharType="end"/>
      </w:r>
      <w:r w:rsidRPr="00D05EBD">
        <w:rPr>
          <w:rFonts w:cs="Times New Roman"/>
          <w:bCs/>
          <w:iCs/>
          <w:sz w:val="24"/>
          <w:szCs w:val="24"/>
        </w:rPr>
        <w:t xml:space="preserve">, as people probably would not like to show themselves behaving badly towards someone else. In the present chapter, it is proposed that, by unobtrusively instigating IER aimed at worsening the emotions of someone else, any alleged effects of social desirability would disappear and it would be possible to observe a stronger use of IER aimed at worsening the emotions of someone else than </w:t>
      </w:r>
      <w:r w:rsidR="00885378">
        <w:rPr>
          <w:rFonts w:cs="Times New Roman"/>
          <w:bCs/>
          <w:iCs/>
          <w:sz w:val="24"/>
          <w:szCs w:val="24"/>
        </w:rPr>
        <w:t>that</w:t>
      </w:r>
      <w:r w:rsidRPr="00D05EBD">
        <w:rPr>
          <w:rFonts w:cs="Times New Roman"/>
          <w:bCs/>
          <w:iCs/>
          <w:sz w:val="24"/>
          <w:szCs w:val="24"/>
        </w:rPr>
        <w:t xml:space="preserve"> reported by participants on Study 1.  </w:t>
      </w:r>
    </w:p>
    <w:p w:rsidR="00FB1389" w:rsidRPr="00D05EBD" w:rsidRDefault="00FB1389" w:rsidP="00AE640B">
      <w:pPr>
        <w:spacing w:line="480" w:lineRule="auto"/>
        <w:jc w:val="both"/>
        <w:rPr>
          <w:rFonts w:cs="Times New Roman"/>
          <w:b/>
          <w:bCs/>
          <w:iCs/>
          <w:sz w:val="24"/>
          <w:szCs w:val="24"/>
        </w:rPr>
      </w:pPr>
      <w:r w:rsidRPr="00D05EBD">
        <w:rPr>
          <w:rFonts w:cs="Times New Roman"/>
          <w:b/>
          <w:bCs/>
          <w:iCs/>
          <w:sz w:val="24"/>
          <w:szCs w:val="24"/>
        </w:rPr>
        <w:t>3.1 Introduction</w:t>
      </w:r>
    </w:p>
    <w:p w:rsidR="00FB1389" w:rsidRPr="002A2BE4" w:rsidRDefault="00056666" w:rsidP="002A2BE4">
      <w:pPr>
        <w:spacing w:line="480" w:lineRule="auto"/>
        <w:ind w:firstLine="720"/>
        <w:jc w:val="both"/>
        <w:rPr>
          <w:sz w:val="24"/>
          <w:szCs w:val="24"/>
        </w:rPr>
      </w:pPr>
      <w:r>
        <w:rPr>
          <w:sz w:val="24"/>
          <w:szCs w:val="24"/>
        </w:rPr>
        <w:t>As mentioned in Chapter 1, people often regulate the emotions of others (use IER strategies), for example, a boss may tell her employees they are doing a really good job to enhance the employees feelings</w:t>
      </w:r>
      <w:r w:rsidRPr="00056666">
        <w:rPr>
          <w:sz w:val="24"/>
          <w:szCs w:val="24"/>
        </w:rPr>
        <w:t xml:space="preserve">. But </w:t>
      </w:r>
      <w:r>
        <w:rPr>
          <w:sz w:val="24"/>
          <w:szCs w:val="24"/>
        </w:rPr>
        <w:t>there are times when</w:t>
      </w:r>
      <w:r w:rsidRPr="00056666">
        <w:rPr>
          <w:sz w:val="24"/>
          <w:szCs w:val="24"/>
        </w:rPr>
        <w:t xml:space="preserve"> something in the environment </w:t>
      </w:r>
      <w:r>
        <w:rPr>
          <w:sz w:val="24"/>
          <w:szCs w:val="24"/>
        </w:rPr>
        <w:t>activates people’s use of IER. For example, a person driving back home</w:t>
      </w:r>
      <w:r w:rsidRPr="00056666">
        <w:rPr>
          <w:sz w:val="24"/>
          <w:szCs w:val="24"/>
        </w:rPr>
        <w:t xml:space="preserve"> might hear </w:t>
      </w:r>
      <w:r w:rsidR="00D104EE">
        <w:rPr>
          <w:sz w:val="24"/>
          <w:szCs w:val="24"/>
        </w:rPr>
        <w:t xml:space="preserve">on the radio information </w:t>
      </w:r>
      <w:r w:rsidRPr="00056666">
        <w:rPr>
          <w:sz w:val="24"/>
          <w:szCs w:val="24"/>
        </w:rPr>
        <w:t xml:space="preserve">about </w:t>
      </w:r>
      <w:r w:rsidR="00D104EE">
        <w:rPr>
          <w:sz w:val="24"/>
          <w:szCs w:val="24"/>
        </w:rPr>
        <w:t>Valentine’s day. W</w:t>
      </w:r>
      <w:r w:rsidRPr="00056666">
        <w:rPr>
          <w:sz w:val="24"/>
          <w:szCs w:val="24"/>
        </w:rPr>
        <w:t>ithout noticing</w:t>
      </w:r>
      <w:r w:rsidR="00D104EE">
        <w:rPr>
          <w:sz w:val="24"/>
          <w:szCs w:val="24"/>
        </w:rPr>
        <w:t>,</w:t>
      </w:r>
      <w:r w:rsidRPr="00056666">
        <w:rPr>
          <w:sz w:val="24"/>
          <w:szCs w:val="24"/>
        </w:rPr>
        <w:t xml:space="preserve"> that might activate </w:t>
      </w:r>
      <w:r>
        <w:rPr>
          <w:sz w:val="24"/>
          <w:szCs w:val="24"/>
        </w:rPr>
        <w:t xml:space="preserve">the goal to be nice to his or her </w:t>
      </w:r>
      <w:r w:rsidR="00D104EE">
        <w:rPr>
          <w:sz w:val="24"/>
          <w:szCs w:val="24"/>
        </w:rPr>
        <w:t xml:space="preserve">romantic </w:t>
      </w:r>
      <w:r>
        <w:rPr>
          <w:sz w:val="24"/>
          <w:szCs w:val="24"/>
        </w:rPr>
        <w:t>partner, and then, when getting home</w:t>
      </w:r>
      <w:r w:rsidR="00902C46">
        <w:rPr>
          <w:sz w:val="24"/>
          <w:szCs w:val="24"/>
        </w:rPr>
        <w:t xml:space="preserve"> and encountering his or her partner,</w:t>
      </w:r>
      <w:r>
        <w:rPr>
          <w:sz w:val="24"/>
          <w:szCs w:val="24"/>
        </w:rPr>
        <w:t xml:space="preserve"> this </w:t>
      </w:r>
      <w:r w:rsidRPr="00056666">
        <w:rPr>
          <w:sz w:val="24"/>
          <w:szCs w:val="24"/>
        </w:rPr>
        <w:t xml:space="preserve">person </w:t>
      </w:r>
      <w:r>
        <w:rPr>
          <w:sz w:val="24"/>
          <w:szCs w:val="24"/>
        </w:rPr>
        <w:t xml:space="preserve">might start complimenting his or </w:t>
      </w:r>
      <w:r w:rsidRPr="00056666">
        <w:rPr>
          <w:sz w:val="24"/>
          <w:szCs w:val="24"/>
        </w:rPr>
        <w:t xml:space="preserve">her partner to make him </w:t>
      </w:r>
      <w:r>
        <w:rPr>
          <w:sz w:val="24"/>
          <w:szCs w:val="24"/>
        </w:rPr>
        <w:t xml:space="preserve">or her </w:t>
      </w:r>
      <w:r w:rsidR="00D104EE">
        <w:rPr>
          <w:sz w:val="24"/>
          <w:szCs w:val="24"/>
        </w:rPr>
        <w:t>feel better. The</w:t>
      </w:r>
      <w:r w:rsidRPr="00056666">
        <w:rPr>
          <w:sz w:val="24"/>
          <w:szCs w:val="24"/>
        </w:rPr>
        <w:t>s</w:t>
      </w:r>
      <w:r w:rsidR="00D104EE">
        <w:rPr>
          <w:sz w:val="24"/>
          <w:szCs w:val="24"/>
        </w:rPr>
        <w:t>e</w:t>
      </w:r>
      <w:r w:rsidRPr="00056666">
        <w:rPr>
          <w:sz w:val="24"/>
          <w:szCs w:val="24"/>
        </w:rPr>
        <w:t xml:space="preserve"> environmental cues could </w:t>
      </w:r>
      <w:r w:rsidR="00D104EE">
        <w:rPr>
          <w:sz w:val="24"/>
          <w:szCs w:val="24"/>
        </w:rPr>
        <w:t>be priming</w:t>
      </w:r>
      <w:r w:rsidRPr="00056666">
        <w:rPr>
          <w:sz w:val="24"/>
          <w:szCs w:val="24"/>
        </w:rPr>
        <w:t xml:space="preserve"> the person to behave or think in a certain way. In the present </w:t>
      </w:r>
      <w:r w:rsidR="00D104EE">
        <w:rPr>
          <w:sz w:val="24"/>
          <w:szCs w:val="24"/>
        </w:rPr>
        <w:t>chapter</w:t>
      </w:r>
      <w:r w:rsidRPr="00056666">
        <w:rPr>
          <w:sz w:val="24"/>
          <w:szCs w:val="24"/>
        </w:rPr>
        <w:t xml:space="preserve">, it is suggested that </w:t>
      </w:r>
      <w:r w:rsidR="00D104EE">
        <w:rPr>
          <w:sz w:val="24"/>
          <w:szCs w:val="24"/>
        </w:rPr>
        <w:t>environmental cues</w:t>
      </w:r>
      <w:r w:rsidR="002A2BE4">
        <w:rPr>
          <w:sz w:val="24"/>
          <w:szCs w:val="24"/>
        </w:rPr>
        <w:t>,</w:t>
      </w:r>
      <w:r w:rsidR="00D104EE">
        <w:rPr>
          <w:sz w:val="24"/>
          <w:szCs w:val="24"/>
        </w:rPr>
        <w:t xml:space="preserve"> </w:t>
      </w:r>
      <w:r w:rsidR="002A2BE4">
        <w:rPr>
          <w:sz w:val="24"/>
          <w:szCs w:val="24"/>
        </w:rPr>
        <w:t>or primes,</w:t>
      </w:r>
      <w:r w:rsidR="00D104EE">
        <w:rPr>
          <w:sz w:val="24"/>
          <w:szCs w:val="24"/>
        </w:rPr>
        <w:t xml:space="preserve"> could make participants use IER strategies without their awareness</w:t>
      </w:r>
      <w:r w:rsidRPr="00056666">
        <w:rPr>
          <w:sz w:val="24"/>
          <w:szCs w:val="24"/>
        </w:rPr>
        <w:t>.</w:t>
      </w:r>
      <w:r w:rsidR="00FB1389" w:rsidRPr="00D05EBD">
        <w:rPr>
          <w:sz w:val="24"/>
          <w:szCs w:val="24"/>
        </w:rPr>
        <w:t xml:space="preserve"> Thus, the present research will aim at instigating IER via behavioural</w:t>
      </w:r>
      <w:r w:rsidR="00DE789C">
        <w:rPr>
          <w:sz w:val="24"/>
          <w:szCs w:val="24"/>
        </w:rPr>
        <w:t xml:space="preserve"> priming</w:t>
      </w:r>
      <w:r w:rsidR="00FB1389" w:rsidRPr="00D05EBD">
        <w:rPr>
          <w:sz w:val="24"/>
          <w:szCs w:val="24"/>
        </w:rPr>
        <w:t>. Being able to activate IER unobtrusively (by the use of priming) could provide evidence of one of the possible factors (i.e</w:t>
      </w:r>
      <w:r w:rsidR="00DE789C">
        <w:rPr>
          <w:sz w:val="24"/>
          <w:szCs w:val="24"/>
        </w:rPr>
        <w:t>. environmental cues) that lead</w:t>
      </w:r>
      <w:r w:rsidR="00FB1389" w:rsidRPr="00D05EBD">
        <w:rPr>
          <w:sz w:val="24"/>
          <w:szCs w:val="24"/>
        </w:rPr>
        <w:t xml:space="preserve"> people to regulate </w:t>
      </w:r>
      <w:r w:rsidR="00FB1389" w:rsidRPr="00D05EBD">
        <w:rPr>
          <w:sz w:val="24"/>
          <w:szCs w:val="24"/>
        </w:rPr>
        <w:lastRenderedPageBreak/>
        <w:t>someone else’s emotions automatically, which could help to better understand IER and, more generally, social interactions.</w:t>
      </w:r>
    </w:p>
    <w:p w:rsidR="00FB1389" w:rsidRPr="00D05EBD" w:rsidRDefault="00FB1389" w:rsidP="00AE640B">
      <w:pPr>
        <w:spacing w:line="480" w:lineRule="auto"/>
        <w:jc w:val="both"/>
        <w:rPr>
          <w:rFonts w:cs="Times New Roman"/>
          <w:bCs/>
          <w:iCs/>
          <w:sz w:val="24"/>
          <w:szCs w:val="24"/>
        </w:rPr>
      </w:pPr>
      <w:r w:rsidRPr="00D05EBD">
        <w:rPr>
          <w:rFonts w:cs="Times New Roman"/>
          <w:bCs/>
          <w:iCs/>
          <w:sz w:val="24"/>
          <w:szCs w:val="24"/>
        </w:rPr>
        <w:tab/>
      </w:r>
      <w:r w:rsidRPr="00D05EBD">
        <w:rPr>
          <w:rFonts w:cs="Times New Roman"/>
          <w:bCs/>
          <w:iCs/>
          <w:sz w:val="24"/>
          <w:szCs w:val="24"/>
        </w:rPr>
        <w:tab/>
        <w:t>The current chapter introduces three empirical studies. The first one, Study 2a investigated whether it is possible to prime people to worsen the emotions of someone else and to observe the priming effects in written conversations that people had with a fictional person (i.e. scripts written by participants where they imagine interacting with a fictional character). Study 2a also looked into whether priming people to worsen the emotions of someone else made them more likely to choose a worsening IER goal before writing their scripts. Study 2b looked at whether it was possible to prime IER aimed at worsening the emotions of someone else without the participant choosing an explicit goal to interpersonally regulate someone else's emotions. Finally, Study 2c partly replicated Studies 2a and 2b in that participants were primed to worsen the emotions of someone else and either given an explicit IER goal to worsen or to improve the emotions of someone else. Moreover, following the findings of Study 1 where IER was reported as used more automatically with a close other, in Study 2c it was investigated whether it was possible to observe a priming effect when people imagined an interaction with someone familiar to them (i.e.</w:t>
      </w:r>
      <w:r w:rsidR="002A2BE4">
        <w:rPr>
          <w:rFonts w:cs="Times New Roman"/>
          <w:bCs/>
          <w:iCs/>
          <w:sz w:val="24"/>
          <w:szCs w:val="24"/>
        </w:rPr>
        <w:t>,</w:t>
      </w:r>
      <w:r w:rsidRPr="00D05EBD">
        <w:rPr>
          <w:rFonts w:cs="Times New Roman"/>
          <w:bCs/>
          <w:iCs/>
          <w:sz w:val="24"/>
          <w:szCs w:val="24"/>
        </w:rPr>
        <w:t xml:space="preserve"> a romantic ex-partner). </w:t>
      </w:r>
    </w:p>
    <w:p w:rsidR="00FB1389" w:rsidRPr="00D05EBD" w:rsidRDefault="00FB1389" w:rsidP="00AE640B">
      <w:pPr>
        <w:spacing w:line="480" w:lineRule="auto"/>
        <w:jc w:val="both"/>
        <w:rPr>
          <w:rFonts w:cs="Times New Roman"/>
          <w:bCs/>
          <w:iCs/>
          <w:sz w:val="24"/>
          <w:szCs w:val="24"/>
        </w:rPr>
      </w:pPr>
      <w:r w:rsidRPr="00D05EBD">
        <w:rPr>
          <w:rFonts w:cs="Times New Roman"/>
          <w:bCs/>
          <w:iCs/>
          <w:sz w:val="24"/>
          <w:szCs w:val="24"/>
        </w:rPr>
        <w:tab/>
        <w:t xml:space="preserve">The chapter will begin by introducing behavioural priming as a method to instigate IER. Examples of empirical studies that have used behavioural priming will be introduced. Next, the three empirical studies will be presented. Later, a general discussion of the use of priming to instigate IER, the role IER goals have in AIER, and the implications priming and goals may have in people’s daily use of AIER will be presented. Finally, an introduction of the next chapter is given. </w:t>
      </w:r>
    </w:p>
    <w:p w:rsidR="00FB1389" w:rsidRPr="00D05EBD" w:rsidRDefault="00A829B5" w:rsidP="00AE640B">
      <w:pPr>
        <w:spacing w:line="480" w:lineRule="auto"/>
        <w:jc w:val="both"/>
        <w:rPr>
          <w:rFonts w:cs="Times New Roman"/>
          <w:b/>
          <w:bCs/>
          <w:iCs/>
          <w:sz w:val="24"/>
          <w:szCs w:val="24"/>
        </w:rPr>
      </w:pPr>
      <w:r>
        <w:rPr>
          <w:rFonts w:cs="Times New Roman"/>
          <w:b/>
          <w:bCs/>
          <w:iCs/>
          <w:sz w:val="24"/>
          <w:szCs w:val="24"/>
        </w:rPr>
        <w:lastRenderedPageBreak/>
        <w:t>3.2</w:t>
      </w:r>
      <w:r w:rsidR="00FB1389" w:rsidRPr="00D05EBD">
        <w:rPr>
          <w:rFonts w:cs="Times New Roman"/>
          <w:b/>
          <w:bCs/>
          <w:iCs/>
          <w:sz w:val="24"/>
          <w:szCs w:val="24"/>
        </w:rPr>
        <w:t xml:space="preserve"> Priming </w:t>
      </w:r>
    </w:p>
    <w:p w:rsidR="00FB1389" w:rsidRDefault="00FB1389" w:rsidP="00AE640B">
      <w:pPr>
        <w:spacing w:line="480" w:lineRule="auto"/>
        <w:ind w:firstLine="709"/>
        <w:jc w:val="both"/>
        <w:rPr>
          <w:rFonts w:cs="Times New Roman"/>
          <w:bCs/>
          <w:iCs/>
          <w:sz w:val="24"/>
          <w:szCs w:val="24"/>
        </w:rPr>
      </w:pPr>
      <w:r w:rsidRPr="00D05EBD">
        <w:rPr>
          <w:sz w:val="24"/>
          <w:szCs w:val="24"/>
        </w:rPr>
        <w:t xml:space="preserve">Studying automatic emotion regulation (AER) has proved to be difficult as the features that define an automatic process </w:t>
      </w:r>
      <w:r w:rsidR="00DE789C">
        <w:rPr>
          <w:sz w:val="24"/>
          <w:szCs w:val="24"/>
        </w:rPr>
        <w:t xml:space="preserve">(e.g. lack of awareness, intention and effort) </w:t>
      </w:r>
      <w:r w:rsidRPr="00D05EBD">
        <w:rPr>
          <w:sz w:val="24"/>
          <w:szCs w:val="24"/>
        </w:rPr>
        <w:t>are not directly observable and consequently difficult to be empirically measured</w:t>
      </w:r>
      <w:r w:rsidRPr="00D05EBD">
        <w:rPr>
          <w:rFonts w:cs="Times New Roman"/>
          <w:bCs/>
          <w:iCs/>
          <w:sz w:val="24"/>
          <w:szCs w:val="24"/>
        </w:rPr>
        <w:t xml:space="preserve">. Despite this difficulty, there are techniques that can help researchers to explore automatic processes, one of them is the use of priming. </w:t>
      </w:r>
      <w:r w:rsidR="00D42B8F">
        <w:rPr>
          <w:rFonts w:cs="Times New Roman"/>
          <w:bCs/>
          <w:iCs/>
          <w:sz w:val="24"/>
          <w:szCs w:val="24"/>
        </w:rPr>
        <w:t xml:space="preserve">Priming is ‘the activation of various mental constructs unbeknownst to individuals via perception of external stimuli’ </w:t>
      </w:r>
      <w:r w:rsidR="00B06E70">
        <w:rPr>
          <w:rFonts w:cs="Times New Roman"/>
          <w:bCs/>
          <w:iCs/>
          <w:sz w:val="24"/>
          <w:szCs w:val="24"/>
        </w:rPr>
        <w:fldChar w:fldCharType="begin" w:fldLock="1"/>
      </w:r>
      <w:r w:rsidR="0062297D">
        <w:rPr>
          <w:rFonts w:cs="Times New Roman"/>
          <w:bCs/>
          <w:iCs/>
          <w:sz w:val="24"/>
          <w:szCs w:val="24"/>
        </w:rPr>
        <w:instrText>ADDIN CSL_CITATION { "citationItems" : [ { "id" : "ITEM-1", "itemData" : { "DOI" : "10.1037/bul0000030", "ISBN" : "1070551090", "ISSN" : "1939-1455", "PMID" : "25246403", "abstract" : "A meta-analysis assessed the behavioral impact of and psychological processes associated with presenting\\r\\nwords connected to an action or a goal representation. The average and distribution of 352 effect sizes\\r\\n(analyzed using fixed-effects and random-effects models) was obtained from 133 studies (84 reports) in\\r\\nwhich word primes were incidentally presented to participants, with a nonopposite control group, before\\r\\nmeasuring a behavioral dependent variable. Findings revealed a small behavioral priming effect (dFE \u0002\\r\\n0.332, dRE \u0002 0.352), which was robust across methodological procedures and only minimally biased by\\r\\nthe publication of positive (vs. negative) results. Theory testing analyses indicated that more valued\\r\\nbehavior or goal concepts (e.g., associated with important outcomes or values) were associated with\\r\\nstronger priming effects than were less valued behaviors. Furthermore, there was some evidence of\\r\\npersistence of goal effects over time. These results support the notion that goal activation contributes over\\r\\nand above perception-behavior in explaining priming effects. In summary, theorizing about the role of\\r\\nvalue and satisfaction in goal activation pointed to stronger effects of a behavior or goal concept on overt\\r\\naction. There was no evidence that expectancy (ease of achieving the goal) moderated priming effects.", "author" : [ { "dropping-particle" : "", "family" : "Weingarten", "given" : "Evan", "non-dropping-particle" : "", "parse-names" : false, "suffix" : "" }, { "dropping-particle" : "", "family" : "Chen", "given" : "Qijia", "non-dropping-particle" : "", "parse-names" : false, "suffix" : "" }, { "dropping-particle" : "", "family" : "McAdams", "given" : "Maxwell", "non-dropping-particle" : "", "parse-names" : false, "suffix" : "" }, { "dropping-particle" : "", "family" : "Yi", "given" : "Jessica", "non-dropping-particle" : "", "parse-names" : false, "suffix" : "" }, { "dropping-particle" : "", "family" : "Hepler", "given" : "Justin", "non-dropping-particle" : "", "parse-names" : false, "suffix" : "" }, { "dropping-particle" : "", "family" : "Albarrac\u00edn", "given" : "Dolores", "non-dropping-particle" : "", "parse-names" : false, "suffix" : "" } ], "container-title" : "Psychological Bulletin", "id" : "ITEM-1", "issue" : "5", "issued" : { "date-parts" : [ [ "2016" ] ] }, "page" : "472\u2013497", "title" : "From primed concepts to action: A meta-analysis of the behavioral effects of incidentally presented words", "type" : "article-journal", "volume" : "142" }, "uris" : [ "http://www.mendeley.com/documents/?uuid=b22d5899-ef08-3a5a-be29-9f126c9657bb" ] } ], "mendeley" : { "formattedCitation" : "(Weingarten et al., 2016)", "manualFormatting" : "(Weingarten et al., 2016", "plainTextFormattedCitation" : "(Weingarten et al., 2016)", "previouslyFormattedCitation" : "(Weingarten et al., 2016)" }, "properties" : { "noteIndex" : 0 }, "schema" : "https://github.com/citation-style-language/schema/raw/master/csl-citation.json" }</w:instrText>
      </w:r>
      <w:r w:rsidR="00B06E70">
        <w:rPr>
          <w:rFonts w:cs="Times New Roman"/>
          <w:bCs/>
          <w:iCs/>
          <w:sz w:val="24"/>
          <w:szCs w:val="24"/>
        </w:rPr>
        <w:fldChar w:fldCharType="separate"/>
      </w:r>
      <w:r w:rsidR="008844EC" w:rsidRPr="008844EC">
        <w:rPr>
          <w:rFonts w:cs="Times New Roman"/>
          <w:bCs/>
          <w:iCs/>
          <w:noProof/>
          <w:sz w:val="24"/>
          <w:szCs w:val="24"/>
        </w:rPr>
        <w:t>(Weingarten et al., 2016</w:t>
      </w:r>
      <w:r w:rsidR="00B06E70">
        <w:rPr>
          <w:rFonts w:cs="Times New Roman"/>
          <w:bCs/>
          <w:iCs/>
          <w:sz w:val="24"/>
          <w:szCs w:val="24"/>
        </w:rPr>
        <w:fldChar w:fldCharType="end"/>
      </w:r>
      <w:r w:rsidR="008844EC">
        <w:rPr>
          <w:rFonts w:cs="Times New Roman"/>
          <w:bCs/>
          <w:iCs/>
          <w:sz w:val="24"/>
          <w:szCs w:val="24"/>
        </w:rPr>
        <w:t xml:space="preserve"> </w:t>
      </w:r>
      <w:r w:rsidR="00D42B8F">
        <w:rPr>
          <w:rFonts w:cs="Times New Roman"/>
          <w:bCs/>
          <w:iCs/>
          <w:sz w:val="24"/>
          <w:szCs w:val="24"/>
        </w:rPr>
        <w:t xml:space="preserve">p. 472). </w:t>
      </w:r>
      <w:r w:rsidR="00717B9A">
        <w:rPr>
          <w:rFonts w:cs="Times New Roman"/>
          <w:bCs/>
          <w:iCs/>
          <w:sz w:val="24"/>
          <w:szCs w:val="24"/>
        </w:rPr>
        <w:t xml:space="preserve">In experiments that use priming, the basic procedure is to prime participants with some concept or idea to then, in a subsequent task (the target task), observe the effect of the primed concept on the behaviour, thought, capacity to react, or judgement of the participants, to name some examples. </w:t>
      </w:r>
    </w:p>
    <w:p w:rsidR="00DC692F" w:rsidRPr="00D05EBD" w:rsidRDefault="00DC692F" w:rsidP="00AE640B">
      <w:pPr>
        <w:spacing w:line="480" w:lineRule="auto"/>
        <w:ind w:firstLine="709"/>
        <w:jc w:val="both"/>
        <w:rPr>
          <w:rFonts w:cs="Times New Roman"/>
          <w:bCs/>
          <w:iCs/>
          <w:sz w:val="24"/>
          <w:szCs w:val="24"/>
        </w:rPr>
      </w:pPr>
      <w:r>
        <w:rPr>
          <w:rFonts w:cs="Times New Roman"/>
          <w:bCs/>
          <w:iCs/>
          <w:sz w:val="24"/>
          <w:szCs w:val="24"/>
        </w:rPr>
        <w:t xml:space="preserve">There are different kinds of priming. </w:t>
      </w:r>
      <w:r w:rsidR="00231F9F">
        <w:rPr>
          <w:rFonts w:cs="Times New Roman"/>
          <w:bCs/>
          <w:iCs/>
          <w:sz w:val="24"/>
          <w:szCs w:val="24"/>
        </w:rPr>
        <w:t>For example, s</w:t>
      </w:r>
      <w:r w:rsidR="008E2C66">
        <w:rPr>
          <w:rFonts w:cs="Times New Roman"/>
          <w:bCs/>
          <w:iCs/>
          <w:sz w:val="24"/>
          <w:szCs w:val="24"/>
        </w:rPr>
        <w:t>emantic priming is an increase in speed response in the target task</w:t>
      </w:r>
      <w:r w:rsidR="00231F9F">
        <w:rPr>
          <w:rFonts w:cs="Times New Roman"/>
          <w:bCs/>
          <w:iCs/>
          <w:sz w:val="24"/>
          <w:szCs w:val="24"/>
        </w:rPr>
        <w:t xml:space="preserve"> or stimulus</w:t>
      </w:r>
      <w:r w:rsidR="008E2C66">
        <w:rPr>
          <w:rFonts w:cs="Times New Roman"/>
          <w:bCs/>
          <w:iCs/>
          <w:sz w:val="24"/>
          <w:szCs w:val="24"/>
        </w:rPr>
        <w:t xml:space="preserve"> (the task where the effect of priming shows) when the target is preceded by a semantically related prime </w:t>
      </w:r>
      <w:r w:rsidR="00B06E70">
        <w:rPr>
          <w:rFonts w:cs="Times New Roman"/>
          <w:bCs/>
          <w:iCs/>
          <w:sz w:val="24"/>
          <w:szCs w:val="24"/>
        </w:rPr>
        <w:fldChar w:fldCharType="begin" w:fldLock="1"/>
      </w:r>
      <w:r w:rsidR="008844EC">
        <w:rPr>
          <w:rFonts w:cs="Times New Roman"/>
          <w:bCs/>
          <w:iCs/>
          <w:sz w:val="24"/>
          <w:szCs w:val="24"/>
        </w:rPr>
        <w:instrText>ADDIN CSL_CITATION { "citationItems" : [ { "id" : "ITEM-1", "itemData" : { "abstract" : "Semantic and affective priming are classic effects observed in cognitive and social psychology, respectively. We discovered that affect regulates such priming effects. In Experiment 1, positive and negative moods were induced prior to one of three priming tasks; evaluation, categorization, or lexical decision. As predicted, positive affect led to both affective priming (evaluation task) and semantic priming (category and lexical decision tasks). However, negative affect inhibited such effects. In Experiment 2, participants in their natural affective state completed the same priming tasks as in Experiment 1. As expected, affective priming (evaluation task) and category priming (categorization and lexical decision tasks) were observed in such resting affective states. Hence, we conclude that negative affect inhibits semantic and affective priming. These results support recent theoretical models, which suggest that positive affect promotes associations among strong and weak concepts, and that negative affect impairs such associations (Kuhl, 2000; Clore &amp; Storbeck, 2006). Understanding how affect influences memory has long been a critical goal of emotion research. Despite the large literature, however, basic questions remain. For example, does affect promote the recall of mood-congruent memories? Bower famously wrote that, the \" activation of an emotion node also spreads activation throughout the memory structures to which it is connected \" (Bower, 1981, p. 135). If so, does the mood-congruency assumption apply to all types of memory? The answer is unclear because, \" The specific nature of information represented in an emotion network has never been fully specified or empirically tested. Perhaps these networks do not include declarative knowledge about emotions \" (Innes-Ker &amp; Niedenthal, 2002, p. 813). Despite the plausibility and power of the mood-congruent memory hypothesis, evidence has been mixed at best, leading some to suggest that, \" If mood does not prime semantic information, then mood and memory must be conceptualized differently from the way Bower (1981) conceptualized them \" (Weaver &amp; McNeill, 1992, p. 296). If affect does not prime semantic memory in such a content-specific manner, might it activate or direct attention to semantic knowledge more generally? For example, perhaps, \" positive affect \u2026is characterized in memory by the activation of wide semantic fields\u2026 In contrast, negative affect \u2026 is characterized by a more restricted spread of a\u2026", "author" : [ { "dropping-particle" : "", "family" : "Storbeck", "given" : "Justin", "non-dropping-particle" : "", "parse-names" : false, "suffix" : "" }, { "dropping-particle" : "", "family" : "Clore", "given" : "Gerald L", "non-dropping-particle" : "", "parse-names" : false, "suffix" : "" } ], "container-title" : "Emotion", "id" : "ITEM-1", "issue" : "2", "issued" : { "date-parts" : [ [ "2008" ] ] }, "page" : "208-215", "title" : "The Affective Regulation of Cognitive Priming", "type" : "article-journal", "volume" : "8" }, "uris" : [ "http://www.mendeley.com/documents/?uuid=bb91a223-b6ef-3f09-a774-e441d7fb2b36" ] } ], "mendeley" : { "formattedCitation" : "(Storbeck &amp; Clore, 2008)", "plainTextFormattedCitation" : "(Storbeck &amp; Clore, 2008)", "previouslyFormattedCitation" : "(Storbeck &amp; Clore, 2008)" }, "properties" : { "noteIndex" : 0 }, "schema" : "https://github.com/citation-style-language/schema/raw/master/csl-citation.json" }</w:instrText>
      </w:r>
      <w:r w:rsidR="00B06E70">
        <w:rPr>
          <w:rFonts w:cs="Times New Roman"/>
          <w:bCs/>
          <w:iCs/>
          <w:sz w:val="24"/>
          <w:szCs w:val="24"/>
        </w:rPr>
        <w:fldChar w:fldCharType="separate"/>
      </w:r>
      <w:r w:rsidR="008844EC" w:rsidRPr="008844EC">
        <w:rPr>
          <w:rFonts w:cs="Times New Roman"/>
          <w:bCs/>
          <w:iCs/>
          <w:noProof/>
          <w:sz w:val="24"/>
          <w:szCs w:val="24"/>
        </w:rPr>
        <w:t>(Storbeck &amp; Clore, 2008)</w:t>
      </w:r>
      <w:r w:rsidR="00B06E70">
        <w:rPr>
          <w:rFonts w:cs="Times New Roman"/>
          <w:bCs/>
          <w:iCs/>
          <w:sz w:val="24"/>
          <w:szCs w:val="24"/>
        </w:rPr>
        <w:fldChar w:fldCharType="end"/>
      </w:r>
      <w:r w:rsidR="008E2C66">
        <w:rPr>
          <w:rFonts w:cs="Times New Roman"/>
          <w:bCs/>
          <w:iCs/>
          <w:sz w:val="24"/>
          <w:szCs w:val="24"/>
        </w:rPr>
        <w:t xml:space="preserve">. </w:t>
      </w:r>
      <w:r w:rsidR="00231F9F">
        <w:rPr>
          <w:rFonts w:cs="Times New Roman"/>
          <w:bCs/>
          <w:iCs/>
          <w:sz w:val="24"/>
          <w:szCs w:val="24"/>
        </w:rPr>
        <w:t>Thus, if a researcher was to prime</w:t>
      </w:r>
      <w:r w:rsidR="00B8731C">
        <w:rPr>
          <w:rFonts w:cs="Times New Roman"/>
          <w:bCs/>
          <w:iCs/>
          <w:sz w:val="24"/>
          <w:szCs w:val="24"/>
        </w:rPr>
        <w:t xml:space="preserve"> participants with the concept of </w:t>
      </w:r>
      <w:r w:rsidR="00B8731C" w:rsidRPr="00B8731C">
        <w:rPr>
          <w:rFonts w:cs="Times New Roman"/>
          <w:bCs/>
          <w:i/>
          <w:iCs/>
          <w:sz w:val="24"/>
          <w:szCs w:val="24"/>
        </w:rPr>
        <w:t>animal</w:t>
      </w:r>
      <w:r w:rsidR="00B8731C">
        <w:rPr>
          <w:rFonts w:cs="Times New Roman"/>
          <w:bCs/>
          <w:iCs/>
          <w:sz w:val="24"/>
          <w:szCs w:val="24"/>
        </w:rPr>
        <w:t xml:space="preserve"> </w:t>
      </w:r>
      <w:r w:rsidR="00231F9F">
        <w:rPr>
          <w:rFonts w:cs="Times New Roman"/>
          <w:bCs/>
          <w:iCs/>
          <w:sz w:val="24"/>
          <w:szCs w:val="24"/>
        </w:rPr>
        <w:t xml:space="preserve">it </w:t>
      </w:r>
      <w:r w:rsidR="00B8731C">
        <w:rPr>
          <w:rFonts w:cs="Times New Roman"/>
          <w:bCs/>
          <w:iCs/>
          <w:sz w:val="24"/>
          <w:szCs w:val="24"/>
        </w:rPr>
        <w:t xml:space="preserve">would </w:t>
      </w:r>
      <w:r w:rsidR="00231F9F">
        <w:rPr>
          <w:rFonts w:cs="Times New Roman"/>
          <w:bCs/>
          <w:iCs/>
          <w:sz w:val="24"/>
          <w:szCs w:val="24"/>
        </w:rPr>
        <w:t xml:space="preserve">be expected that participants would </w:t>
      </w:r>
      <w:r w:rsidR="00B8731C">
        <w:rPr>
          <w:rFonts w:cs="Times New Roman"/>
          <w:bCs/>
          <w:iCs/>
          <w:sz w:val="24"/>
          <w:szCs w:val="24"/>
        </w:rPr>
        <w:t xml:space="preserve">recognise words such as </w:t>
      </w:r>
      <w:r w:rsidR="00B8731C">
        <w:rPr>
          <w:rFonts w:cs="Times New Roman"/>
          <w:bCs/>
          <w:i/>
          <w:iCs/>
          <w:sz w:val="24"/>
          <w:szCs w:val="24"/>
        </w:rPr>
        <w:t>monkey</w:t>
      </w:r>
      <w:r w:rsidR="00B8731C">
        <w:rPr>
          <w:rFonts w:cs="Times New Roman"/>
          <w:bCs/>
          <w:iCs/>
          <w:sz w:val="24"/>
          <w:szCs w:val="24"/>
        </w:rPr>
        <w:t xml:space="preserve"> and </w:t>
      </w:r>
      <w:r w:rsidR="00B8731C">
        <w:rPr>
          <w:rFonts w:cs="Times New Roman"/>
          <w:bCs/>
          <w:i/>
          <w:iCs/>
          <w:sz w:val="24"/>
          <w:szCs w:val="24"/>
        </w:rPr>
        <w:t>parrot</w:t>
      </w:r>
      <w:r w:rsidR="00B8731C">
        <w:rPr>
          <w:rFonts w:cs="Times New Roman"/>
          <w:bCs/>
          <w:iCs/>
          <w:sz w:val="24"/>
          <w:szCs w:val="24"/>
        </w:rPr>
        <w:t xml:space="preserve"> </w:t>
      </w:r>
      <w:r w:rsidR="00231F9F">
        <w:rPr>
          <w:rFonts w:cs="Times New Roman"/>
          <w:bCs/>
          <w:iCs/>
          <w:sz w:val="24"/>
          <w:szCs w:val="24"/>
        </w:rPr>
        <w:t xml:space="preserve">faster </w:t>
      </w:r>
      <w:r w:rsidR="00B8731C">
        <w:rPr>
          <w:rFonts w:cs="Times New Roman"/>
          <w:bCs/>
          <w:iCs/>
          <w:sz w:val="24"/>
          <w:szCs w:val="24"/>
        </w:rPr>
        <w:t xml:space="preserve">as opposed to, for example, words like </w:t>
      </w:r>
      <w:r w:rsidR="00B8731C">
        <w:rPr>
          <w:rFonts w:cs="Times New Roman"/>
          <w:bCs/>
          <w:i/>
          <w:iCs/>
          <w:sz w:val="24"/>
          <w:szCs w:val="24"/>
        </w:rPr>
        <w:t>trousers and skirt.</w:t>
      </w:r>
      <w:r w:rsidR="000A09B8">
        <w:rPr>
          <w:rFonts w:cs="Times New Roman"/>
          <w:bCs/>
          <w:i/>
          <w:iCs/>
          <w:sz w:val="24"/>
          <w:szCs w:val="24"/>
        </w:rPr>
        <w:t xml:space="preserve"> </w:t>
      </w:r>
      <w:r w:rsidR="000A09B8">
        <w:rPr>
          <w:rFonts w:cs="Times New Roman"/>
          <w:bCs/>
          <w:iCs/>
          <w:sz w:val="24"/>
          <w:szCs w:val="24"/>
        </w:rPr>
        <w:t xml:space="preserve">Another kind of priming is affective priming. In affective priming people respond faster to targets that have the same valence as the prime, for example, people would recognise faster the word </w:t>
      </w:r>
      <w:r w:rsidR="00E204D6">
        <w:rPr>
          <w:rFonts w:cs="Times New Roman"/>
          <w:bCs/>
          <w:i/>
          <w:iCs/>
          <w:sz w:val="24"/>
          <w:szCs w:val="24"/>
        </w:rPr>
        <w:t>danger</w:t>
      </w:r>
      <w:r w:rsidR="000A09B8">
        <w:rPr>
          <w:rFonts w:cs="Times New Roman"/>
          <w:bCs/>
          <w:iCs/>
          <w:sz w:val="24"/>
          <w:szCs w:val="24"/>
        </w:rPr>
        <w:t xml:space="preserve"> if it was preceded by the word </w:t>
      </w:r>
      <w:r w:rsidR="000A09B8">
        <w:rPr>
          <w:rFonts w:cs="Times New Roman"/>
          <w:bCs/>
          <w:i/>
          <w:iCs/>
          <w:sz w:val="24"/>
          <w:szCs w:val="24"/>
        </w:rPr>
        <w:t>accident</w:t>
      </w:r>
      <w:r w:rsidR="000A09B8">
        <w:rPr>
          <w:rFonts w:cs="Times New Roman"/>
          <w:bCs/>
          <w:iCs/>
          <w:sz w:val="24"/>
          <w:szCs w:val="24"/>
        </w:rPr>
        <w:t xml:space="preserve"> than if it was preceded by the word </w:t>
      </w:r>
      <w:r w:rsidR="000A09B8">
        <w:rPr>
          <w:rFonts w:cs="Times New Roman"/>
          <w:bCs/>
          <w:i/>
          <w:iCs/>
          <w:sz w:val="24"/>
          <w:szCs w:val="24"/>
        </w:rPr>
        <w:t>nice</w:t>
      </w:r>
      <w:r w:rsidR="008F3BCB">
        <w:rPr>
          <w:rFonts w:cs="Times New Roman"/>
          <w:bCs/>
          <w:i/>
          <w:iCs/>
          <w:sz w:val="24"/>
          <w:szCs w:val="24"/>
        </w:rPr>
        <w:t xml:space="preserve"> </w:t>
      </w:r>
      <w:r w:rsidR="00B06E70">
        <w:rPr>
          <w:rFonts w:cs="Times New Roman"/>
          <w:bCs/>
          <w:i/>
          <w:iCs/>
          <w:sz w:val="24"/>
          <w:szCs w:val="24"/>
        </w:rPr>
        <w:fldChar w:fldCharType="begin" w:fldLock="1"/>
      </w:r>
      <w:r w:rsidR="007F6ADA">
        <w:rPr>
          <w:rFonts w:cs="Times New Roman"/>
          <w:bCs/>
          <w:i/>
          <w:iCs/>
          <w:sz w:val="24"/>
          <w:szCs w:val="24"/>
        </w:rPr>
        <w:instrText>ADDIN CSL_CITATION { "citationItems" : [ { "id" : "ITEM-1", "itemData" : { "DOI" : "10.1016/j.beproc.2006.12.001", "ISBN" : "0805840478", "PMID" : "4754961", "abstract" : "The affective connotations of environmental stimuli are evaluated spontaneously and with minimal cognitive processing. The activated evaluations influence subsequent emotional and cognitive processes. This book reviews and integrates recent research and theories on this topic and features contributions from researchers active in this area. Many fundamental issues regarding the nature of, and the relationship between, evaluations, cognition, and emotion are covered. Fourteen chapters explore the mechanisms and boundary conditions of automatic evaluative processes, the determinants of valence, indirect measures of individual differences in the evaluation of social stimuli, and the relationships between evaluations and mood, and emotion and behavior. Keyconcepts: affective connotations; individual differences; environmental stimuli; cognitive processing; evaluative processes; affective processes; cognitive processes", "author" : [ { "dropping-particle" : "", "family" : "Musch", "given" : "Jochen.", "non-dropping-particle" : "", "parse-names" : false, "suffix" : "" }, { "dropping-particle" : "", "family" : "Klauer", "given" : "Karl C.", "non-dropping-particle" : "", "parse-names" : false, "suffix" : "" } ], "container-title" : "Booksgooglecom", "id" : "ITEM-1", "issue" : "2", "issued" : { "date-parts" : [ [ "2003" ] ] }, "page" : "411--", "publisher" : "Lawrence Erlbaum Associates", "title" : "The Psychology of Evaluation: Affective Processes in Cognition and Emotion", "type" : "article", "volume" : "74" }, "uris" : [ "http://www.mendeley.com/documents/?uuid=10eb8a0f-3015-3df0-95df-1a5f54511e89" ] } ], "mendeley" : { "formattedCitation" : "(Musch &amp; Klauer, 2003)", "plainTextFormattedCitation" : "(Musch &amp; Klauer, 2003)", "previouslyFormattedCitation" : "(Musch &amp; Klauer, 2003)" }, "properties" : { "noteIndex" : 0 }, "schema" : "https://github.com/citation-style-language/schema/raw/master/csl-citation.json" }</w:instrText>
      </w:r>
      <w:r w:rsidR="00B06E70">
        <w:rPr>
          <w:rFonts w:cs="Times New Roman"/>
          <w:bCs/>
          <w:i/>
          <w:iCs/>
          <w:sz w:val="24"/>
          <w:szCs w:val="24"/>
        </w:rPr>
        <w:fldChar w:fldCharType="separate"/>
      </w:r>
      <w:r w:rsidR="007F6ADA" w:rsidRPr="007F6ADA">
        <w:rPr>
          <w:rFonts w:cs="Times New Roman"/>
          <w:bCs/>
          <w:iCs/>
          <w:noProof/>
          <w:sz w:val="24"/>
          <w:szCs w:val="24"/>
        </w:rPr>
        <w:t>(Musch &amp; Klauer, 2003)</w:t>
      </w:r>
      <w:r w:rsidR="00B06E70">
        <w:rPr>
          <w:rFonts w:cs="Times New Roman"/>
          <w:bCs/>
          <w:i/>
          <w:iCs/>
          <w:sz w:val="24"/>
          <w:szCs w:val="24"/>
        </w:rPr>
        <w:fldChar w:fldCharType="end"/>
      </w:r>
      <w:r w:rsidR="002A7582">
        <w:rPr>
          <w:rFonts w:cs="Times New Roman"/>
          <w:bCs/>
          <w:iCs/>
          <w:sz w:val="24"/>
          <w:szCs w:val="24"/>
        </w:rPr>
        <w:t xml:space="preserve">. </w:t>
      </w:r>
      <w:r w:rsidR="00E204D6">
        <w:rPr>
          <w:rFonts w:cs="Times New Roman"/>
          <w:bCs/>
          <w:iCs/>
          <w:sz w:val="24"/>
          <w:szCs w:val="24"/>
        </w:rPr>
        <w:t>In c</w:t>
      </w:r>
      <w:r w:rsidR="002A7582">
        <w:rPr>
          <w:rFonts w:cs="Times New Roman"/>
          <w:bCs/>
          <w:iCs/>
          <w:sz w:val="24"/>
          <w:szCs w:val="24"/>
        </w:rPr>
        <w:t xml:space="preserve">onstrual priming </w:t>
      </w:r>
      <w:r w:rsidR="00E204D6">
        <w:rPr>
          <w:rFonts w:cs="Times New Roman"/>
          <w:bCs/>
          <w:iCs/>
          <w:sz w:val="24"/>
          <w:szCs w:val="24"/>
        </w:rPr>
        <w:t>participants would recognise faster a person that matches the prime</w:t>
      </w:r>
      <w:r w:rsidR="00B70200">
        <w:rPr>
          <w:rFonts w:cs="Times New Roman"/>
          <w:bCs/>
          <w:iCs/>
          <w:sz w:val="24"/>
          <w:szCs w:val="24"/>
        </w:rPr>
        <w:t xml:space="preserve"> </w:t>
      </w:r>
      <w:r w:rsidR="00B06E70">
        <w:rPr>
          <w:rFonts w:cs="Times New Roman"/>
          <w:bCs/>
          <w:iCs/>
          <w:sz w:val="24"/>
          <w:szCs w:val="24"/>
        </w:rPr>
        <w:fldChar w:fldCharType="begin" w:fldLock="1"/>
      </w:r>
      <w:r w:rsidR="008844EC">
        <w:rPr>
          <w:rFonts w:cs="Times New Roman"/>
          <w:bCs/>
          <w:iCs/>
          <w:sz w:val="24"/>
          <w:szCs w:val="24"/>
        </w:rPr>
        <w:instrText>ADDIN CSL_CITATION { "citationItems" : [ { "id" : "ITEM-1", "itemData" : { "DOI" : "10.1177/1745691611406921", "ISBN" : "1745-6916\\n1745-6924", "ISSN" : "1745-6916", "PMID" : "26168515", "abstract" : "The downstream consequences of a priming induction range from changes in the perception of objects in the environment to the initiation of prime-related behavior and goal striving. Although each of these outcomes has been accounted for by separate mechanisms, we argue that a single process could produce all three priming effects. In this article, we introduce the situated infer- ence model of priming, discuss its potential to account for these divergent outcomes with one mechanism, and demonstrate its ability to organize the priming literatures surrounding these effects. According to the model, primes often do not cause direct effects, instead altering only the accessibility of prime-related mental content. This information produces downstream effects on judgment, behavior, or motivation when it is mistakenly viewed as originating from one\u2019s own internal thought processes. When this misattribution occurs, the prime-related mental content becomes a possible source of information for solving what- ever problems are afforded by the current situation. Because different situations afford very different questions and concerns, the inferred meaning of this prime-related content can vary greatly. The use of this information to answer qualitatively different ques- tions can lead a single prime to produce varied effects on judgment, behavior, and motivation.", "author" : [ { "dropping-particle" : "", "family" : "Loersch", "given" : "C.", "non-dropping-particle" : "", "parse-names" : false, "suffix" : "" }, { "dropping-particle" : "", "family" : "Payne", "given" : "B. K.", "non-dropping-particle" : "", "parse-names" : false, "suffix" : "" } ], "container-title" : "Perspectives on Psychological Science", "id" : "ITEM-1", "issue" : "3", "issued" : { "date-parts" : [ [ "2011" ] ] }, "page" : "234-252", "title" : "The Situated Inference Model: An Integrative Account of the Effects of Primes on Perception, Behavior, and Motivation", "type" : "article-journal", "volume" : "6" }, "uris" : [ "http://www.mendeley.com/documents/?uuid=60c24d47-1283-3af2-898a-7aa5e9c8437b" ] } ], "mendeley" : { "formattedCitation" : "(Loersch &amp; Payne, 2011)", "plainTextFormattedCitation" : "(Loersch &amp; Payne, 2011)", "previouslyFormattedCitation" : "(Loersch &amp; Payne, 2011)" }, "properties" : { "noteIndex" : 0 }, "schema" : "https://github.com/citation-style-language/schema/raw/master/csl-citation.json" }</w:instrText>
      </w:r>
      <w:r w:rsidR="00B06E70">
        <w:rPr>
          <w:rFonts w:cs="Times New Roman"/>
          <w:bCs/>
          <w:iCs/>
          <w:sz w:val="24"/>
          <w:szCs w:val="24"/>
        </w:rPr>
        <w:fldChar w:fldCharType="separate"/>
      </w:r>
      <w:r w:rsidR="008844EC" w:rsidRPr="008844EC">
        <w:rPr>
          <w:rFonts w:cs="Times New Roman"/>
          <w:bCs/>
          <w:iCs/>
          <w:noProof/>
          <w:sz w:val="24"/>
          <w:szCs w:val="24"/>
        </w:rPr>
        <w:t>(Loersch &amp; Payne, 2011)</w:t>
      </w:r>
      <w:r w:rsidR="00B06E70">
        <w:rPr>
          <w:rFonts w:cs="Times New Roman"/>
          <w:bCs/>
          <w:iCs/>
          <w:sz w:val="24"/>
          <w:szCs w:val="24"/>
        </w:rPr>
        <w:fldChar w:fldCharType="end"/>
      </w:r>
      <w:r w:rsidR="00E204D6">
        <w:rPr>
          <w:rFonts w:cs="Times New Roman"/>
          <w:bCs/>
          <w:iCs/>
          <w:sz w:val="24"/>
          <w:szCs w:val="24"/>
        </w:rPr>
        <w:t xml:space="preserve">, for example, people would perceive the name </w:t>
      </w:r>
      <w:r w:rsidR="00E204D6">
        <w:rPr>
          <w:rFonts w:cs="Times New Roman"/>
          <w:bCs/>
          <w:i/>
          <w:iCs/>
          <w:sz w:val="24"/>
          <w:szCs w:val="24"/>
        </w:rPr>
        <w:t xml:space="preserve">Chaplin </w:t>
      </w:r>
      <w:r w:rsidR="00E204D6">
        <w:rPr>
          <w:rFonts w:cs="Times New Roman"/>
          <w:bCs/>
          <w:iCs/>
          <w:sz w:val="24"/>
          <w:szCs w:val="24"/>
        </w:rPr>
        <w:t xml:space="preserve">as funnier if it </w:t>
      </w:r>
      <w:r w:rsidR="000E7F2C">
        <w:rPr>
          <w:rFonts w:cs="Times New Roman"/>
          <w:bCs/>
          <w:iCs/>
          <w:sz w:val="24"/>
          <w:szCs w:val="24"/>
        </w:rPr>
        <w:t>was</w:t>
      </w:r>
      <w:r w:rsidR="00E204D6">
        <w:rPr>
          <w:rFonts w:cs="Times New Roman"/>
          <w:bCs/>
          <w:iCs/>
          <w:sz w:val="24"/>
          <w:szCs w:val="24"/>
        </w:rPr>
        <w:t xml:space="preserve"> preceded by the word </w:t>
      </w:r>
      <w:r w:rsidR="00E204D6">
        <w:rPr>
          <w:rFonts w:cs="Times New Roman"/>
          <w:bCs/>
          <w:i/>
          <w:iCs/>
          <w:sz w:val="24"/>
          <w:szCs w:val="24"/>
        </w:rPr>
        <w:t>comedy</w:t>
      </w:r>
      <w:r w:rsidR="00E204D6">
        <w:rPr>
          <w:rFonts w:cs="Times New Roman"/>
          <w:bCs/>
          <w:iCs/>
          <w:sz w:val="24"/>
          <w:szCs w:val="24"/>
        </w:rPr>
        <w:t xml:space="preserve"> than if </w:t>
      </w:r>
      <w:r w:rsidR="000E7F2C">
        <w:rPr>
          <w:rFonts w:cs="Times New Roman"/>
          <w:bCs/>
          <w:iCs/>
          <w:sz w:val="24"/>
          <w:szCs w:val="24"/>
        </w:rPr>
        <w:t>was</w:t>
      </w:r>
      <w:r w:rsidR="00E204D6">
        <w:rPr>
          <w:rFonts w:cs="Times New Roman"/>
          <w:bCs/>
          <w:iCs/>
          <w:sz w:val="24"/>
          <w:szCs w:val="24"/>
        </w:rPr>
        <w:t xml:space="preserve"> </w:t>
      </w:r>
      <w:r w:rsidR="00E204D6">
        <w:rPr>
          <w:rFonts w:cs="Times New Roman"/>
          <w:bCs/>
          <w:iCs/>
          <w:sz w:val="24"/>
          <w:szCs w:val="24"/>
        </w:rPr>
        <w:lastRenderedPageBreak/>
        <w:t xml:space="preserve">preceded by the word </w:t>
      </w:r>
      <w:r w:rsidR="00E204D6">
        <w:rPr>
          <w:rFonts w:cs="Times New Roman"/>
          <w:bCs/>
          <w:i/>
          <w:iCs/>
          <w:sz w:val="24"/>
          <w:szCs w:val="24"/>
        </w:rPr>
        <w:t>documentary.</w:t>
      </w:r>
      <w:r w:rsidR="000E7F2C">
        <w:rPr>
          <w:rFonts w:cs="Times New Roman"/>
          <w:bCs/>
          <w:iCs/>
          <w:sz w:val="24"/>
          <w:szCs w:val="24"/>
        </w:rPr>
        <w:t xml:space="preserve"> </w:t>
      </w:r>
      <w:r w:rsidR="00E17A15">
        <w:rPr>
          <w:rFonts w:cs="Times New Roman"/>
          <w:bCs/>
          <w:iCs/>
          <w:sz w:val="24"/>
          <w:szCs w:val="24"/>
        </w:rPr>
        <w:t>In behavioural priming, the priming task influences the subsequent behaviour</w:t>
      </w:r>
      <w:r w:rsidR="00B70200">
        <w:rPr>
          <w:rFonts w:cs="Times New Roman"/>
          <w:bCs/>
          <w:iCs/>
          <w:sz w:val="24"/>
          <w:szCs w:val="24"/>
        </w:rPr>
        <w:t xml:space="preserve"> (</w:t>
      </w:r>
      <w:r w:rsidR="00E17A15">
        <w:rPr>
          <w:rFonts w:cs="Times New Roman"/>
          <w:bCs/>
          <w:iCs/>
          <w:sz w:val="24"/>
          <w:szCs w:val="24"/>
        </w:rPr>
        <w:t xml:space="preserve">for example, presenting participants with the word </w:t>
      </w:r>
      <w:r w:rsidR="00E17A15">
        <w:rPr>
          <w:rFonts w:cs="Times New Roman"/>
          <w:bCs/>
          <w:i/>
          <w:iCs/>
          <w:sz w:val="24"/>
          <w:szCs w:val="24"/>
        </w:rPr>
        <w:t xml:space="preserve">gun </w:t>
      </w:r>
      <w:r w:rsidR="00E17A15">
        <w:rPr>
          <w:rFonts w:cs="Times New Roman"/>
          <w:bCs/>
          <w:iCs/>
          <w:sz w:val="24"/>
          <w:szCs w:val="24"/>
        </w:rPr>
        <w:t xml:space="preserve">would presumably make them behave more aggressively in a subsequent task. </w:t>
      </w:r>
      <w:r>
        <w:rPr>
          <w:rFonts w:cs="Times New Roman"/>
          <w:bCs/>
          <w:iCs/>
          <w:sz w:val="24"/>
          <w:szCs w:val="24"/>
        </w:rPr>
        <w:t xml:space="preserve">In the studies presented in this chapter behavioural priming will be used as the aim of this chapter is to investigate whether making someone feel bad can be primed. </w:t>
      </w:r>
    </w:p>
    <w:p w:rsidR="00FB1389" w:rsidRPr="00D05EBD" w:rsidRDefault="00FB1389" w:rsidP="00574EA4">
      <w:pPr>
        <w:spacing w:line="480" w:lineRule="auto"/>
        <w:ind w:firstLine="709"/>
        <w:jc w:val="both"/>
        <w:rPr>
          <w:sz w:val="24"/>
          <w:szCs w:val="24"/>
        </w:rPr>
      </w:pPr>
      <w:r w:rsidRPr="00D05EBD">
        <w:rPr>
          <w:sz w:val="24"/>
          <w:szCs w:val="24"/>
        </w:rPr>
        <w:t xml:space="preserve">In experiments where </w:t>
      </w:r>
      <w:r w:rsidR="00DC692F">
        <w:rPr>
          <w:sz w:val="24"/>
          <w:szCs w:val="24"/>
        </w:rPr>
        <w:t xml:space="preserve">behavioural </w:t>
      </w:r>
      <w:r w:rsidRPr="00D05EBD">
        <w:rPr>
          <w:sz w:val="24"/>
          <w:szCs w:val="24"/>
        </w:rPr>
        <w:t xml:space="preserve">priming is used, participants are exposed to the concept under study via the use of images, words or sounds. Then, participants are presented with an opportunity to engage in the primed behaviour, typically in a subsequent (ostensibly unrelated) task. If the priming is successful, it should activate the concept under study and </w:t>
      </w:r>
      <w:r w:rsidRPr="00D05EBD">
        <w:rPr>
          <w:rFonts w:cs="Times New Roman"/>
          <w:bCs/>
          <w:iCs/>
          <w:sz w:val="24"/>
          <w:szCs w:val="24"/>
        </w:rPr>
        <w:t xml:space="preserve">generate changes in the person’s behaviour without his or her awareness </w:t>
      </w:r>
      <w:r w:rsidR="00B06E70">
        <w:rPr>
          <w:rFonts w:cs="Times New Roman"/>
          <w:bCs/>
          <w:iCs/>
          <w:sz w:val="24"/>
          <w:szCs w:val="24"/>
        </w:rPr>
        <w:fldChar w:fldCharType="begin" w:fldLock="1"/>
      </w:r>
      <w:r w:rsidR="008844EC">
        <w:rPr>
          <w:rFonts w:cs="Times New Roman"/>
          <w:bCs/>
          <w:iCs/>
          <w:sz w:val="24"/>
          <w:szCs w:val="24"/>
        </w:rPr>
        <w:instrText>ADDIN CSL_CITATION { "citationItems" : [ { "id" : "ITEM-1", "itemData" : { "DOI" : "10.1016/S0065-2601(10)42005-5", "ISBN" : "9780123744920", "ISSN" : "00652601", "abstract" : "For more than a decade, researchers have convincingly shown that people's social behavior can be affected by primed constructs without people having any awareness of their influence. Earlier research proposed direct priming accounts for these effects, suggesting that primed constructs exert their effect on behavior in a relatively direct fashion without an intervening role for perceptual processes. In this chapter, we review evidence in favor of an indirect priming account for behavioral priming effects. In these indirect priming effects, a primed construct affects behavior via shifts in perceptions of a perceptual target. We review three types of indirect priming mechanisms: a self-perception, person-perception, and situation-perception mechanism. We also present various moderators that affect the direction and magnitude of each of the indirect priming effects. In addition, we identify factors, related to the attentional focus of the prime recipient, that indicate when each of the different mechanisms operates. Understanding the role of perceptual processes in the prime-to-behavior pathway can unravel more mysteries about the rich and complex nature of social behavior. \u00a9 2010 Elsevier Inc.", "author" : [ { "dropping-particle" : "", "family" : "Smeesters", "given" : "Dirk", "non-dropping-particle" : "", "parse-names" : false, "suffix" : "" }, { "dropping-particle" : "", "family" : "Wheeler", "given" : "S. Christian", "non-dropping-particle" : "", "parse-names" : false, "suffix" : "" }, { "dropping-particle" : "", "family" : "Kay", "given" : "Aaron C.", "non-dropping-particle" : "", "parse-names" : false, "suffix" : "" } ], "container-title" : "Advances in Experimental Social Psychology", "id" : "ITEM-1", "issued" : { "date-parts" : [ [ "2010" ] ] }, "page" : "259-317", "title" : "Chapter Five: Indirect prime-to-behavior effects: The role of perceptions of the self, others, and situations in connecting primed constructs to social behavior", "type" : "article", "volume" : "42" }, "uris" : [ "http://www.mendeley.com/documents/?uuid=a5348cde-c274-36a8-9e37-e4805662b8fc" ] } ], "mendeley" : { "formattedCitation" : "(Smeesters, Wheeler, &amp; Kay, 2010)", "plainTextFormattedCitation" : "(Smeesters, Wheeler, &amp; Kay, 2010)", "previouslyFormattedCitation" : "(Smeesters, Wheeler, &amp; Kay, 2010)" }, "properties" : { "noteIndex" : 0 }, "schema" : "https://github.com/citation-style-language/schema/raw/master/csl-citation.json" }</w:instrText>
      </w:r>
      <w:r w:rsidR="00B06E70">
        <w:rPr>
          <w:rFonts w:cs="Times New Roman"/>
          <w:bCs/>
          <w:iCs/>
          <w:sz w:val="24"/>
          <w:szCs w:val="24"/>
        </w:rPr>
        <w:fldChar w:fldCharType="separate"/>
      </w:r>
      <w:r w:rsidR="008844EC" w:rsidRPr="008844EC">
        <w:rPr>
          <w:rFonts w:cs="Times New Roman"/>
          <w:bCs/>
          <w:iCs/>
          <w:noProof/>
          <w:sz w:val="24"/>
          <w:szCs w:val="24"/>
        </w:rPr>
        <w:t>(Smeesters, Wheeler, &amp; Kay, 2010)</w:t>
      </w:r>
      <w:r w:rsidR="00B06E70">
        <w:rPr>
          <w:rFonts w:cs="Times New Roman"/>
          <w:bCs/>
          <w:iCs/>
          <w:sz w:val="24"/>
          <w:szCs w:val="24"/>
        </w:rPr>
        <w:fldChar w:fldCharType="end"/>
      </w:r>
      <w:r w:rsidRPr="00574EA4">
        <w:rPr>
          <w:rFonts w:cs="Times New Roman"/>
          <w:bCs/>
          <w:iCs/>
          <w:sz w:val="24"/>
          <w:szCs w:val="24"/>
        </w:rPr>
        <w:t xml:space="preserve">. </w:t>
      </w:r>
      <w:r w:rsidRPr="00574EA4">
        <w:rPr>
          <w:rFonts w:cs="Times New Roman"/>
          <w:bCs/>
          <w:sz w:val="24"/>
          <w:szCs w:val="24"/>
        </w:rPr>
        <w:t xml:space="preserve">For example, </w:t>
      </w:r>
      <w:r w:rsidR="00B06E70">
        <w:rPr>
          <w:rFonts w:cs="Times New Roman"/>
          <w:bCs/>
          <w:sz w:val="24"/>
          <w:szCs w:val="24"/>
        </w:rPr>
        <w:fldChar w:fldCharType="begin" w:fldLock="1"/>
      </w:r>
      <w:r w:rsidR="00A5797A">
        <w:rPr>
          <w:rFonts w:cs="Times New Roman"/>
          <w:bCs/>
          <w:sz w:val="24"/>
          <w:szCs w:val="24"/>
        </w:rPr>
        <w:instrText>ADDIN CSL_CITATION { "citationItems" : [ { "id" : "ITEM-1", "itemData" : { "DOI" : "10.1037/0022-3514.71.2.230", "ISBN" : "0022-3514\\n1939-1315", "ISSN" : "0022-3514", "PMID" : "8765481", "abstract" : "Previous research has shown that trait concepts and stereotype become active automatically in the presence of relevant behavior or stereotyped-group features. Through the use of the same priming procedures as in previous impression formation research, Experiment 1 showed that participants whose concept of rudeness was printed interrupted the experimenter more quickly and frequently than did participants primed with polite-related stimuli. In Experiment 2, participants for whom an elderly stereotype was primed walked more slowly down the hallway when leaving the experiment than did control participants, consistent with the content of that stereotype. In Experiment 3, participants for whom the African American stereotype was primed subliminally reacted with more hostility to a vexatious request of the experimenter. Implications of this automatic behavior priming effect for self-fulfilling prophecies are discussed, as is whether social behavior is necessarily mediated by conscious choice processes.", "author" : [ { "dropping-particle" : "", "family" : "Bargh", "given" : "John A.", "non-dropping-particle" : "", "parse-names" : false, "suffix" : "" }, { "dropping-particle" : "", "family" : "Chen", "given" : "Mark", "non-dropping-particle" : "", "parse-names" : false, "suffix" : "" }, { "dropping-particle" : "", "family" : "Burrows", "given" : "Lara", "non-dropping-particle" : "", "parse-names" : false, "suffix" : "" } ], "container-title" : "Journal of personality and social psychology", "id" : "ITEM-1", "issue" : "2", "issued" : { "date-parts" : [ [ "1996" ] ] }, "page" : "230-244", "title" : "Automaticity of social behavior: Direct effects of trait construct and stereotype-activation on action.", "type" : "article-journal", "volume" : "71" }, "uris" : [ "http://www.mendeley.com/documents/?uuid=55a5884c-98c2-3691-95f6-50a23fe9c58c" ] } ], "mendeley" : { "formattedCitation" : "(J. A. Bargh et al., 1996)", "manualFormatting" : "(Bargh et al., 1996", "plainTextFormattedCitation" : "(J. A. Bargh et al., 1996)", "previouslyFormattedCitation" : "(J. A. Bargh et al., 1996)" }, "properties" : { "noteIndex" : 0 }, "schema" : "https://github.com/citation-style-language/schema/raw/master/csl-citation.json" }</w:instrText>
      </w:r>
      <w:r w:rsidR="00B06E70">
        <w:rPr>
          <w:rFonts w:cs="Times New Roman"/>
          <w:bCs/>
          <w:sz w:val="24"/>
          <w:szCs w:val="24"/>
        </w:rPr>
        <w:fldChar w:fldCharType="separate"/>
      </w:r>
      <w:r w:rsidR="00DE789C">
        <w:rPr>
          <w:rFonts w:cs="Times New Roman"/>
          <w:bCs/>
          <w:noProof/>
          <w:sz w:val="24"/>
          <w:szCs w:val="24"/>
        </w:rPr>
        <w:t>Bargh et al.</w:t>
      </w:r>
      <w:r w:rsidR="008844EC" w:rsidRPr="008844EC">
        <w:rPr>
          <w:rFonts w:cs="Times New Roman"/>
          <w:bCs/>
          <w:noProof/>
          <w:sz w:val="24"/>
          <w:szCs w:val="24"/>
        </w:rPr>
        <w:t xml:space="preserve"> </w:t>
      </w:r>
      <w:r w:rsidR="00DE789C">
        <w:rPr>
          <w:rFonts w:cs="Times New Roman"/>
          <w:bCs/>
          <w:noProof/>
          <w:sz w:val="24"/>
          <w:szCs w:val="24"/>
        </w:rPr>
        <w:t>(</w:t>
      </w:r>
      <w:r w:rsidR="008844EC" w:rsidRPr="008844EC">
        <w:rPr>
          <w:rFonts w:cs="Times New Roman"/>
          <w:bCs/>
          <w:noProof/>
          <w:sz w:val="24"/>
          <w:szCs w:val="24"/>
        </w:rPr>
        <w:t>1996</w:t>
      </w:r>
      <w:r w:rsidR="00B06E70">
        <w:rPr>
          <w:rFonts w:cs="Times New Roman"/>
          <w:bCs/>
          <w:sz w:val="24"/>
          <w:szCs w:val="24"/>
        </w:rPr>
        <w:fldChar w:fldCharType="end"/>
      </w:r>
      <w:r w:rsidR="008844EC">
        <w:rPr>
          <w:rFonts w:cs="Times New Roman"/>
          <w:bCs/>
          <w:sz w:val="24"/>
          <w:szCs w:val="24"/>
        </w:rPr>
        <w:t>, E</w:t>
      </w:r>
      <w:r w:rsidRPr="00574EA4">
        <w:rPr>
          <w:rFonts w:cs="Times New Roman"/>
          <w:bCs/>
          <w:sz w:val="24"/>
          <w:szCs w:val="24"/>
        </w:rPr>
        <w:t xml:space="preserve">xperiment 1) primed participants with the concept of rudeness through the use of words. The researchers exposed their participants to words like </w:t>
      </w:r>
      <w:r w:rsidRPr="00574EA4">
        <w:rPr>
          <w:rFonts w:cs="Times New Roman"/>
          <w:bCs/>
          <w:i/>
          <w:sz w:val="24"/>
          <w:szCs w:val="24"/>
        </w:rPr>
        <w:t>bother</w:t>
      </w:r>
      <w:r w:rsidRPr="00574EA4">
        <w:rPr>
          <w:rFonts w:cs="Times New Roman"/>
          <w:bCs/>
          <w:sz w:val="24"/>
          <w:szCs w:val="24"/>
        </w:rPr>
        <w:t xml:space="preserve"> and </w:t>
      </w:r>
      <w:r w:rsidRPr="00574EA4">
        <w:rPr>
          <w:rFonts w:cs="Times New Roman"/>
          <w:bCs/>
          <w:i/>
          <w:sz w:val="24"/>
          <w:szCs w:val="24"/>
        </w:rPr>
        <w:t>disturb</w:t>
      </w:r>
      <w:r w:rsidRPr="00574EA4">
        <w:rPr>
          <w:rFonts w:cs="Times New Roman"/>
          <w:bCs/>
          <w:sz w:val="24"/>
          <w:szCs w:val="24"/>
        </w:rPr>
        <w:t xml:space="preserve"> and then gave participants the opportunity to behave in a rude manner by interrupting a conversation between the experimenter and a confederate. Bargh and colleagues observed an effect of the prime on the subsequent behaviour of the participants. Primed participants interrupted the researcher sooner than the control group.</w:t>
      </w:r>
      <w:r w:rsidRPr="00D05EBD">
        <w:rPr>
          <w:sz w:val="24"/>
          <w:szCs w:val="24"/>
        </w:rPr>
        <w:t xml:space="preserve"> </w:t>
      </w:r>
      <w:r w:rsidR="00574EA4">
        <w:rPr>
          <w:sz w:val="24"/>
          <w:szCs w:val="24"/>
        </w:rPr>
        <w:t xml:space="preserve">Bargh and colleagues study exemplifies how exposing people to words related to concepts the researcher aims to study, can influence the behaviour of the person. </w:t>
      </w:r>
    </w:p>
    <w:p w:rsidR="00FB1389" w:rsidRPr="00D05EBD" w:rsidRDefault="00FB1389" w:rsidP="00574EA4">
      <w:pPr>
        <w:spacing w:line="480" w:lineRule="auto"/>
        <w:ind w:firstLine="709"/>
        <w:jc w:val="both"/>
        <w:rPr>
          <w:rFonts w:cs="Times New Roman"/>
          <w:bCs/>
          <w:iCs/>
          <w:sz w:val="24"/>
          <w:szCs w:val="24"/>
          <w:lang w:val="en-US"/>
        </w:rPr>
      </w:pPr>
      <w:r w:rsidRPr="00D05EBD">
        <w:rPr>
          <w:rFonts w:cs="Times New Roman"/>
          <w:bCs/>
          <w:iCs/>
          <w:sz w:val="24"/>
          <w:szCs w:val="24"/>
          <w:lang w:val="en-US"/>
        </w:rPr>
        <w:t xml:space="preserve">For something to be an instance for priming it is necessary to have an evaluative feature. People possess decision mechanisms that allow them to evaluate diverse situations (e.g. to decide whether something is good or bad) </w:t>
      </w:r>
      <w:r w:rsidR="00B06E70">
        <w:rPr>
          <w:rFonts w:cs="Times New Roman"/>
          <w:bCs/>
          <w:iCs/>
          <w:sz w:val="24"/>
          <w:szCs w:val="24"/>
          <w:lang w:val="en-US"/>
        </w:rPr>
        <w:fldChar w:fldCharType="begin" w:fldLock="1"/>
      </w:r>
      <w:r w:rsidR="00A81FB7">
        <w:rPr>
          <w:rFonts w:cs="Times New Roman"/>
          <w:bCs/>
          <w:iCs/>
          <w:sz w:val="24"/>
          <w:szCs w:val="24"/>
          <w:lang w:val="en-US"/>
        </w:rPr>
        <w:instrText>ADDIN CSL_CITATION { "citationItems" : [ { "id" : "ITEM-1", "itemData" : { "DOI" : "10.1080/0269993004200033", "ISBN" : "0269-9931", "ISSN" : "14640600", "abstract" : "The argument that automatic processes are responsible for affective/evaluative priming effects has been primarily based on studies that have manipulated the stimulus onset asynchrony (SOA; i.e., the interval between the onset of the prime and the onset of the target). Moreover, these SOA studies provide an insight in the time course of the activation processes underlying automatic affect/attitude activation. Based on a fine-grained manipulation of the SOA employing either the evaluative decision task (Experiment 1) and the pronunciation task (Experiment 2) we concluded that affective priming, and hence automatic affect activation, is based on fast-acting automatic processes. The results of Experiment 3 provide a valid explanation for an apparent discrepancy between the results of Experiments 1 and 2 and previous findings. Finally, the results of Experiment 3 support the prediction of Jarvis and Petty (1996) that affective priming effects should be stronger for participants who are more chronically engaged in conscious evaluations.", "author" : [ { "dropping-particle" : "", "family" : "Hermans", "given" : "Dirk.", "non-dropping-particle" : "", "parse-names" : false, "suffix" : "" }, { "dropping-particle" : "", "family" : "Houwer", "given" : "Jan.", "non-dropping-particle" : "De", "parse-names" : false, "suffix" : "" }, { "dropping-particle" : "", "family" : "Eelen", "given" : "Paul.", "non-dropping-particle" : "", "parse-names" : false, "suffix" : "" } ], "container-title" : "Cognition and Emotion", "id" : "ITEM-1", "issue" : "2", "issued" : { "date-parts" : [ [ "2001" ] ] }, "page" : "143-165", "title" : "A time course analysis of the affective priming effect", "type" : "article-journal", "volume" : "15" }, "uris" : [ "http://www.mendeley.com/documents/?uuid=7d454f6f-9da0-4c7a-9537-b9730b297abc" ] } ], "mendeley" : { "formattedCitation" : "(Hermans, De Houwer, &amp; Eelen, 2001)", "plainTextFormattedCitation" : "(Hermans, De Houwer, &amp; Eelen, 2001)", "previouslyFormattedCitation" : "(Hermans, De Houwer, &amp; Eelen, 2001)" }, "properties" : { "noteIndex" : 0 }, "schema" : "https://github.com/citation-style-language/schema/raw/master/csl-citation.json" }</w:instrText>
      </w:r>
      <w:r w:rsidR="00B06E70">
        <w:rPr>
          <w:rFonts w:cs="Times New Roman"/>
          <w:bCs/>
          <w:iCs/>
          <w:sz w:val="24"/>
          <w:szCs w:val="24"/>
          <w:lang w:val="en-US"/>
        </w:rPr>
        <w:fldChar w:fldCharType="separate"/>
      </w:r>
      <w:r w:rsidR="00A81FB7" w:rsidRPr="00A81FB7">
        <w:rPr>
          <w:rFonts w:cs="Times New Roman"/>
          <w:bCs/>
          <w:iCs/>
          <w:noProof/>
          <w:sz w:val="24"/>
          <w:szCs w:val="24"/>
          <w:lang w:val="en-US"/>
        </w:rPr>
        <w:t>(Hermans, De Houwer, &amp; Eelen, 2001)</w:t>
      </w:r>
      <w:r w:rsidR="00B06E70">
        <w:rPr>
          <w:rFonts w:cs="Times New Roman"/>
          <w:bCs/>
          <w:iCs/>
          <w:sz w:val="24"/>
          <w:szCs w:val="24"/>
          <w:lang w:val="en-US"/>
        </w:rPr>
        <w:fldChar w:fldCharType="end"/>
      </w:r>
      <w:r w:rsidRPr="00D05EBD">
        <w:rPr>
          <w:rFonts w:cs="Times New Roman"/>
          <w:bCs/>
          <w:iCs/>
          <w:sz w:val="24"/>
          <w:szCs w:val="24"/>
          <w:lang w:val="en-US"/>
        </w:rPr>
        <w:t xml:space="preserve">. When primed, people automatically evaluate the prime (e.g., as positive or </w:t>
      </w:r>
      <w:r w:rsidRPr="00D05EBD">
        <w:rPr>
          <w:rFonts w:cs="Times New Roman"/>
          <w:bCs/>
          <w:iCs/>
          <w:sz w:val="24"/>
          <w:szCs w:val="24"/>
          <w:lang w:val="en-US"/>
        </w:rPr>
        <w:lastRenderedPageBreak/>
        <w:t xml:space="preserve">negative) and the effect of that evaluation is shown </w:t>
      </w:r>
      <w:r w:rsidRPr="00D05EBD">
        <w:rPr>
          <w:rFonts w:cs="Times New Roman"/>
          <w:bCs/>
          <w:iCs/>
          <w:sz w:val="24"/>
          <w:szCs w:val="24"/>
        </w:rPr>
        <w:t>when people display a behaviour that is congruent</w:t>
      </w:r>
      <w:r w:rsidRPr="00D05EBD">
        <w:rPr>
          <w:rFonts w:cs="Times New Roman"/>
          <w:bCs/>
          <w:iCs/>
          <w:sz w:val="24"/>
          <w:szCs w:val="24"/>
          <w:lang w:val="en-US"/>
        </w:rPr>
        <w:t xml:space="preserve"> with the valence of the prime (e.g., priming a person with a positive valence word such as </w:t>
      </w:r>
      <w:r w:rsidRPr="00D05EBD">
        <w:rPr>
          <w:rFonts w:cs="Times New Roman"/>
          <w:bCs/>
          <w:i/>
          <w:iCs/>
          <w:sz w:val="24"/>
          <w:szCs w:val="24"/>
          <w:lang w:val="en-US"/>
        </w:rPr>
        <w:t>puppy</w:t>
      </w:r>
      <w:r w:rsidRPr="00D05EBD">
        <w:rPr>
          <w:rFonts w:cs="Times New Roman"/>
          <w:bCs/>
          <w:iCs/>
          <w:sz w:val="24"/>
          <w:szCs w:val="24"/>
          <w:lang w:val="en-US"/>
        </w:rPr>
        <w:t xml:space="preserve"> will lead the person to evaluate the word </w:t>
      </w:r>
      <w:r w:rsidRPr="00D05EBD">
        <w:rPr>
          <w:rFonts w:cs="Times New Roman"/>
          <w:bCs/>
          <w:i/>
          <w:iCs/>
          <w:sz w:val="24"/>
          <w:szCs w:val="24"/>
          <w:lang w:val="en-US"/>
        </w:rPr>
        <w:t>sunshine</w:t>
      </w:r>
      <w:r w:rsidRPr="00D05EBD">
        <w:rPr>
          <w:rFonts w:cs="Times New Roman"/>
          <w:bCs/>
          <w:iCs/>
          <w:sz w:val="24"/>
          <w:szCs w:val="24"/>
          <w:lang w:val="en-US"/>
        </w:rPr>
        <w:t xml:space="preserve"> faster, as both words share a positive valence). </w:t>
      </w:r>
      <w:r w:rsidR="00B70200">
        <w:rPr>
          <w:rFonts w:cs="Times New Roman"/>
          <w:bCs/>
          <w:iCs/>
          <w:sz w:val="24"/>
          <w:szCs w:val="24"/>
          <w:lang w:val="en-US"/>
        </w:rPr>
        <w:t xml:space="preserve">Some researchers explain that </w:t>
      </w:r>
      <w:r w:rsidR="00241B23">
        <w:rPr>
          <w:rFonts w:cs="Times New Roman"/>
          <w:bCs/>
          <w:iCs/>
          <w:sz w:val="24"/>
          <w:szCs w:val="24"/>
          <w:lang w:val="en-US"/>
        </w:rPr>
        <w:t>affective and semantic priming occur</w:t>
      </w:r>
      <w:r w:rsidR="00B70200">
        <w:rPr>
          <w:rFonts w:cs="Times New Roman"/>
          <w:bCs/>
          <w:iCs/>
          <w:sz w:val="24"/>
          <w:szCs w:val="24"/>
          <w:lang w:val="en-US"/>
        </w:rPr>
        <w:t xml:space="preserve"> through the</w:t>
      </w:r>
      <w:r w:rsidRPr="00D05EBD">
        <w:rPr>
          <w:rFonts w:cs="Times New Roman"/>
          <w:bCs/>
          <w:iCs/>
          <w:sz w:val="24"/>
          <w:szCs w:val="24"/>
          <w:lang w:val="en-US"/>
        </w:rPr>
        <w:t xml:space="preserve"> process </w:t>
      </w:r>
      <w:r w:rsidR="00B70200">
        <w:rPr>
          <w:rFonts w:cs="Times New Roman"/>
          <w:bCs/>
          <w:iCs/>
          <w:sz w:val="24"/>
          <w:szCs w:val="24"/>
          <w:lang w:val="en-US"/>
        </w:rPr>
        <w:t>of</w:t>
      </w:r>
      <w:r w:rsidRPr="00D05EBD">
        <w:rPr>
          <w:rFonts w:cs="Times New Roman"/>
          <w:bCs/>
          <w:iCs/>
          <w:sz w:val="24"/>
          <w:szCs w:val="24"/>
          <w:lang w:val="en-US"/>
        </w:rPr>
        <w:t xml:space="preserve"> spreading activation</w:t>
      </w:r>
      <w:r w:rsidR="00B70200">
        <w:rPr>
          <w:rFonts w:cs="Times New Roman"/>
          <w:bCs/>
          <w:iCs/>
          <w:sz w:val="24"/>
          <w:szCs w:val="24"/>
          <w:lang w:val="en-US"/>
        </w:rPr>
        <w:t>,</w:t>
      </w:r>
      <w:r w:rsidRPr="00D05EBD">
        <w:rPr>
          <w:rFonts w:cs="Times New Roman"/>
          <w:bCs/>
          <w:iCs/>
          <w:sz w:val="24"/>
          <w:szCs w:val="24"/>
          <w:lang w:val="en-US"/>
        </w:rPr>
        <w:t xml:space="preserve"> which is an activation from prime to target in semantic memory that occurs when the two share an associative link (in this case the positive valence) </w:t>
      </w:r>
      <w:r w:rsidR="00B06E70">
        <w:rPr>
          <w:rFonts w:cs="Times New Roman"/>
          <w:bCs/>
          <w:iCs/>
          <w:sz w:val="24"/>
          <w:szCs w:val="24"/>
          <w:lang w:val="en-US"/>
        </w:rPr>
        <w:fldChar w:fldCharType="begin" w:fldLock="1"/>
      </w:r>
      <w:r w:rsidR="00A81FB7">
        <w:rPr>
          <w:rFonts w:cs="Times New Roman"/>
          <w:bCs/>
          <w:iCs/>
          <w:sz w:val="24"/>
          <w:szCs w:val="24"/>
          <w:lang w:val="en-US"/>
        </w:rPr>
        <w:instrText>ADDIN CSL_CITATION { "citationItems" : [ { "id" : "ITEM-1", "itemData" : { "abstract" : "Semantic and affective priming are classic effects observed in cognitive and social psychology, respectively. We discovered that affect regulates such priming effects. In Experiment 1, positive and negative moods were induced prior to one of three priming tasks; evaluation, categorization, or lexical decision. As predicted, positive affect led to both affective priming (evaluation task) and semantic priming (category and lexical decision tasks). However, negative affect inhibited such effects. In Experiment 2, participants in their natural affective state completed the same priming tasks as in Experiment 1. As expected, affective priming (evaluation task) and category priming (categorization and lexical decision tasks) were observed in such resting affective states. Hence, we conclude that negative affect inhibits semantic and affective priming. These results support recent theoretical models, which suggest that positive affect promotes associations among strong and weak concepts, and that negative affect impairs such associations (Kuhl, 2000; Clore &amp; Storbeck, 2006). Understanding how affect influences memory has long been a critical goal of emotion research. Despite the large literature, however, basic questions remain. For example, does affect promote the recall of mood-congruent memories? Bower famously wrote that, the \" activation of an emotion node also spreads activation throughout the memory structures to which it is connected \" (Bower, 1981, p. 135). If so, does the mood-congruency assumption apply to all types of memory? The answer is unclear because, \" The specific nature of information represented in an emotion network has never been fully specified or empirically tested. Perhaps these networks do not include declarative knowledge about emotions \" (Innes-Ker &amp; Niedenthal, 2002, p. 813). Despite the plausibility and power of the mood-congruent memory hypothesis, evidence has been mixed at best, leading some to suggest that, \" If mood does not prime semantic information, then mood and memory must be conceptualized differently from the way Bower (1981) conceptualized them \" (Weaver &amp; McNeill, 1992, p. 296). If affect does not prime semantic memory in such a content-specific manner, might it activate or direct attention to semantic knowledge more generally? For example, perhaps, \" positive affect \u2026is characterized in memory by the activation of wide semantic fields\u2026 In contrast, negative affect \u2026 is characterized by a more restricted spread of a\u2026", "author" : [ { "dropping-particle" : "", "family" : "Storbeck", "given" : "Justin", "non-dropping-particle" : "", "parse-names" : false, "suffix" : "" }, { "dropping-particle" : "", "family" : "Clore", "given" : "Gerald L", "non-dropping-particle" : "", "parse-names" : false, "suffix" : "" } ], "container-title" : "Emotion", "id" : "ITEM-1", "issue" : "2", "issued" : { "date-parts" : [ [ "2008" ] ] }, "page" : "208-215", "title" : "The Affective Regulation of Cognitive Priming", "type" : "article-journal", "volume" : "8" }, "uris" : [ "http://www.mendeley.com/documents/?uuid=bb91a223-b6ef-3f09-a774-e441d7fb2b36" ] } ], "mendeley" : { "formattedCitation" : "(Storbeck &amp; Clore, 2008)", "plainTextFormattedCitation" : "(Storbeck &amp; Clore, 2008)", "previouslyFormattedCitation" : "(Storbeck &amp; Clore, 2008)" }, "properties" : { "noteIndex" : 0 }, "schema" : "https://github.com/citation-style-language/schema/raw/master/csl-citation.json" }</w:instrText>
      </w:r>
      <w:r w:rsidR="00B06E70">
        <w:rPr>
          <w:rFonts w:cs="Times New Roman"/>
          <w:bCs/>
          <w:iCs/>
          <w:sz w:val="24"/>
          <w:szCs w:val="24"/>
          <w:lang w:val="en-US"/>
        </w:rPr>
        <w:fldChar w:fldCharType="separate"/>
      </w:r>
      <w:r w:rsidR="00A81FB7" w:rsidRPr="00A81FB7">
        <w:rPr>
          <w:rFonts w:cs="Times New Roman"/>
          <w:bCs/>
          <w:iCs/>
          <w:noProof/>
          <w:sz w:val="24"/>
          <w:szCs w:val="24"/>
          <w:lang w:val="en-US"/>
        </w:rPr>
        <w:t>(Storbeck &amp; Clore, 2008)</w:t>
      </w:r>
      <w:r w:rsidR="00B06E70">
        <w:rPr>
          <w:rFonts w:cs="Times New Roman"/>
          <w:bCs/>
          <w:iCs/>
          <w:sz w:val="24"/>
          <w:szCs w:val="24"/>
          <w:lang w:val="en-US"/>
        </w:rPr>
        <w:fldChar w:fldCharType="end"/>
      </w:r>
      <w:r w:rsidRPr="00D05EBD">
        <w:rPr>
          <w:rFonts w:cs="Times New Roman"/>
          <w:bCs/>
          <w:iCs/>
          <w:sz w:val="24"/>
          <w:szCs w:val="24"/>
          <w:lang w:val="en-US"/>
        </w:rPr>
        <w:t xml:space="preserve">. </w:t>
      </w:r>
      <w:r w:rsidR="00B06E70">
        <w:rPr>
          <w:rFonts w:cs="Times New Roman"/>
          <w:bCs/>
          <w:iCs/>
          <w:sz w:val="24"/>
          <w:szCs w:val="24"/>
          <w:lang w:val="en-US"/>
        </w:rPr>
        <w:fldChar w:fldCharType="begin" w:fldLock="1"/>
      </w:r>
      <w:r w:rsidR="00A81FB7">
        <w:rPr>
          <w:rFonts w:cs="Times New Roman"/>
          <w:bCs/>
          <w:iCs/>
          <w:sz w:val="24"/>
          <w:szCs w:val="24"/>
          <w:lang w:val="en-US"/>
        </w:rPr>
        <w:instrText>ADDIN CSL_CITATION { "citationItems" : [ { "id" : "ITEM-1", "itemData" : { "DOI" : "10.1177/1745691611406921", "ISBN" : "1745-6916\\n1745-6924", "ISSN" : "1745-6916", "PMID" : "26168515", "abstract" : "The downstream consequences of a priming induction range from changes in the perception of objects in the environment to the initiation of prime-related behavior and goal striving. Although each of these outcomes has been accounted for by separate mechanisms, we argue that a single process could produce all three priming effects. In this article, we introduce the situated infer- ence model of priming, discuss its potential to account for these divergent outcomes with one mechanism, and demonstrate its ability to organize the priming literatures surrounding these effects. According to the model, primes often do not cause direct effects, instead altering only the accessibility of prime-related mental content. This information produces downstream effects on judgment, behavior, or motivation when it is mistakenly viewed as originating from one\u2019s own internal thought processes. When this misattribution occurs, the prime-related mental content becomes a possible source of information for solving what- ever problems are afforded by the current situation. Because different situations afford very different questions and concerns, the inferred meaning of this prime-related content can vary greatly. The use of this information to answer qualitatively different ques- tions can lead a single prime to produce varied effects on judgment, behavior, and motivation.", "author" : [ { "dropping-particle" : "", "family" : "Loersch", "given" : "C.", "non-dropping-particle" : "", "parse-names" : false, "suffix" : "" }, { "dropping-particle" : "", "family" : "Payne", "given" : "B. K.", "non-dropping-particle" : "", "parse-names" : false, "suffix" : "" } ], "container-title" : "Perspectives on Psychological Science", "id" : "ITEM-1", "issue" : "3", "issued" : { "date-parts" : [ [ "2011" ] ] }, "page" : "234-252", "title" : "The Situated Inference Model: An Integrative Account of the Effects of Primes on Perception, Behavior, and Motivation", "type" : "article-journal", "volume" : "6" }, "uris" : [ "http://www.mendeley.com/documents/?uuid=60c24d47-1283-3af2-898a-7aa5e9c8437b" ] } ], "mendeley" : { "formattedCitation" : "(Loersch &amp; Payne, 2011)", "manualFormatting" : "Loersch and Payne (2011)", "plainTextFormattedCitation" : "(Loersch &amp; Payne, 2011)", "previouslyFormattedCitation" : "(Loersch &amp; Payne, 2011)" }, "properties" : { "noteIndex" : 0 }, "schema" : "https://github.com/citation-style-language/schema/raw/master/csl-citation.json" }</w:instrText>
      </w:r>
      <w:r w:rsidR="00B06E70">
        <w:rPr>
          <w:rFonts w:cs="Times New Roman"/>
          <w:bCs/>
          <w:iCs/>
          <w:sz w:val="24"/>
          <w:szCs w:val="24"/>
          <w:lang w:val="en-US"/>
        </w:rPr>
        <w:fldChar w:fldCharType="separate"/>
      </w:r>
      <w:r w:rsidR="00A81FB7">
        <w:rPr>
          <w:rFonts w:cs="Times New Roman"/>
          <w:bCs/>
          <w:iCs/>
          <w:noProof/>
          <w:sz w:val="24"/>
          <w:szCs w:val="24"/>
          <w:lang w:val="en-US"/>
        </w:rPr>
        <w:t>Loersch and Payne</w:t>
      </w:r>
      <w:r w:rsidR="00A81FB7" w:rsidRPr="00A81FB7">
        <w:rPr>
          <w:rFonts w:cs="Times New Roman"/>
          <w:bCs/>
          <w:iCs/>
          <w:noProof/>
          <w:sz w:val="24"/>
          <w:szCs w:val="24"/>
          <w:lang w:val="en-US"/>
        </w:rPr>
        <w:t xml:space="preserve"> </w:t>
      </w:r>
      <w:r w:rsidR="00A81FB7">
        <w:rPr>
          <w:rFonts w:cs="Times New Roman"/>
          <w:bCs/>
          <w:iCs/>
          <w:noProof/>
          <w:sz w:val="24"/>
          <w:szCs w:val="24"/>
          <w:lang w:val="en-US"/>
        </w:rPr>
        <w:t>(</w:t>
      </w:r>
      <w:r w:rsidR="00A81FB7" w:rsidRPr="00A81FB7">
        <w:rPr>
          <w:rFonts w:cs="Times New Roman"/>
          <w:bCs/>
          <w:iCs/>
          <w:noProof/>
          <w:sz w:val="24"/>
          <w:szCs w:val="24"/>
          <w:lang w:val="en-US"/>
        </w:rPr>
        <w:t>2011)</w:t>
      </w:r>
      <w:r w:rsidR="00B06E70">
        <w:rPr>
          <w:rFonts w:cs="Times New Roman"/>
          <w:bCs/>
          <w:iCs/>
          <w:sz w:val="24"/>
          <w:szCs w:val="24"/>
          <w:lang w:val="en-US"/>
        </w:rPr>
        <w:fldChar w:fldCharType="end"/>
      </w:r>
      <w:r w:rsidR="00A81FB7">
        <w:rPr>
          <w:rFonts w:cs="Times New Roman"/>
          <w:bCs/>
          <w:iCs/>
          <w:sz w:val="24"/>
          <w:szCs w:val="24"/>
          <w:lang w:val="en-US"/>
        </w:rPr>
        <w:t xml:space="preserve"> </w:t>
      </w:r>
      <w:r w:rsidR="00241B23">
        <w:rPr>
          <w:rFonts w:cs="Times New Roman"/>
          <w:bCs/>
          <w:iCs/>
          <w:sz w:val="24"/>
          <w:szCs w:val="24"/>
          <w:lang w:val="en-US"/>
        </w:rPr>
        <w:t xml:space="preserve">propose that  behavioral, construal and goal priming </w:t>
      </w:r>
      <w:r w:rsidR="00F20049">
        <w:rPr>
          <w:rFonts w:cs="Times New Roman"/>
          <w:bCs/>
          <w:iCs/>
          <w:sz w:val="24"/>
          <w:szCs w:val="24"/>
          <w:lang w:val="en-US"/>
        </w:rPr>
        <w:t xml:space="preserve">(where the prime influences people to become motivated to pursue a certain state) </w:t>
      </w:r>
      <w:r w:rsidR="00241B23">
        <w:rPr>
          <w:rFonts w:cs="Times New Roman"/>
          <w:bCs/>
          <w:iCs/>
          <w:sz w:val="24"/>
          <w:szCs w:val="24"/>
          <w:lang w:val="en-US"/>
        </w:rPr>
        <w:t xml:space="preserve">can be explained through what they coined as the ‘Situated Inference Model’. In this model </w:t>
      </w:r>
      <w:proofErr w:type="spellStart"/>
      <w:r w:rsidR="00241B23">
        <w:rPr>
          <w:rFonts w:cs="Times New Roman"/>
          <w:bCs/>
          <w:iCs/>
          <w:sz w:val="24"/>
          <w:szCs w:val="24"/>
          <w:lang w:val="en-US"/>
        </w:rPr>
        <w:t>Loersch</w:t>
      </w:r>
      <w:proofErr w:type="spellEnd"/>
      <w:r w:rsidR="00241B23">
        <w:rPr>
          <w:rFonts w:cs="Times New Roman"/>
          <w:bCs/>
          <w:iCs/>
          <w:sz w:val="24"/>
          <w:szCs w:val="24"/>
          <w:lang w:val="en-US"/>
        </w:rPr>
        <w:t xml:space="preserve"> and Payne explain that </w:t>
      </w:r>
      <w:r w:rsidR="00BA19D0">
        <w:rPr>
          <w:rFonts w:cs="Times New Roman"/>
          <w:bCs/>
          <w:iCs/>
          <w:sz w:val="24"/>
          <w:szCs w:val="24"/>
          <w:lang w:val="en-US"/>
        </w:rPr>
        <w:t>priming</w:t>
      </w:r>
      <w:r w:rsidR="00241B23">
        <w:rPr>
          <w:rFonts w:cs="Times New Roman"/>
          <w:bCs/>
          <w:iCs/>
          <w:sz w:val="24"/>
          <w:szCs w:val="24"/>
          <w:lang w:val="en-US"/>
        </w:rPr>
        <w:t xml:space="preserve"> make</w:t>
      </w:r>
      <w:r w:rsidR="00BA19D0">
        <w:rPr>
          <w:rFonts w:cs="Times New Roman"/>
          <w:bCs/>
          <w:iCs/>
          <w:sz w:val="24"/>
          <w:szCs w:val="24"/>
          <w:lang w:val="en-US"/>
        </w:rPr>
        <w:t>s</w:t>
      </w:r>
      <w:r w:rsidR="00241B23">
        <w:rPr>
          <w:rFonts w:cs="Times New Roman"/>
          <w:bCs/>
          <w:iCs/>
          <w:sz w:val="24"/>
          <w:szCs w:val="24"/>
          <w:lang w:val="en-US"/>
        </w:rPr>
        <w:t xml:space="preserve"> a concept ‘accessible’ and that this concept is later used to answer different questions.</w:t>
      </w:r>
      <w:r w:rsidR="00BA19D0">
        <w:rPr>
          <w:rFonts w:cs="Times New Roman"/>
          <w:bCs/>
          <w:iCs/>
          <w:sz w:val="24"/>
          <w:szCs w:val="24"/>
          <w:lang w:val="en-US"/>
        </w:rPr>
        <w:t xml:space="preserve"> For example, i</w:t>
      </w:r>
      <w:r w:rsidR="00241B23">
        <w:rPr>
          <w:rFonts w:cs="Times New Roman"/>
          <w:bCs/>
          <w:iCs/>
          <w:sz w:val="24"/>
          <w:szCs w:val="24"/>
          <w:lang w:val="en-US"/>
        </w:rPr>
        <w:t xml:space="preserve">n the case of construal priming, where the participant is to judge another person or object in the environment, the question to be answered </w:t>
      </w:r>
      <w:r w:rsidR="00BA19D0">
        <w:rPr>
          <w:rFonts w:cs="Times New Roman"/>
          <w:bCs/>
          <w:iCs/>
          <w:sz w:val="24"/>
          <w:szCs w:val="24"/>
          <w:lang w:val="en-US"/>
        </w:rPr>
        <w:t>is</w:t>
      </w:r>
      <w:r w:rsidR="00241B23">
        <w:rPr>
          <w:rFonts w:cs="Times New Roman"/>
          <w:bCs/>
          <w:iCs/>
          <w:sz w:val="24"/>
          <w:szCs w:val="24"/>
          <w:lang w:val="en-US"/>
        </w:rPr>
        <w:t xml:space="preserve"> ‘Who is that?’, ‘What is that?’. In behavioral priming where participants are expected to behave in a certain way the question </w:t>
      </w:r>
      <w:r w:rsidR="00BA19D0">
        <w:rPr>
          <w:rFonts w:cs="Times New Roman"/>
          <w:bCs/>
          <w:iCs/>
          <w:sz w:val="24"/>
          <w:szCs w:val="24"/>
          <w:lang w:val="en-US"/>
        </w:rPr>
        <w:t>is</w:t>
      </w:r>
      <w:r w:rsidR="00024DFE">
        <w:rPr>
          <w:rFonts w:cs="Times New Roman"/>
          <w:bCs/>
          <w:iCs/>
          <w:sz w:val="24"/>
          <w:szCs w:val="24"/>
          <w:lang w:val="en-US"/>
        </w:rPr>
        <w:t xml:space="preserve"> ‘What will I do?’. In the present chapter it is proposed that after presenting participants with a prime intended to make accessible the idea of worsening the emotions of someone else, they would answer the question of ‘What will I do’ by using IER aimed at worsening someone else’s emotions. </w:t>
      </w:r>
      <w:r w:rsidR="00B70200">
        <w:rPr>
          <w:rFonts w:cs="Times New Roman"/>
          <w:bCs/>
          <w:iCs/>
          <w:sz w:val="24"/>
          <w:szCs w:val="24"/>
          <w:lang w:val="en-US"/>
        </w:rPr>
        <w:t xml:space="preserve"> </w:t>
      </w:r>
    </w:p>
    <w:p w:rsidR="00FB1389" w:rsidRPr="00D05EBD" w:rsidRDefault="00FB1389" w:rsidP="00AE640B">
      <w:pPr>
        <w:spacing w:line="480" w:lineRule="auto"/>
        <w:ind w:firstLine="720"/>
        <w:jc w:val="both"/>
        <w:rPr>
          <w:sz w:val="24"/>
          <w:szCs w:val="24"/>
        </w:rPr>
      </w:pPr>
      <w:r w:rsidRPr="00D05EBD">
        <w:rPr>
          <w:rFonts w:cs="Times New Roman"/>
          <w:bCs/>
          <w:iCs/>
          <w:sz w:val="24"/>
          <w:szCs w:val="24"/>
        </w:rPr>
        <w:t xml:space="preserve">Priming has been widely used in social psychology, for example to prime: goals to perform well or to cooperate </w:t>
      </w:r>
      <w:r w:rsidR="00B06E70">
        <w:rPr>
          <w:rFonts w:cs="Times New Roman"/>
          <w:bCs/>
          <w:iCs/>
          <w:sz w:val="24"/>
          <w:szCs w:val="24"/>
        </w:rPr>
        <w:fldChar w:fldCharType="begin" w:fldLock="1"/>
      </w:r>
      <w:r w:rsidR="00987809">
        <w:rPr>
          <w:rFonts w:cs="Times New Roman"/>
          <w:bCs/>
          <w:iCs/>
          <w:sz w:val="24"/>
          <w:szCs w:val="24"/>
        </w:rPr>
        <w:instrText>ADDIN CSL_CITATION { "citationItems" : [ { "id" : "ITEM-1", "itemData" : { "DOI" : "10.1016/j.biotechadv.2011.08.021.Secreted", "ISBN" : "2122633255", "ISSN" : "15378276", "PMID" : "11761304", "abstract" : "It is proposed that goals can be activated outside of awareness and then operate nonconsciously to guide self-regulation effectively (J. A. Bargh, 1990). Five experiments are reported in which the goal either to perform well or to cooperate was activated, without the awareness of participants, through a priming manipulation. In Experiment 1 priming of the goal to perform well caused participants to perform comparatively better on an intellectual task. In Experiment 2 priming of the goal to cooperate caused participants to replenish a commonly held resource more readily. Experiment 3 used a dissociation paradigm to rule out perceptual-construal alternative explanations. Experiments 4 and 5 demonstrated that action guided by nonconsciously activated goals manifests two classic content-free features of the pursuit of consciously held goals. Nonconsciously activated goals effectively guide action, enabling adaptation to ongoing situational demands", "author" : [ { "dropping-particle" : "", "family" : "Bargh", "given" : "John A", "non-dropping-particle" : "", "parse-names" : false, "suffix" : "" }, { "dropping-particle" : "", "family" : "Gollwitzer", "given" : "Peter M", "non-dropping-particle" : "", "parse-names" : false, "suffix" : "" }, { "dropping-particle" : "", "family" : "Lee-chai", "given" : "Annette", "non-dropping-particle" : "", "parse-names" : false, "suffix" : "" }, { "dropping-particle" : "", "family" : "Barndollar", "given" : "Kimberly", "non-dropping-particle" : "", "parse-names" : false, "suffix" : "" }, { "dropping-particle" : "", "family" : "Trotschel", "given" : "Roman", "non-dropping-particle" : "", "parse-names" : false, "suffix" : "" } ], "container-title" : "Journal of Personality and Social Psychology", "id" : "ITEM-1", "issue" : "6", "issued" : { "date-parts" : [ [ "2001" ] ] }, "page" : "1014-1027", "title" : "The Automated Will: Nonconscious Activation and Pursuit of Behavioral Goals", "type" : "article-journal", "volume" : "81" }, "uris" : [ "http://www.mendeley.com/documents/?uuid=02b8ed9b-aa65-3b87-9899-469a0de25210" ] } ], "mendeley" : { "formattedCitation" : "(J. A. Bargh et al., 2001)", "manualFormatting" : "(Bargh et al., 2001)", "plainTextFormattedCitation" : "(J. A. Bargh et al., 2001)", "previouslyFormattedCitation" : "(J. A. Bargh et al., 2001)" }, "properties" : { "noteIndex" : 0 }, "schema" : "https://github.com/citation-style-language/schema/raw/master/csl-citation.json" }</w:instrText>
      </w:r>
      <w:r w:rsidR="00B06E70">
        <w:rPr>
          <w:rFonts w:cs="Times New Roman"/>
          <w:bCs/>
          <w:iCs/>
          <w:sz w:val="24"/>
          <w:szCs w:val="24"/>
        </w:rPr>
        <w:fldChar w:fldCharType="separate"/>
      </w:r>
      <w:r w:rsidR="00987809">
        <w:rPr>
          <w:rFonts w:cs="Times New Roman"/>
          <w:bCs/>
          <w:iCs/>
          <w:noProof/>
          <w:sz w:val="24"/>
          <w:szCs w:val="24"/>
        </w:rPr>
        <w:t>(</w:t>
      </w:r>
      <w:r w:rsidR="00987809" w:rsidRPr="00987809">
        <w:rPr>
          <w:rFonts w:cs="Times New Roman"/>
          <w:bCs/>
          <w:iCs/>
          <w:noProof/>
          <w:sz w:val="24"/>
          <w:szCs w:val="24"/>
        </w:rPr>
        <w:t>Bargh et al., 2001)</w:t>
      </w:r>
      <w:r w:rsidR="00B06E70">
        <w:rPr>
          <w:rFonts w:cs="Times New Roman"/>
          <w:bCs/>
          <w:iCs/>
          <w:sz w:val="24"/>
          <w:szCs w:val="24"/>
        </w:rPr>
        <w:fldChar w:fldCharType="end"/>
      </w:r>
      <w:r w:rsidRPr="00D05EBD">
        <w:rPr>
          <w:rFonts w:cs="Times New Roman"/>
          <w:bCs/>
          <w:iCs/>
          <w:sz w:val="24"/>
          <w:szCs w:val="24"/>
        </w:rPr>
        <w:t xml:space="preserve">; the concept trait of hostility </w:t>
      </w:r>
      <w:r w:rsidR="00B06E70">
        <w:rPr>
          <w:rFonts w:cs="Times New Roman"/>
          <w:bCs/>
          <w:iCs/>
          <w:sz w:val="24"/>
          <w:szCs w:val="24"/>
        </w:rPr>
        <w:fldChar w:fldCharType="begin" w:fldLock="1"/>
      </w:r>
      <w:r w:rsidR="00987809">
        <w:rPr>
          <w:rFonts w:cs="Times New Roman"/>
          <w:bCs/>
          <w:iCs/>
          <w:sz w:val="24"/>
          <w:szCs w:val="24"/>
        </w:rPr>
        <w:instrText>ADDIN CSL_CITATION { "citationItems" : [ { "id" : "ITEM-1", "itemData" : { "DOI" : "10.1037/0022-3514.43.3.437", "ISBN" : "0022-3514\\r1939-1315", "ISSN" : "0022-3514", "abstract" : "The accessibility of a category in memory has been shown to influence the se- lection and interpretation of social information. The present experiment exam- ined the possibility that information relevant to a trait category (hostility) pre- sented outside of conscious awareness can temporarily increase that category's accessibility. Subjects initially performed a vigilance task in which they were exposed unknowingly to single words. Either 0%, 20%, or 80% of these words were semantically related to hostility. In an ostensibly unrelated second task, subjects read a behavioral description of a stimulus person that was ambiguous regarding hostility, and then rated the stimulus person on several trait dimensions. The amount of processing subjects gave to the hostile information and the neg- ativity of their ratings of the stimulus person both were reliably and positively related to the proportion of hostile words to which they were exposed. Several control conditions confirmed that the words were not consciously perceived. It was concluded that social stimuli of which people are not consciously aware can influence conscious judgments", "author" : [ { "dropping-particle" : "", "family" : "Bargh", "given" : "John A", "non-dropping-particle" : "", "parse-names" : false, "suffix" : "" }, { "dropping-particle" : "", "family" : "Pietromonaco", "given" : "Paula", "non-dropping-particle" : "", "parse-names" : false, "suffix" : "" } ], "container-title" : "Journal of Personality and Social Psychology", "id" : "ITEM-1", "issue" : "3", "issued" : { "date-parts" : [ [ "1982" ] ] }, "page" : "437-449", "title" : "Automatic information processing and social perception: The influence of trait information presented outside of conscious awareness on impression formation.", "type" : "article-journal", "volume" : "43" }, "uris" : [ "http://www.mendeley.com/documents/?uuid=08167748-685f-3b5d-948b-cec55dc3a5db" ] } ], "mendeley" : { "formattedCitation" : "(J. A. Bargh &amp; Pietromonaco, 1982)", "plainTextFormattedCitation" : "(J. A. Bargh &amp; Pietromonaco, 1982)", "previouslyFormattedCitation" : "(J. A. Bargh &amp; Pietromonaco, 1982)" }, "properties" : { "noteIndex" : 0 }, "schema" : "https://github.com/citation-style-language/schema/raw/master/csl-citation.json" }</w:instrText>
      </w:r>
      <w:r w:rsidR="00B06E70">
        <w:rPr>
          <w:rFonts w:cs="Times New Roman"/>
          <w:bCs/>
          <w:iCs/>
          <w:sz w:val="24"/>
          <w:szCs w:val="24"/>
        </w:rPr>
        <w:fldChar w:fldCharType="separate"/>
      </w:r>
      <w:r w:rsidR="00987809" w:rsidRPr="00987809">
        <w:rPr>
          <w:rFonts w:cs="Times New Roman"/>
          <w:bCs/>
          <w:iCs/>
          <w:noProof/>
          <w:sz w:val="24"/>
          <w:szCs w:val="24"/>
        </w:rPr>
        <w:t>(Bargh &amp; Pietromonaco, 1982)</w:t>
      </w:r>
      <w:r w:rsidR="00B06E70">
        <w:rPr>
          <w:rFonts w:cs="Times New Roman"/>
          <w:bCs/>
          <w:iCs/>
          <w:sz w:val="24"/>
          <w:szCs w:val="24"/>
        </w:rPr>
        <w:fldChar w:fldCharType="end"/>
      </w:r>
      <w:r w:rsidRPr="00D05EBD">
        <w:rPr>
          <w:rFonts w:cs="Times New Roman"/>
          <w:bCs/>
          <w:iCs/>
          <w:sz w:val="24"/>
          <w:szCs w:val="24"/>
        </w:rPr>
        <w:t xml:space="preserve">; aggressive behaviour and perception of aggression </w:t>
      </w:r>
      <w:r w:rsidR="00B06E70">
        <w:rPr>
          <w:rFonts w:cs="Times New Roman"/>
          <w:bCs/>
          <w:iCs/>
          <w:sz w:val="24"/>
          <w:szCs w:val="24"/>
        </w:rPr>
        <w:fldChar w:fldCharType="begin" w:fldLock="1"/>
      </w:r>
      <w:r w:rsidR="00987809">
        <w:rPr>
          <w:rFonts w:cs="Times New Roman"/>
          <w:bCs/>
          <w:iCs/>
          <w:sz w:val="24"/>
          <w:szCs w:val="24"/>
        </w:rPr>
        <w:instrText>ADDIN CSL_CITATION { "citationItems" : [ { "id" : "ITEM-1", "itemData" : { "DOI" : "10.1016/0022-1031(83)90019-7", "ISBN" : "0022-1031", "ISSN" : "10960465", "abstract" : "It is proposed that many of the releasing or disinhibiting effects caused by models can be accounted for by information-processing mechanisms, without recourse to the concept of reinforcement. More specifically, it is suggested that the process of viewing a model's behavior involves the activation of an interpretive schema. This renders the information the schema incorporates more accessible for subsequent use. If the schema incorporates (or is closely related to) behavior-specifying information, that information becomes more accessible as well, thus making it more likely to influence overt behavior. Two studies are reported that assessed the plausibility of this reasoning. In Experiment 1 subjects who had viewed an aggressive model perceived greater hostility in the behavior of an ambiguous stimulus person that they subsequently encountered than did control subjects. This finding is consistent with the assumption that the model's behavior activated a conceptual schema for use in interpretation. In Experiment 2 subjects in whom an aggressive schema had been activated under a guise displayed greater aggression in their subsequent behavior in a different context than did control subjects. This finding is consistent with the assumption that activating the conceptual schema also activated behavioral information. The discussion centers on the implications of the findings. ?? 1983.", "author" : [ { "dropping-particle" : "", "family" : "Carver", "given" : "Charles S.", "non-dropping-particle" : "", "parse-names" : false, "suffix" : "" }, { "dropping-particle" : "", "family" : "Ganellen", "given" : "Ronald J.", "non-dropping-particle" : "", "parse-names" : false, "suffix" : "" }, { "dropping-particle" : "", "family" : "Froming", "given" : "William J.", "non-dropping-particle" : "", "parse-names" : false, "suffix" : "" }, { "dropping-particle" : "", "family" : "Chambers", "given" : "William", "non-dropping-particle" : "", "parse-names" : false, "suffix" : "" } ], "container-title" : "Journal of Experimental Social Psychology", "id" : "ITEM-1", "issue" : "5", "issued" : { "date-parts" : [ [ "1983" ] ] }, "page" : "403-421", "title" : "Modeling: An analysis in terms of category accessibility", "type" : "article-journal", "volume" : "19" }, "uris" : [ "http://www.mendeley.com/documents/?uuid=2734b45a-6372-3cdd-bb3a-d6d750df9c36" ] } ], "mendeley" : { "formattedCitation" : "(Carver, Ganellen, Froming, &amp; Chambers, 1983)", "plainTextFormattedCitation" : "(Carver, Ganellen, Froming, &amp; Chambers, 1983)", "previouslyFormattedCitation" : "(Carver, Ganellen, Froming, &amp; Chambers, 1983)" }, "properties" : { "noteIndex" : 0 }, "schema" : "https://github.com/citation-style-language/schema/raw/master/csl-citation.json" }</w:instrText>
      </w:r>
      <w:r w:rsidR="00B06E70">
        <w:rPr>
          <w:rFonts w:cs="Times New Roman"/>
          <w:bCs/>
          <w:iCs/>
          <w:sz w:val="24"/>
          <w:szCs w:val="24"/>
        </w:rPr>
        <w:fldChar w:fldCharType="separate"/>
      </w:r>
      <w:r w:rsidR="00987809" w:rsidRPr="00987809">
        <w:rPr>
          <w:rFonts w:cs="Times New Roman"/>
          <w:bCs/>
          <w:iCs/>
          <w:noProof/>
          <w:sz w:val="24"/>
          <w:szCs w:val="24"/>
        </w:rPr>
        <w:t>(Carver, Ganellen, Froming, &amp; Chambers, 1983)</w:t>
      </w:r>
      <w:r w:rsidR="00B06E70">
        <w:rPr>
          <w:rFonts w:cs="Times New Roman"/>
          <w:bCs/>
          <w:iCs/>
          <w:sz w:val="24"/>
          <w:szCs w:val="24"/>
        </w:rPr>
        <w:fldChar w:fldCharType="end"/>
      </w:r>
      <w:r w:rsidRPr="00D05EBD">
        <w:rPr>
          <w:rFonts w:cs="Times New Roman"/>
          <w:bCs/>
          <w:iCs/>
          <w:sz w:val="24"/>
          <w:szCs w:val="24"/>
        </w:rPr>
        <w:t xml:space="preserve">; the goal to achieve </w:t>
      </w:r>
      <w:r w:rsidR="00B06E70">
        <w:rPr>
          <w:rFonts w:cs="Times New Roman"/>
          <w:bCs/>
          <w:iCs/>
          <w:sz w:val="24"/>
          <w:szCs w:val="24"/>
        </w:rPr>
        <w:fldChar w:fldCharType="begin" w:fldLock="1"/>
      </w:r>
      <w:r w:rsidR="005C1E48">
        <w:rPr>
          <w:rFonts w:cs="Times New Roman"/>
          <w:bCs/>
          <w:iCs/>
          <w:sz w:val="24"/>
          <w:szCs w:val="24"/>
        </w:rPr>
        <w:instrText>ADDIN CSL_CITATION { "citationItems" : [ { "id" : "ITEM-1", "itemData" : { "DOI" : "10.1080/02699931.2010.538598", "ISBN" : "0269-9931", "ISSN" : "1464-0600", "PMID" : "21432686", "abstract" : "Previous research has shown that the activation of a goal leads to more implicit positivity toward goal-relevant stimuli. We examined how the actual pursuit of a goal influences subsequent implicit positivity toward such stimuli. Participants were consciously or non-consciously primed with a goal, or not, and then completed a goal-relevant task on which they succeeded or failed. We then measured their goal-relevant implicit attitudes. Those who were primed with the goal (consciously or non-consciously) and experienced success exhibited more implicit positivity toward the goal, compared with the no-goal condition. Experiencing failure in the goal priming conditions reduced implicit positivity toward the goal, indicating disengagement from the goal. We discuss the theoretical implications for understanding the role of implicit attitudes in self-regulation.", "author" : [ { "dropping-particle" : "", "family" : "Moore", "given" : "Sarah G", "non-dropping-particle" : "", "parse-names" : false, "suffix" : "" }, { "dropping-particle" : "", "family" : "Ferguson", "given" : "Melissa J", "non-dropping-particle" : "", "parse-names" : false, "suffix" : "" }, { "dropping-particle" : "", "family" : "Chartrand", "given" : "Tanya L", "non-dropping-particle" : "", "parse-names" : false, "suffix" : "" } ], "container-title" : "Cognition &amp; emotion", "id" : "ITEM-1", "issue" : "3", "issued" : { "date-parts" : [ [ "2011" ] ] }, "page" : "453-465", "publisher" : "Chartrand &amp; Bargh", "title" : "Affect in the aftermath: how goal pursuit influences implicit evaluations.", "type" : "article-journal", "volume" : "25" }, "uris" : [ "http://www.mendeley.com/documents/?uuid=3ba34f8f-f9ef-393f-8063-89286f7bc545" ] } ], "mendeley" : { "formattedCitation" : "(Moore, Ferguson, &amp; Chartrand, 2011)", "plainTextFormattedCitation" : "(Moore, Ferguson, &amp; Chartrand, 2011)", "previouslyFormattedCitation" : "(Moore, Ferguson, &amp; Chartrand, 2011)" }, "properties" : { "noteIndex" : 0 }, "schema" : "https://github.com/citation-style-language/schema/raw/master/csl-citation.json" }</w:instrText>
      </w:r>
      <w:r w:rsidR="00B06E70">
        <w:rPr>
          <w:rFonts w:cs="Times New Roman"/>
          <w:bCs/>
          <w:iCs/>
          <w:sz w:val="24"/>
          <w:szCs w:val="24"/>
        </w:rPr>
        <w:fldChar w:fldCharType="separate"/>
      </w:r>
      <w:r w:rsidR="00987809" w:rsidRPr="00987809">
        <w:rPr>
          <w:rFonts w:cs="Times New Roman"/>
          <w:bCs/>
          <w:iCs/>
          <w:noProof/>
          <w:sz w:val="24"/>
          <w:szCs w:val="24"/>
        </w:rPr>
        <w:t xml:space="preserve">(Moore, Ferguson, &amp; </w:t>
      </w:r>
      <w:r w:rsidR="00987809" w:rsidRPr="00987809">
        <w:rPr>
          <w:rFonts w:cs="Times New Roman"/>
          <w:bCs/>
          <w:iCs/>
          <w:noProof/>
          <w:sz w:val="24"/>
          <w:szCs w:val="24"/>
        </w:rPr>
        <w:lastRenderedPageBreak/>
        <w:t>Chartrand, 2011)</w:t>
      </w:r>
      <w:r w:rsidR="00B06E70">
        <w:rPr>
          <w:rFonts w:cs="Times New Roman"/>
          <w:bCs/>
          <w:iCs/>
          <w:sz w:val="24"/>
          <w:szCs w:val="24"/>
        </w:rPr>
        <w:fldChar w:fldCharType="end"/>
      </w:r>
      <w:r w:rsidRPr="00D05EBD">
        <w:rPr>
          <w:rFonts w:cs="Times New Roman"/>
          <w:bCs/>
          <w:iCs/>
          <w:sz w:val="24"/>
          <w:szCs w:val="24"/>
        </w:rPr>
        <w:t xml:space="preserve">; happy and sad emotion concepts </w:t>
      </w:r>
      <w:r w:rsidR="00B06E70">
        <w:rPr>
          <w:rFonts w:cs="Times New Roman"/>
          <w:bCs/>
          <w:iCs/>
          <w:sz w:val="24"/>
          <w:szCs w:val="24"/>
        </w:rPr>
        <w:fldChar w:fldCharType="begin" w:fldLock="1"/>
      </w:r>
      <w:r w:rsidR="005C1E48">
        <w:rPr>
          <w:rFonts w:cs="Times New Roman"/>
          <w:bCs/>
          <w:iCs/>
          <w:sz w:val="24"/>
          <w:szCs w:val="24"/>
        </w:rPr>
        <w:instrText>ADDIN CSL_CITATION { "citationItems" : [ { "id" : "ITEM-1", "itemData" : { "DOI" : "10.1007/s11031-006-9033-x", "ISBN" : "0146-7239", "ISSN" : "01467239", "abstract" : "Many experiments have found that emotional ex- perience affects self-focused attention. Several approaches to cognition and emotion predict that conscious emotional experience may be unnecessary for this effect.To test this hy- pothesis, two experiments primed emotion concepts without affecting emotional experience. In Experiment 1, subliminal exposure to sad faces (relative to happy faces and neutral faces) increased self-focused attention but not subjectively experienced affect. In Experiment 2, a scrambled-sentences task that primed happy and sad emotion concepts increased self-focused attention relative to a neutral task. Thus, simply activating knowledge about emotions was sufficient to in- crease self-focused attention. The discussion considers im- plications for research on how emotional states affect self- awareness.", "author" : [ { "dropping-particle" : "", "family" : "Silvia", "given" : "Paul J.", "non-dropping-particle" : "", "parse-names" : false, "suffix" : "" }, { "dropping-particle" : "", "family" : "Phillips", "given" : "Ann G.", "non-dropping-particle" : "", "parse-names" : false, "suffix" : "" }, { "dropping-particle" : "", "family" : "Baumgaertner", "given" : "Miriam K.", "non-dropping-particle" : "", "parse-names" : false, "suffix" : "" }, { "dropping-particle" : "", "family" : "Maschauer", "given" : "Emily L.", "non-dropping-particle" : "", "parse-names" : false, "suffix" : "" } ], "container-title" : "Motivation and Emotion", "id" : "ITEM-1", "issue" : "3", "issued" : { "date-parts" : [ [ "2006" ] ] }, "page" : "225-231", "title" : "Emotion concepts and self-focused attention: Exploring parallel effects of emotional states and emotional knowledge", "type" : "article-journal", "volume" : "30" }, "uris" : [ "http://www.mendeley.com/documents/?uuid=151f0382-749a-3435-9b40-31cec3f74fc9" ] } ], "mendeley" : { "formattedCitation" : "(Silvia, Phillips, Baumgaertner, &amp; Maschauer, 2006)", "plainTextFormattedCitation" : "(Silvia, Phillips, Baumgaertner, &amp; Maschauer, 2006)", "previouslyFormattedCitation" : "(Silvia, Phillips, Baumgaertner, &amp; Maschauer, 2006)" }, "properties" : { "noteIndex" : 0 }, "schema" : "https://github.com/citation-style-language/schema/raw/master/csl-citation.json" }</w:instrText>
      </w:r>
      <w:r w:rsidR="00B06E70">
        <w:rPr>
          <w:rFonts w:cs="Times New Roman"/>
          <w:bCs/>
          <w:iCs/>
          <w:sz w:val="24"/>
          <w:szCs w:val="24"/>
        </w:rPr>
        <w:fldChar w:fldCharType="separate"/>
      </w:r>
      <w:r w:rsidR="005C1E48" w:rsidRPr="005C1E48">
        <w:rPr>
          <w:rFonts w:cs="Times New Roman"/>
          <w:bCs/>
          <w:iCs/>
          <w:noProof/>
          <w:sz w:val="24"/>
          <w:szCs w:val="24"/>
        </w:rPr>
        <w:t>(Silvia, Phillips, Baumgaertner, &amp; Maschauer, 2006)</w:t>
      </w:r>
      <w:r w:rsidR="00B06E70">
        <w:rPr>
          <w:rFonts w:cs="Times New Roman"/>
          <w:bCs/>
          <w:iCs/>
          <w:sz w:val="24"/>
          <w:szCs w:val="24"/>
        </w:rPr>
        <w:fldChar w:fldCharType="end"/>
      </w:r>
      <w:r w:rsidRPr="00D05EBD">
        <w:rPr>
          <w:rFonts w:cs="Times New Roman"/>
          <w:bCs/>
          <w:iCs/>
          <w:sz w:val="24"/>
          <w:szCs w:val="24"/>
        </w:rPr>
        <w:t xml:space="preserve">; and the concepts of hostility and kindness </w:t>
      </w:r>
      <w:r w:rsidR="00B06E70">
        <w:rPr>
          <w:rFonts w:cs="Times New Roman"/>
          <w:bCs/>
          <w:iCs/>
          <w:sz w:val="24"/>
          <w:szCs w:val="24"/>
        </w:rPr>
        <w:fldChar w:fldCharType="begin" w:fldLock="1"/>
      </w:r>
      <w:r w:rsidR="00A843B5">
        <w:rPr>
          <w:rFonts w:cs="Times New Roman"/>
          <w:bCs/>
          <w:iCs/>
          <w:sz w:val="24"/>
          <w:szCs w:val="24"/>
        </w:rPr>
        <w:instrText>ADDIN CSL_CITATION { "citationItems" : [ { "id" : "ITEM-1", "itemData" : { "DOI" : "10.1037/0022-3514.37.10.1660", "ISBN" : "0022-3514\\r1939-1315", "ISSN" : "0022-3514", "PMID" : "20090831", "abstract" : "Many personality trait terms can be thought of as summary labels for broad conceptual categories that are used to encode information about an individual's behavior into memory. The likelihood that a behavior is encoded in terms of a particular trait category is postulated to be a function of the relative accessibility of that category in memory. In addition, the trait category used to encode a particular behavior is thought to affect subsequent judgments of the person along dimensions to which it is directly or indirectly related. To test these hypotheses, undergraduates first performed a sentence construction task that activated concepts associated with either hostility (Experiment I) or kindness (Experiment II). As part of an ostensibly unrelated impression formation experiment, subjects later read a description of behaviors that were ambiguous with respect to hostility (kindness) and then rated the target person along a variety of trait dimensions. Ratings of the target along these dimensions increased with the number of times that the test concept had previously been activated in the sentence construction task and decreased with the time interval between these prior activations and presentation of the stimulus information to be encoded. Results suggest that category accessibility is a major determinant of the way in which social information is encoded into memory and subsequently used to make judgments.", "author" : [ { "dropping-particle" : "", "family" : "Srull", "given" : "Thomas K", "non-dropping-particle" : "", "parse-names" : false, "suffix" : "" }, { "dropping-particle" : "", "family" : "Wyer", "given" : "Robert S", "non-dropping-particle" : "", "parse-names" : false, "suffix" : "" } ], "container-title" : "Journal of Personality and Social Psychology", "id" : "ITEM-1", "issue" : "10", "issued" : { "date-parts" : [ [ "1979" ] ] }, "page" : "1660-1672", "title" : "The role of category accessibility in the interpretation of information about persons: Some determinants and implications", "type" : "article-journal", "volume" : "37" }, "uris" : [ "http://www.mendeley.com/documents/?uuid=a6048372-7f81-3ed1-8429-c65f7804111a" ] } ], "mendeley" : { "formattedCitation" : "(Srull &amp; Wyer, 1979)", "plainTextFormattedCitation" : "(Srull &amp; Wyer, 1979)", "previouslyFormattedCitation" : "(Srull &amp; Wyer, 1979)" }, "properties" : { "noteIndex" : 0 }, "schema" : "https://github.com/citation-style-language/schema/raw/master/csl-citation.json" }</w:instrText>
      </w:r>
      <w:r w:rsidR="00B06E70">
        <w:rPr>
          <w:rFonts w:cs="Times New Roman"/>
          <w:bCs/>
          <w:iCs/>
          <w:sz w:val="24"/>
          <w:szCs w:val="24"/>
        </w:rPr>
        <w:fldChar w:fldCharType="separate"/>
      </w:r>
      <w:r w:rsidR="005C1E48" w:rsidRPr="005C1E48">
        <w:rPr>
          <w:rFonts w:cs="Times New Roman"/>
          <w:bCs/>
          <w:iCs/>
          <w:noProof/>
          <w:sz w:val="24"/>
          <w:szCs w:val="24"/>
        </w:rPr>
        <w:t>(Srull &amp; Wyer, 1979)</w:t>
      </w:r>
      <w:r w:rsidR="00B06E70">
        <w:rPr>
          <w:rFonts w:cs="Times New Roman"/>
          <w:bCs/>
          <w:iCs/>
          <w:sz w:val="24"/>
          <w:szCs w:val="24"/>
        </w:rPr>
        <w:fldChar w:fldCharType="end"/>
      </w:r>
      <w:r w:rsidRPr="00D05EBD">
        <w:rPr>
          <w:rFonts w:cs="Times New Roman"/>
          <w:bCs/>
          <w:iCs/>
          <w:sz w:val="24"/>
          <w:szCs w:val="24"/>
        </w:rPr>
        <w:t xml:space="preserve">. </w:t>
      </w:r>
    </w:p>
    <w:p w:rsidR="00FB1389" w:rsidRPr="00D05EBD" w:rsidRDefault="00FB1389" w:rsidP="00AE640B">
      <w:pPr>
        <w:spacing w:line="480" w:lineRule="auto"/>
        <w:ind w:firstLine="720"/>
        <w:jc w:val="both"/>
        <w:rPr>
          <w:rFonts w:cs="Times New Roman"/>
          <w:bCs/>
          <w:iCs/>
          <w:sz w:val="24"/>
          <w:szCs w:val="24"/>
        </w:rPr>
      </w:pPr>
      <w:r w:rsidRPr="00D05EBD">
        <w:rPr>
          <w:rFonts w:cs="Times New Roman"/>
          <w:bCs/>
          <w:iCs/>
          <w:sz w:val="24"/>
          <w:szCs w:val="24"/>
        </w:rPr>
        <w:t xml:space="preserve">Priming has also been successfully used to prime emotion regulation. </w:t>
      </w:r>
      <w:r w:rsidR="00B06E70">
        <w:rPr>
          <w:rFonts w:cs="Times New Roman"/>
          <w:bCs/>
          <w:iCs/>
          <w:sz w:val="24"/>
          <w:szCs w:val="24"/>
        </w:rPr>
        <w:fldChar w:fldCharType="begin" w:fldLock="1"/>
      </w:r>
      <w:r w:rsidR="00A843B5">
        <w:rPr>
          <w:rFonts w:cs="Times New Roman"/>
          <w:bCs/>
          <w:iCs/>
          <w:sz w:val="24"/>
          <w:szCs w:val="24"/>
        </w:rPr>
        <w:instrText>ADDIN CSL_CITATION { "citationItems" : [ { "id" : "ITEM-1", "itemData" : { "DOI" : "10.1037/a0017745", "ISBN" : "1931-1516 (Electronic)\\n1528-3542 (Linking)", "ISSN" : "1528-3542", "PMID" : "20001127", "abstract" : "People often encounter difficulty when making conscious attempts to regulate their emotions. We propose that nonconscious self-regulatory processes may be of help in these difficult circumstances because nonconscious processes are not subject to the same set of limitations as are conscious processes. Two experiments examined the effects of nonconsciously operating goals on people\u2019s emotion regulatory success. In Experiment 1, participants engaged in an anxiety-eliciting task. Participants who had a reappraisal emotion control goal primed and operating nonconsciously achieved the same decrease in physiological reactivity as those explicitly instructed to reappraise. In Experiment 2, the effect of nonconscious reappraisal priming on physiological reactivity was shown to be most pronounced for those who do not habitually use reappraisal strategies. The findings highlight the potential importance of nonconscious goals for facilitating emotional control in complex real-world environments and have implications for contemporary models of emotion regulation. (PsycINFO Database Record (c) 2013 APA, all rights reserved). (journal abstract)", "author" : [ { "dropping-particle" : "", "family" : "Williams", "given" : "Lawrence E", "non-dropping-particle" : "", "parse-names" : false, "suffix" : "" }, { "dropping-particle" : "", "family" : "Bargh", "given" : "John A", "non-dropping-particle" : "", "parse-names" : false, "suffix" : "" }, { "dropping-particle" : "", "family" : "Nocera", "given" : "Christopher C", "non-dropping-particle" : "", "parse-names" : false, "suffix" : "" }, { "dropping-particle" : "", "family" : "Gray", "given" : "Jeremy R", "non-dropping-particle" : "", "parse-names" : false, "suffix" : "" } ], "container-title" : "Emotion", "id" : "ITEM-1", "issue" : "6", "issued" : { "date-parts" : [ [ "2009" ] ] }, "page" : "847-854", "title" : "The unconscious regulation of emotion: Nonconscious reappraisal goals modulate emotional reactivity.", "type" : "article-journal", "volume" : "9" }, "uris" : [ "http://www.mendeley.com/documents/?uuid=9e8eb5d9-0eec-37a9-9082-4a601649d12d" ] } ], "mendeley" : { "formattedCitation" : "(Williams et al., 2009)", "manualFormatting" : "(Williams et al., 2009", "plainTextFormattedCitation" : "(Williams et al., 2009)", "previouslyFormattedCitation" : "(Williams et al., 2009)" }, "properties" : { "noteIndex" : 0 }, "schema" : "https://github.com/citation-style-language/schema/raw/master/csl-citation.json" }</w:instrText>
      </w:r>
      <w:r w:rsidR="00B06E70">
        <w:rPr>
          <w:rFonts w:cs="Times New Roman"/>
          <w:bCs/>
          <w:iCs/>
          <w:sz w:val="24"/>
          <w:szCs w:val="24"/>
        </w:rPr>
        <w:fldChar w:fldCharType="separate"/>
      </w:r>
      <w:r w:rsidR="006F3474">
        <w:rPr>
          <w:rFonts w:cs="Times New Roman"/>
          <w:bCs/>
          <w:iCs/>
          <w:noProof/>
          <w:sz w:val="24"/>
          <w:szCs w:val="24"/>
        </w:rPr>
        <w:t>Williams et al.</w:t>
      </w:r>
      <w:r w:rsidR="00A843B5" w:rsidRPr="00A843B5">
        <w:rPr>
          <w:rFonts w:cs="Times New Roman"/>
          <w:bCs/>
          <w:iCs/>
          <w:noProof/>
          <w:sz w:val="24"/>
          <w:szCs w:val="24"/>
        </w:rPr>
        <w:t xml:space="preserve"> </w:t>
      </w:r>
      <w:r w:rsidR="006F3474">
        <w:rPr>
          <w:rFonts w:cs="Times New Roman"/>
          <w:bCs/>
          <w:iCs/>
          <w:noProof/>
          <w:sz w:val="24"/>
          <w:szCs w:val="24"/>
        </w:rPr>
        <w:t>(</w:t>
      </w:r>
      <w:r w:rsidR="00A843B5" w:rsidRPr="00A843B5">
        <w:rPr>
          <w:rFonts w:cs="Times New Roman"/>
          <w:bCs/>
          <w:iCs/>
          <w:noProof/>
          <w:sz w:val="24"/>
          <w:szCs w:val="24"/>
        </w:rPr>
        <w:t>2009</w:t>
      </w:r>
      <w:r w:rsidR="00B06E70">
        <w:rPr>
          <w:rFonts w:cs="Times New Roman"/>
          <w:bCs/>
          <w:iCs/>
          <w:sz w:val="24"/>
          <w:szCs w:val="24"/>
        </w:rPr>
        <w:fldChar w:fldCharType="end"/>
      </w:r>
      <w:r w:rsidR="00A843B5">
        <w:rPr>
          <w:rFonts w:cs="Times New Roman"/>
          <w:bCs/>
          <w:iCs/>
          <w:sz w:val="24"/>
          <w:szCs w:val="24"/>
        </w:rPr>
        <w:t>,</w:t>
      </w:r>
      <w:r w:rsidRPr="007304CF">
        <w:rPr>
          <w:rFonts w:cs="Times New Roman"/>
          <w:bCs/>
          <w:iCs/>
          <w:sz w:val="24"/>
          <w:szCs w:val="24"/>
        </w:rPr>
        <w:t xml:space="preserve"> Experiment 1) explored the use of reappraisal as an emotion regulation strategy. The experimenters primed one third of their participants with the goal to reappraise by asking them to unscramble (i.e. create a sentence from randomly ordered words) five neutral sentences and five sentences containing words or phrases related to reappraisal (</w:t>
      </w:r>
      <w:r w:rsidRPr="007304CF">
        <w:rPr>
          <w:rFonts w:cs="Times New Roman"/>
          <w:bCs/>
          <w:i/>
          <w:iCs/>
          <w:sz w:val="24"/>
          <w:szCs w:val="24"/>
        </w:rPr>
        <w:t>reassessed, perspective, appraised again, carefully analysed, strategy</w:t>
      </w:r>
      <w:r w:rsidRPr="007304CF">
        <w:rPr>
          <w:rFonts w:cs="Times New Roman"/>
          <w:bCs/>
          <w:iCs/>
          <w:sz w:val="24"/>
          <w:szCs w:val="24"/>
        </w:rPr>
        <w:t xml:space="preserve">).  Another third was explicitly told to reappraise by giving them a set of instructions where they were asked to </w:t>
      </w:r>
      <w:r w:rsidRPr="007304CF">
        <w:rPr>
          <w:rFonts w:cs="Times New Roman"/>
          <w:bCs/>
          <w:i/>
          <w:iCs/>
          <w:sz w:val="24"/>
          <w:szCs w:val="24"/>
        </w:rPr>
        <w:t>reassess the situation, adopt a neutral attitude, think objectively and emotionally detach themselves from the situation</w:t>
      </w:r>
      <w:r w:rsidRPr="007304CF">
        <w:rPr>
          <w:rFonts w:cs="Times New Roman"/>
          <w:bCs/>
          <w:iCs/>
          <w:sz w:val="24"/>
          <w:szCs w:val="24"/>
        </w:rPr>
        <w:t>. The remaining participants (control group) were neither primed nor explicitly told to reappraise. Then, all participants were exposed to a stressful task in which they had 3 minutes to mentally prepare a timed 2-minute oral speech which they were told was going to be graded on the quality of various aspects. The heart rate of all participants was measured during this task. The researchers found that the heart rate of participants primed to reappraise and of participants explicitly instructed to reappraise increased less than the heart rate of control participants, which indicated primed participants engaged in automatic use of reappraisal which help them manage their emotions better thus experiencing less stress. Williams and colleagues thereby demonstrated that it is possible to regulate emotional responses in an automatic way. However, they focused on intrapersonal ER (how people regulate their own emotions), rather than on interpersonal ER (how people regulate other peoples’ emotions).</w:t>
      </w:r>
      <w:r w:rsidRPr="00D05EBD">
        <w:rPr>
          <w:rFonts w:cs="Times New Roman"/>
          <w:bCs/>
          <w:iCs/>
          <w:sz w:val="24"/>
          <w:szCs w:val="24"/>
        </w:rPr>
        <w:t xml:space="preserve"> </w:t>
      </w:r>
    </w:p>
    <w:p w:rsidR="00FB1389" w:rsidRPr="002D5845" w:rsidRDefault="00FB1389" w:rsidP="002D5845">
      <w:pPr>
        <w:spacing w:line="480" w:lineRule="auto"/>
        <w:ind w:firstLine="709"/>
        <w:jc w:val="both"/>
        <w:rPr>
          <w:rFonts w:cs="Times New Roman"/>
          <w:sz w:val="24"/>
          <w:szCs w:val="24"/>
        </w:rPr>
      </w:pPr>
      <w:r w:rsidRPr="00D05EBD">
        <w:rPr>
          <w:rFonts w:cs="Times New Roman"/>
          <w:sz w:val="24"/>
          <w:szCs w:val="24"/>
        </w:rPr>
        <w:lastRenderedPageBreak/>
        <w:t xml:space="preserve">Beside priming being one of the most successful approaches for studying automaticity it is also important as people are likely constantly primed by things in their environment. For example, a study by </w:t>
      </w:r>
      <w:r w:rsidR="00B06E70">
        <w:rPr>
          <w:rFonts w:cs="Times New Roman"/>
          <w:sz w:val="24"/>
          <w:szCs w:val="24"/>
        </w:rPr>
        <w:fldChar w:fldCharType="begin" w:fldLock="1"/>
      </w:r>
      <w:r w:rsidR="00A843B5">
        <w:rPr>
          <w:rFonts w:cs="Times New Roman"/>
          <w:sz w:val="24"/>
          <w:szCs w:val="24"/>
        </w:rPr>
        <w:instrText>ADDIN CSL_CITATION { "citationItems" : [ { "id" : "ITEM-1", "itemData" : { "DOI" : "http://dx.doi.org/10.1177/1948550613486678", "ISSN" : "1948-5506", "abstract" : "This study examined the extent to which dreams of close others would predict subsequent waking experiences with those partners, suggesting a process for the effects of dreams parallel to findings on \"priming\" as observed in other contexts. Participants in committed relationships completed measures of attachment and relationship health (interdependence), followed by a 2-week diary of dream reports and interactions with their partners. Multilevel modeling results indicated (among other effects) that certain types of content (e.g., infidelity) and emotions (e.g., jealousy) in participants\u02bc dream reports were associated with less intimate feelings and more conflict with their partners on subsequent days. These associations were unidirectional and they remained significant while controlling for trait attachment styles, overall relationship heath, and the previous day\u02bcs activity, thus identifying for the first time a unique and important role for dreams in affecting relationship behaviors.", "author" : [ { "dropping-particle" : "", "family" : "Selterman", "given" : "Dylan F", "non-dropping-particle" : "", "parse-names" : false, "suffix" : "" }, { "dropping-particle" : "", "family" : "Apetroaia", "given" : "Adela I", "non-dropping-particle" : "", "parse-names" : false, "suffix" : "" }, { "dropping-particle" : "", "family" : "Riela", "given" : "Suzanne", "non-dropping-particle" : "", "parse-names" : false, "suffix" : "" }, { "dropping-particle" : "", "family" : "Aron", "given" : "Arthur", "non-dropping-particle" : "", "parse-names" : false, "suffix" : "" } ], "container-title" : "Social Psychological &amp; Personality Science", "id" : "ITEM-1", "issued" : { "date-parts" : [ [ "2013" ] ] }, "title" : "Dreaming of You", "type" : "article-journal" }, "uris" : [ "http://www.mendeley.com/documents/?uuid=01d98e45-0955-3c7a-b0ee-c293783ba715" ] } ], "mendeley" : { "formattedCitation" : "(Selterman, Apetroaia, Riela, &amp; Aron, 2013)", "manualFormatting" : "Selterman, Apetroaia, Riela, and Aron (2013)", "plainTextFormattedCitation" : "(Selterman, Apetroaia, Riela, &amp; Aron, 2013)", "previouslyFormattedCitation" : "(Selterman, Apetroaia, Riela, &amp; Aron, 2013)" }, "properties" : { "noteIndex" : 0 }, "schema" : "https://github.com/citation-style-language/schema/raw/master/csl-citation.json" }</w:instrText>
      </w:r>
      <w:r w:rsidR="00B06E70">
        <w:rPr>
          <w:rFonts w:cs="Times New Roman"/>
          <w:sz w:val="24"/>
          <w:szCs w:val="24"/>
        </w:rPr>
        <w:fldChar w:fldCharType="separate"/>
      </w:r>
      <w:r w:rsidR="00A843B5" w:rsidRPr="00A843B5">
        <w:rPr>
          <w:rFonts w:cs="Times New Roman"/>
          <w:noProof/>
          <w:sz w:val="24"/>
          <w:szCs w:val="24"/>
        </w:rPr>
        <w:t xml:space="preserve">Selterman, Apetroaia, Riela, </w:t>
      </w:r>
      <w:r w:rsidR="00A843B5">
        <w:rPr>
          <w:rFonts w:cs="Times New Roman"/>
          <w:noProof/>
          <w:sz w:val="24"/>
          <w:szCs w:val="24"/>
        </w:rPr>
        <w:t>and</w:t>
      </w:r>
      <w:r w:rsidR="00A843B5" w:rsidRPr="00A843B5">
        <w:rPr>
          <w:rFonts w:cs="Times New Roman"/>
          <w:noProof/>
          <w:sz w:val="24"/>
          <w:szCs w:val="24"/>
        </w:rPr>
        <w:t xml:space="preserve"> </w:t>
      </w:r>
      <w:r w:rsidR="00A843B5">
        <w:rPr>
          <w:rFonts w:cs="Times New Roman"/>
          <w:noProof/>
          <w:sz w:val="24"/>
          <w:szCs w:val="24"/>
        </w:rPr>
        <w:t>Aron</w:t>
      </w:r>
      <w:r w:rsidR="00A843B5" w:rsidRPr="00A843B5">
        <w:rPr>
          <w:rFonts w:cs="Times New Roman"/>
          <w:noProof/>
          <w:sz w:val="24"/>
          <w:szCs w:val="24"/>
        </w:rPr>
        <w:t xml:space="preserve"> </w:t>
      </w:r>
      <w:r w:rsidR="00A843B5">
        <w:rPr>
          <w:rFonts w:cs="Times New Roman"/>
          <w:noProof/>
          <w:sz w:val="24"/>
          <w:szCs w:val="24"/>
        </w:rPr>
        <w:t>(</w:t>
      </w:r>
      <w:r w:rsidR="00A843B5" w:rsidRPr="00A843B5">
        <w:rPr>
          <w:rFonts w:cs="Times New Roman"/>
          <w:noProof/>
          <w:sz w:val="24"/>
          <w:szCs w:val="24"/>
        </w:rPr>
        <w:t>2013)</w:t>
      </w:r>
      <w:r w:rsidR="00B06E70">
        <w:rPr>
          <w:rFonts w:cs="Times New Roman"/>
          <w:sz w:val="24"/>
          <w:szCs w:val="24"/>
        </w:rPr>
        <w:fldChar w:fldCharType="end"/>
      </w:r>
      <w:r w:rsidRPr="00D05EBD">
        <w:rPr>
          <w:rFonts w:cs="Times New Roman"/>
          <w:sz w:val="24"/>
          <w:szCs w:val="24"/>
        </w:rPr>
        <w:t xml:space="preserve"> exploring the effects of dreams on subsequent social behaviour (i.e.</w:t>
      </w:r>
      <w:r w:rsidR="00083A8C">
        <w:rPr>
          <w:rFonts w:cs="Times New Roman"/>
          <w:sz w:val="24"/>
          <w:szCs w:val="24"/>
        </w:rPr>
        <w:t>,</w:t>
      </w:r>
      <w:r w:rsidRPr="00D05EBD">
        <w:rPr>
          <w:rFonts w:cs="Times New Roman"/>
          <w:sz w:val="24"/>
          <w:szCs w:val="24"/>
        </w:rPr>
        <w:t xml:space="preserve"> with romantic partners) suggested that dreams influence people’s behaviour in a similar way as priming does. </w:t>
      </w:r>
      <w:proofErr w:type="spellStart"/>
      <w:r w:rsidRPr="00D05EBD">
        <w:rPr>
          <w:rFonts w:cs="Times New Roman"/>
          <w:sz w:val="24"/>
          <w:szCs w:val="24"/>
        </w:rPr>
        <w:t>Selterman</w:t>
      </w:r>
      <w:proofErr w:type="spellEnd"/>
      <w:r w:rsidRPr="00D05EBD">
        <w:rPr>
          <w:rFonts w:cs="Times New Roman"/>
          <w:sz w:val="24"/>
          <w:szCs w:val="24"/>
        </w:rPr>
        <w:t xml:space="preserve"> and colleagues asked their participants to keep a diary for 14 days where they reported their dreams along with their daily social activity. After analysing the content of the participant’s dreams and of their daily social activity, the researchers found that dreams with jealousy and infidelity content led participants to experience less intimate feelings and to have more conflict with their partners. This study suggests that dreams can prime people’s behaviour, in that as participants recalled their dreams, the social content of the dream was made available in a way similar to priming, thus affecting the subsequent behaviour participants had with their partners. Another phenomenon that illustrates that diverse factors in the environment can influenc</w:t>
      </w:r>
      <w:r w:rsidR="00050824">
        <w:rPr>
          <w:rFonts w:cs="Times New Roman"/>
          <w:sz w:val="24"/>
          <w:szCs w:val="24"/>
        </w:rPr>
        <w:t>e people’s behaviour is what Weg</w:t>
      </w:r>
      <w:r w:rsidRPr="00D05EBD">
        <w:rPr>
          <w:rFonts w:cs="Times New Roman"/>
          <w:sz w:val="24"/>
          <w:szCs w:val="24"/>
        </w:rPr>
        <w:t xml:space="preserve">ner called </w:t>
      </w:r>
      <w:r w:rsidRPr="00D05EBD">
        <w:rPr>
          <w:sz w:val="24"/>
          <w:szCs w:val="24"/>
        </w:rPr>
        <w:t xml:space="preserve">the ironic process model </w:t>
      </w:r>
      <w:r w:rsidR="00B06E70">
        <w:rPr>
          <w:sz w:val="24"/>
          <w:szCs w:val="24"/>
        </w:rPr>
        <w:fldChar w:fldCharType="begin" w:fldLock="1"/>
      </w:r>
      <w:r w:rsidR="00715735">
        <w:rPr>
          <w:sz w:val="24"/>
          <w:szCs w:val="24"/>
        </w:rPr>
        <w:instrText>ADDIN CSL_CITATION { "citationItems" : [ { "id" : "ITEM-1", "itemData" : { "DOI" : "10.1037/0033-295X.101.1.34", "ISBN" : "0033-295X (Print)\\n0033-295x", "ISSN" : "0033-295X", "PMID" : "8121959", "abstract" : "A theory of ironic processes of mental control is proposed to account for the intentional and counterintentional effects that result from efforts at self-control of mental states. The theory holds that an attempt to control the mind introduces 2 processes: (a) an operating process that promotes the intended change by searching for mental contents consistent with the intended state and (b) a monitoring process that tests whether the operating process is needed by searching for mental contents inconsistent with the intended state. The operating process requires greater cognitive capacity and normally has more pronounced cognitive effects than the monitoring process, and the 2 working together thus promote whatever degree of mental control is enjoyed. Under conditions that reduce capacity, however, the monitoring process may supersede the operating process and thus enhance the person's sensitivity to mental contents that are the ironic opposite of those that are intended.", "author" : [ { "dropping-particle" : "", "family" : "Wegner", "given" : "D M", "non-dropping-particle" : "", "parse-names" : false, "suffix" : "" } ], "container-title" : "Psychological review", "id" : "ITEM-1", "issue" : "1", "issued" : { "date-parts" : [ [ "1994" ] ] }, "page" : "34-52", "title" : "Ironic processes of mental control.", "type" : "article-journal", "volume" : "101" }, "uris" : [ "http://www.mendeley.com/documents/?uuid=36dce93f-5875-3e47-99bb-df401752bf01" ] } ], "mendeley" : { "formattedCitation" : "(Wegner, 1994)", "plainTextFormattedCitation" : "(Wegner, 1994)", "previouslyFormattedCitation" : "(Wegner, 1994)" }, "properties" : { "noteIndex" : 0 }, "schema" : "https://github.com/citation-style-language/schema/raw/master/csl-citation.json" }</w:instrText>
      </w:r>
      <w:r w:rsidR="00B06E70">
        <w:rPr>
          <w:sz w:val="24"/>
          <w:szCs w:val="24"/>
        </w:rPr>
        <w:fldChar w:fldCharType="separate"/>
      </w:r>
      <w:r w:rsidR="00A843B5" w:rsidRPr="00A843B5">
        <w:rPr>
          <w:noProof/>
          <w:sz w:val="24"/>
          <w:szCs w:val="24"/>
        </w:rPr>
        <w:t>(Wegner, 1994)</w:t>
      </w:r>
      <w:r w:rsidR="00B06E70">
        <w:rPr>
          <w:sz w:val="24"/>
          <w:szCs w:val="24"/>
        </w:rPr>
        <w:fldChar w:fldCharType="end"/>
      </w:r>
      <w:r w:rsidRPr="00D05EBD">
        <w:rPr>
          <w:sz w:val="24"/>
          <w:szCs w:val="24"/>
        </w:rPr>
        <w:t xml:space="preserve">. In the ironic process model, the mere thought of not wanting to do or to say something causes people to actually do it more often (especially when people do not have attentional resources). Importantly, this increment in the occurrence of the thing one wants to avoid thinking of or doing occurs automatically. </w:t>
      </w:r>
      <w:r w:rsidR="002B002D">
        <w:rPr>
          <w:sz w:val="24"/>
          <w:szCs w:val="24"/>
        </w:rPr>
        <w:t>To sum up, the previous paragraphs have introduced what is priming, the types of priming, how it works and how things naturally occurring in the environment could prime people’s be</w:t>
      </w:r>
      <w:r w:rsidR="00050824">
        <w:rPr>
          <w:sz w:val="24"/>
          <w:szCs w:val="24"/>
        </w:rPr>
        <w:t>haviours. It has also introduced</w:t>
      </w:r>
      <w:r w:rsidR="002B002D">
        <w:rPr>
          <w:sz w:val="24"/>
          <w:szCs w:val="24"/>
        </w:rPr>
        <w:t xml:space="preserve"> some techniques used to prime </w:t>
      </w:r>
      <w:r w:rsidR="00A52BD2">
        <w:rPr>
          <w:sz w:val="24"/>
          <w:szCs w:val="24"/>
        </w:rPr>
        <w:t>participants</w:t>
      </w:r>
      <w:r w:rsidR="002B002D">
        <w:rPr>
          <w:sz w:val="24"/>
          <w:szCs w:val="24"/>
        </w:rPr>
        <w:t>, one of them being the</w:t>
      </w:r>
      <w:r w:rsidR="00272E3C">
        <w:rPr>
          <w:sz w:val="24"/>
          <w:szCs w:val="24"/>
        </w:rPr>
        <w:t xml:space="preserve"> Scrambled Sentence Task</w:t>
      </w:r>
      <w:r w:rsidR="002B002D">
        <w:rPr>
          <w:sz w:val="24"/>
          <w:szCs w:val="24"/>
        </w:rPr>
        <w:t xml:space="preserve"> (SST). In the next section the SST</w:t>
      </w:r>
      <w:r w:rsidR="00272E3C">
        <w:rPr>
          <w:sz w:val="24"/>
          <w:szCs w:val="24"/>
        </w:rPr>
        <w:t xml:space="preserve"> will be </w:t>
      </w:r>
      <w:r w:rsidR="002B002D">
        <w:rPr>
          <w:sz w:val="24"/>
          <w:szCs w:val="24"/>
        </w:rPr>
        <w:t>explained</w:t>
      </w:r>
      <w:r w:rsidR="00272E3C">
        <w:rPr>
          <w:sz w:val="24"/>
          <w:szCs w:val="24"/>
        </w:rPr>
        <w:t xml:space="preserve"> in more </w:t>
      </w:r>
      <w:r w:rsidR="00272E3C">
        <w:rPr>
          <w:sz w:val="24"/>
          <w:szCs w:val="24"/>
        </w:rPr>
        <w:lastRenderedPageBreak/>
        <w:t>detail</w:t>
      </w:r>
      <w:r w:rsidR="002B002D">
        <w:rPr>
          <w:sz w:val="24"/>
          <w:szCs w:val="24"/>
        </w:rPr>
        <w:t xml:space="preserve"> and it will be introduced as the priming task used in the empirical studies conducted in the present chapter. </w:t>
      </w:r>
    </w:p>
    <w:p w:rsidR="00FB1389" w:rsidRPr="00D05EBD" w:rsidRDefault="002F11A3" w:rsidP="00AE640B">
      <w:pPr>
        <w:spacing w:line="480" w:lineRule="auto"/>
        <w:ind w:firstLine="720"/>
        <w:jc w:val="both"/>
        <w:rPr>
          <w:rFonts w:cs="Times New Roman"/>
          <w:b/>
          <w:bCs/>
          <w:iCs/>
          <w:sz w:val="24"/>
          <w:szCs w:val="24"/>
          <w:lang w:val="en-US"/>
        </w:rPr>
      </w:pPr>
      <w:r>
        <w:rPr>
          <w:rFonts w:cs="Times New Roman"/>
          <w:b/>
          <w:bCs/>
          <w:iCs/>
          <w:sz w:val="24"/>
          <w:szCs w:val="24"/>
          <w:lang w:val="en-US"/>
        </w:rPr>
        <w:t>3.2</w:t>
      </w:r>
      <w:r w:rsidR="00FB1389" w:rsidRPr="00D05EBD">
        <w:rPr>
          <w:rFonts w:cs="Times New Roman"/>
          <w:b/>
          <w:bCs/>
          <w:iCs/>
          <w:sz w:val="24"/>
          <w:szCs w:val="24"/>
          <w:lang w:val="en-US"/>
        </w:rPr>
        <w:t>.1 Scrambled Sentence Task</w:t>
      </w:r>
    </w:p>
    <w:p w:rsidR="00FB1389" w:rsidRPr="00D05EBD" w:rsidRDefault="00FB1389" w:rsidP="00AE640B">
      <w:pPr>
        <w:spacing w:line="480" w:lineRule="auto"/>
        <w:ind w:firstLine="720"/>
        <w:jc w:val="both"/>
        <w:rPr>
          <w:rFonts w:cs="Times New Roman"/>
          <w:bCs/>
          <w:iCs/>
          <w:sz w:val="24"/>
          <w:szCs w:val="24"/>
        </w:rPr>
      </w:pPr>
      <w:r w:rsidRPr="00D05EBD">
        <w:rPr>
          <w:rFonts w:cs="Times New Roman"/>
          <w:bCs/>
          <w:iCs/>
          <w:sz w:val="24"/>
          <w:szCs w:val="24"/>
          <w:lang w:val="en-US"/>
        </w:rPr>
        <w:t>One popular priming technique is the</w:t>
      </w:r>
      <w:r w:rsidRPr="00D05EBD">
        <w:rPr>
          <w:rFonts w:cs="Times New Roman"/>
          <w:bCs/>
          <w:iCs/>
          <w:sz w:val="24"/>
          <w:szCs w:val="24"/>
        </w:rPr>
        <w:t xml:space="preserve"> Scrambled Sentence Task (SST). It was originally developed by </w:t>
      </w:r>
      <w:proofErr w:type="spellStart"/>
      <w:r w:rsidRPr="00D05EBD">
        <w:rPr>
          <w:rFonts w:cs="Times New Roman"/>
          <w:bCs/>
          <w:iCs/>
          <w:sz w:val="24"/>
          <w:szCs w:val="24"/>
        </w:rPr>
        <w:t>Srull</w:t>
      </w:r>
      <w:proofErr w:type="spellEnd"/>
      <w:r w:rsidRPr="00D05EBD">
        <w:rPr>
          <w:rFonts w:cs="Times New Roman"/>
          <w:bCs/>
          <w:iCs/>
          <w:sz w:val="24"/>
          <w:szCs w:val="24"/>
        </w:rPr>
        <w:t xml:space="preserve"> and </w:t>
      </w:r>
      <w:proofErr w:type="spellStart"/>
      <w:r w:rsidRPr="00D05EBD">
        <w:rPr>
          <w:rFonts w:cs="Times New Roman"/>
          <w:bCs/>
          <w:iCs/>
          <w:sz w:val="24"/>
          <w:szCs w:val="24"/>
        </w:rPr>
        <w:t>Wyer</w:t>
      </w:r>
      <w:proofErr w:type="spellEnd"/>
      <w:r w:rsidRPr="00D05EBD">
        <w:rPr>
          <w:rFonts w:cs="Times New Roman"/>
          <w:bCs/>
          <w:iCs/>
          <w:sz w:val="24"/>
          <w:szCs w:val="24"/>
        </w:rPr>
        <w:t xml:space="preserve"> in 1979 and since then it has been demonstrated to work as an effective priming technique on a wide range of behaviours. As mentioned in the previous section</w:t>
      </w:r>
      <w:r w:rsidR="00B4650D">
        <w:rPr>
          <w:rFonts w:cs="Times New Roman"/>
          <w:bCs/>
          <w:iCs/>
          <w:sz w:val="24"/>
          <w:szCs w:val="24"/>
        </w:rPr>
        <w:t>,</w:t>
      </w:r>
      <w:r w:rsidRPr="00D05EBD">
        <w:rPr>
          <w:rFonts w:cs="Times New Roman"/>
          <w:bCs/>
          <w:iCs/>
          <w:sz w:val="24"/>
          <w:szCs w:val="24"/>
        </w:rPr>
        <w:t xml:space="preserve"> Bargh et al. (1996) used it to prime </w:t>
      </w:r>
      <w:r w:rsidR="00B4650D">
        <w:rPr>
          <w:rFonts w:cs="Times New Roman"/>
          <w:bCs/>
          <w:iCs/>
          <w:sz w:val="24"/>
          <w:szCs w:val="24"/>
        </w:rPr>
        <w:t>rudeness</w:t>
      </w:r>
      <w:r w:rsidRPr="00D05EBD">
        <w:rPr>
          <w:rFonts w:cs="Times New Roman"/>
          <w:bCs/>
          <w:iCs/>
          <w:sz w:val="24"/>
          <w:szCs w:val="24"/>
        </w:rPr>
        <w:t xml:space="preserve">. </w:t>
      </w:r>
      <w:r w:rsidR="00B4650D">
        <w:rPr>
          <w:rFonts w:cs="Times New Roman"/>
          <w:bCs/>
          <w:iCs/>
          <w:sz w:val="24"/>
          <w:szCs w:val="24"/>
        </w:rPr>
        <w:t xml:space="preserve">In another study, </w:t>
      </w:r>
      <w:r w:rsidR="00B06E70">
        <w:rPr>
          <w:rFonts w:cs="Times New Roman"/>
          <w:bCs/>
          <w:iCs/>
          <w:sz w:val="24"/>
          <w:szCs w:val="24"/>
        </w:rPr>
        <w:fldChar w:fldCharType="begin" w:fldLock="1"/>
      </w:r>
      <w:r w:rsidR="00715735">
        <w:rPr>
          <w:rFonts w:cs="Times New Roman"/>
          <w:bCs/>
          <w:iCs/>
          <w:sz w:val="24"/>
          <w:szCs w:val="24"/>
        </w:rPr>
        <w:instrText>ADDIN CSL_CITATION { "citationItems" : [ { "id" : "ITEM-1", "itemData" : { "ISBN" : "0022-3514", "abstract" : "According to the auto-motive model (J. A. Bargh, 1990), intentions and goals are represented men-tally and, as representations, should be capable of nonconscious activation by the environmental context (i.e., \"priming\"). To test this hypothesis, the authors replicated 2 well-known experiments that had demonstrated differential effects of varying the information-processing goal (impression formation or memorization) on processing the identical behavioral information. However, instead of giving participants the goals via explicit instructions, as had been done in the original studies, the authors primed the impression formation or memorization goal. In both cases, the original pattern of results was reproduced. The findings thus support the hypothesis that the effect of activated goals is the same whether the activation is nonconscious or through an act of will. One's current intentions and goals affect not only what one considers important enough to pay attention to, but also how one uses, interprets, and subsequently remembers that informa-tion. Although that is a noncontroversial statement today, it was a radical departure from the dominant view of perception when Bruner and Postman (1948) originally proposed it. To claim that motivation influences perception was a major break with the then-dominant view that perception and judgment were en-tirely stimulus-driven (Stevens, 1951). The result of their claim that needs and motivations influence perception was the \"New Look\"--a flood of studies demonstrating that an individual's goals greatly influence which information the individual at-tends to and perceives in the environment, as well as how he or she interprets and remembers that information (Allport, 1955; Bruner, 1951, 1957). Jones and Thibaut (1958) subsequently introduced this idea to the domain of social perception, describ-ing the influence that various potential interaction goals might have on selective attention to and use of information about one's interaction partner. After a period in which motivational and cognitive accounts of phenomena were viewed as mutually exclusive and compet-ing instead of complementary and interdependent (see Goll-witzer &amp; Bargh, 1996; Sorrentino &amp; Higgins, 1986b), there re-cently has been a significant advance in theory and research on the motivation", "author" : [ { "dropping-particle" : "", "family" : "Chartrand", "given" : "L Tanya", "non-dropping-particle" : "", "parse-names" : false, "suffix" : "" }, { "dropping-particle" : "", "family" : "Bargh", "given" : "A John", "non-dropping-particle" : "", "parse-names" : false, "suffix" : "" } ], "container-title" : "Journal of Personality and Social Psychology", "id" : "ITEM-1", "issue" : "3", "issued" : { "date-parts" : [ [ "1996" ] ] }, "page" : "464-478", "publisher" : "Goilwitzer &amp; Moskowitz Higgins", "title" : "Automatic Activation of Impression Formation and Memorization Goals: Nonconscious Goal Priming Reproduces Effects of Explicit Task Instructions", "type" : "article-journal", "volume" : "71" }, "uris" : [ "http://www.mendeley.com/documents/?uuid=1ebf09d9-4461-31ae-b5ce-d61d0393c53b" ] } ], "mendeley" : { "formattedCitation" : "(L. T. Chartrand &amp; Bargh, 1996)", "manualFormatting" : "Chartrand and Bargh (1996", "plainTextFormattedCitation" : "(L. T. Chartrand &amp; Bargh, 1996)", "previouslyFormattedCitation" : "(L. T. Chartrand &amp; Bargh, 1996)" }, "properties" : { "noteIndex" : 0 }, "schema" : "https://github.com/citation-style-language/schema/raw/master/csl-citation.json" }</w:instrText>
      </w:r>
      <w:r w:rsidR="00B06E70">
        <w:rPr>
          <w:rFonts w:cs="Times New Roman"/>
          <w:bCs/>
          <w:iCs/>
          <w:sz w:val="24"/>
          <w:szCs w:val="24"/>
        </w:rPr>
        <w:fldChar w:fldCharType="separate"/>
      </w:r>
      <w:r w:rsidR="00715735">
        <w:rPr>
          <w:rFonts w:cs="Times New Roman"/>
          <w:bCs/>
          <w:iCs/>
          <w:noProof/>
          <w:sz w:val="24"/>
          <w:szCs w:val="24"/>
        </w:rPr>
        <w:t>Chartrand and Bargh</w:t>
      </w:r>
      <w:r w:rsidR="00715735" w:rsidRPr="00715735">
        <w:rPr>
          <w:rFonts w:cs="Times New Roman"/>
          <w:bCs/>
          <w:iCs/>
          <w:noProof/>
          <w:sz w:val="24"/>
          <w:szCs w:val="24"/>
        </w:rPr>
        <w:t xml:space="preserve"> </w:t>
      </w:r>
      <w:r w:rsidR="00715735">
        <w:rPr>
          <w:rFonts w:cs="Times New Roman"/>
          <w:bCs/>
          <w:iCs/>
          <w:noProof/>
          <w:sz w:val="24"/>
          <w:szCs w:val="24"/>
        </w:rPr>
        <w:t>(</w:t>
      </w:r>
      <w:r w:rsidR="00715735" w:rsidRPr="00715735">
        <w:rPr>
          <w:rFonts w:cs="Times New Roman"/>
          <w:bCs/>
          <w:iCs/>
          <w:noProof/>
          <w:sz w:val="24"/>
          <w:szCs w:val="24"/>
        </w:rPr>
        <w:t>1996</w:t>
      </w:r>
      <w:r w:rsidR="00B06E70">
        <w:rPr>
          <w:rFonts w:cs="Times New Roman"/>
          <w:bCs/>
          <w:iCs/>
          <w:sz w:val="24"/>
          <w:szCs w:val="24"/>
        </w:rPr>
        <w:fldChar w:fldCharType="end"/>
      </w:r>
      <w:r w:rsidR="00715735">
        <w:rPr>
          <w:rFonts w:cs="Times New Roman"/>
          <w:bCs/>
          <w:iCs/>
          <w:sz w:val="24"/>
          <w:szCs w:val="24"/>
        </w:rPr>
        <w:t>,</w:t>
      </w:r>
      <w:r w:rsidRPr="00D05EBD">
        <w:rPr>
          <w:rFonts w:cs="Times New Roman"/>
          <w:bCs/>
          <w:iCs/>
          <w:sz w:val="24"/>
          <w:szCs w:val="24"/>
        </w:rPr>
        <w:t xml:space="preserve"> Experiment 1) used the SST to prime participants with the goal of memorization or impression formation. Participants were assigned to either the impression formation condition (unscrambling sentences that included words such as </w:t>
      </w:r>
      <w:r w:rsidRPr="00D05EBD">
        <w:rPr>
          <w:rFonts w:cs="Times New Roman"/>
          <w:bCs/>
          <w:i/>
          <w:iCs/>
          <w:sz w:val="24"/>
          <w:szCs w:val="24"/>
        </w:rPr>
        <w:t xml:space="preserve">opinion, personality, evaluate </w:t>
      </w:r>
      <w:r w:rsidRPr="00D05EBD">
        <w:rPr>
          <w:rFonts w:cs="Times New Roman"/>
          <w:bCs/>
          <w:iCs/>
          <w:sz w:val="24"/>
          <w:szCs w:val="24"/>
        </w:rPr>
        <w:t>and</w:t>
      </w:r>
      <w:r w:rsidRPr="00D05EBD">
        <w:rPr>
          <w:rFonts w:cs="Times New Roman"/>
          <w:bCs/>
          <w:i/>
          <w:iCs/>
          <w:sz w:val="24"/>
          <w:szCs w:val="24"/>
        </w:rPr>
        <w:t xml:space="preserve"> impression</w:t>
      </w:r>
      <w:r w:rsidRPr="00D05EBD">
        <w:rPr>
          <w:rFonts w:cs="Times New Roman"/>
          <w:bCs/>
          <w:iCs/>
          <w:sz w:val="24"/>
          <w:szCs w:val="24"/>
        </w:rPr>
        <w:t xml:space="preserve">) or to the memorize condition (unscrambling sentences that included words such as </w:t>
      </w:r>
      <w:r w:rsidRPr="00D05EBD">
        <w:rPr>
          <w:rFonts w:cs="Times New Roman"/>
          <w:bCs/>
          <w:i/>
          <w:iCs/>
          <w:sz w:val="24"/>
          <w:szCs w:val="24"/>
        </w:rPr>
        <w:t>absorb, remember, retain,</w:t>
      </w:r>
      <w:r w:rsidRPr="00D05EBD">
        <w:rPr>
          <w:rFonts w:cs="Times New Roman"/>
          <w:bCs/>
          <w:iCs/>
          <w:sz w:val="24"/>
          <w:szCs w:val="24"/>
        </w:rPr>
        <w:t xml:space="preserve"> and </w:t>
      </w:r>
      <w:r w:rsidRPr="00D05EBD">
        <w:rPr>
          <w:rFonts w:cs="Times New Roman"/>
          <w:bCs/>
          <w:i/>
          <w:iCs/>
          <w:sz w:val="24"/>
          <w:szCs w:val="24"/>
        </w:rPr>
        <w:t>memory</w:t>
      </w:r>
      <w:r w:rsidRPr="00D05EBD">
        <w:rPr>
          <w:rFonts w:cs="Times New Roman"/>
          <w:bCs/>
          <w:iCs/>
          <w:sz w:val="24"/>
          <w:szCs w:val="24"/>
        </w:rPr>
        <w:t>)</w:t>
      </w:r>
      <w:r w:rsidRPr="00D05EBD">
        <w:rPr>
          <w:rFonts w:cs="Times New Roman"/>
          <w:bCs/>
          <w:i/>
          <w:iCs/>
          <w:sz w:val="24"/>
          <w:szCs w:val="24"/>
        </w:rPr>
        <w:t xml:space="preserve">. </w:t>
      </w:r>
      <w:r w:rsidRPr="00D05EBD">
        <w:rPr>
          <w:rFonts w:cs="Times New Roman"/>
          <w:bCs/>
          <w:iCs/>
          <w:sz w:val="24"/>
          <w:szCs w:val="24"/>
        </w:rPr>
        <w:t xml:space="preserve">Then participants were asked to read 24 sentences which belonged to 4 different categories (six sentences per category): social/interpersonal, athletic, intelligent and religious. The sentence categories were </w:t>
      </w:r>
      <w:r w:rsidR="00E81FB0" w:rsidRPr="00D05EBD">
        <w:rPr>
          <w:rFonts w:cs="Times New Roman"/>
          <w:bCs/>
          <w:iCs/>
          <w:sz w:val="24"/>
          <w:szCs w:val="24"/>
        </w:rPr>
        <w:t>mixed.</w:t>
      </w:r>
      <w:r w:rsidRPr="00D05EBD">
        <w:rPr>
          <w:rFonts w:cs="Times New Roman"/>
          <w:bCs/>
          <w:iCs/>
          <w:sz w:val="24"/>
          <w:szCs w:val="24"/>
        </w:rPr>
        <w:t xml:space="preserve"> As a filler task, participants were asked to discuss three controversial topics. Finally, participants were asked to recall as much information about the sentences as possible within a time limit of 4 minutes. The researchers found that the participants primed with the goal of impression formation were able to recall more behavioural information and clustered more of the sentences into their categories than those primed to memorise. These experiments show that the SST is an effective tool to prime goals and </w:t>
      </w:r>
      <w:r w:rsidR="008757FD">
        <w:rPr>
          <w:rFonts w:cs="Times New Roman"/>
          <w:bCs/>
          <w:iCs/>
          <w:sz w:val="24"/>
          <w:szCs w:val="24"/>
        </w:rPr>
        <w:t xml:space="preserve">behavioural </w:t>
      </w:r>
      <w:r w:rsidRPr="00D05EBD">
        <w:rPr>
          <w:rFonts w:cs="Times New Roman"/>
          <w:bCs/>
          <w:iCs/>
          <w:sz w:val="24"/>
          <w:szCs w:val="24"/>
        </w:rPr>
        <w:t xml:space="preserve">traits. </w:t>
      </w:r>
    </w:p>
    <w:p w:rsidR="00FB1389" w:rsidRPr="00D05EBD" w:rsidRDefault="00FB1389" w:rsidP="00AE640B">
      <w:pPr>
        <w:spacing w:line="480" w:lineRule="auto"/>
        <w:ind w:firstLine="720"/>
        <w:jc w:val="both"/>
        <w:rPr>
          <w:sz w:val="24"/>
          <w:szCs w:val="24"/>
        </w:rPr>
      </w:pPr>
      <w:r w:rsidRPr="00D05EBD">
        <w:rPr>
          <w:rFonts w:cs="Times New Roman"/>
          <w:bCs/>
          <w:iCs/>
          <w:sz w:val="24"/>
          <w:szCs w:val="24"/>
          <w:lang w:val="en-US"/>
        </w:rPr>
        <w:t>The present chapter investigates in</w:t>
      </w:r>
      <w:r w:rsidRPr="00D05EBD">
        <w:rPr>
          <w:rFonts w:cs="Times New Roman"/>
          <w:bCs/>
          <w:iCs/>
          <w:sz w:val="24"/>
          <w:szCs w:val="24"/>
        </w:rPr>
        <w:t xml:space="preserve"> 3 studies whether it is possible to prime worsening IER via the SST. The choice of priming worsening IER was due to the fact that </w:t>
      </w:r>
      <w:r w:rsidRPr="00D05EBD">
        <w:rPr>
          <w:rFonts w:cs="Times New Roman"/>
          <w:bCs/>
          <w:iCs/>
          <w:sz w:val="24"/>
          <w:szCs w:val="24"/>
        </w:rPr>
        <w:lastRenderedPageBreak/>
        <w:t>in Study 1 (Chapter 2) automatic worsening IER could not be observed, despite the fact t</w:t>
      </w:r>
      <w:r w:rsidR="00B4650D">
        <w:rPr>
          <w:rFonts w:cs="Times New Roman"/>
          <w:bCs/>
          <w:iCs/>
          <w:sz w:val="24"/>
          <w:szCs w:val="24"/>
        </w:rPr>
        <w:t>hat there is evidence that suggests</w:t>
      </w:r>
      <w:r w:rsidRPr="00D05EBD">
        <w:rPr>
          <w:rFonts w:cs="Times New Roman"/>
          <w:bCs/>
          <w:iCs/>
          <w:sz w:val="24"/>
          <w:szCs w:val="24"/>
        </w:rPr>
        <w:t xml:space="preserve"> that people also use worsening </w:t>
      </w:r>
      <w:r w:rsidR="00B4650D">
        <w:rPr>
          <w:rFonts w:cs="Times New Roman"/>
          <w:bCs/>
          <w:iCs/>
          <w:sz w:val="24"/>
          <w:szCs w:val="24"/>
        </w:rPr>
        <w:t>interpersonal behaviours</w:t>
      </w:r>
      <w:r w:rsidRPr="00D05EBD">
        <w:rPr>
          <w:rFonts w:cs="Times New Roman"/>
          <w:bCs/>
          <w:iCs/>
          <w:sz w:val="24"/>
          <w:szCs w:val="24"/>
        </w:rPr>
        <w:t xml:space="preserve"> automatically </w:t>
      </w:r>
      <w:r w:rsidR="00B06E70">
        <w:rPr>
          <w:rFonts w:cs="Times New Roman"/>
          <w:bCs/>
          <w:iCs/>
          <w:sz w:val="24"/>
          <w:szCs w:val="24"/>
        </w:rPr>
        <w:fldChar w:fldCharType="begin" w:fldLock="1"/>
      </w:r>
      <w:r w:rsidR="00A5797A">
        <w:rPr>
          <w:rFonts w:cs="Times New Roman"/>
          <w:bCs/>
          <w:iCs/>
          <w:sz w:val="24"/>
          <w:szCs w:val="24"/>
        </w:rPr>
        <w:instrText>ADDIN CSL_CITATION { "citationItems" : [ { "id" : "ITEM-1", "itemData" : { "DOI" : "10.1037/0022-3514.71.2.230", "ISBN" : "0022-3514\\n1939-1315", "ISSN" : "0022-3514", "PMID" : "8765481", "abstract" : "Previous research has shown that trait concepts and stereotype become active automatically in the presence of relevant behavior or stereotyped-group features. Through the use of the same priming procedures as in previous impression formation research, Experiment 1 showed that participants whose concept of rudeness was printed interrupted the experimenter more quickly and frequently than did participants primed with polite-related stimuli. In Experiment 2, participants for whom an elderly stereotype was primed walked more slowly down the hallway when leaving the experiment than did control participants, consistent with the content of that stereotype. In Experiment 3, participants for whom the African American stereotype was primed subliminally reacted with more hostility to a vexatious request of the experimenter. Implications of this automatic behavior priming effect for self-fulfilling prophecies are discussed, as is whether social behavior is necessarily mediated by conscious choice processes.", "author" : [ { "dropping-particle" : "", "family" : "Bargh", "given" : "John A.", "non-dropping-particle" : "", "parse-names" : false, "suffix" : "" }, { "dropping-particle" : "", "family" : "Chen", "given" : "Mark", "non-dropping-particle" : "", "parse-names" : false, "suffix" : "" }, { "dropping-particle" : "", "family" : "Burrows", "given" : "Lara", "non-dropping-particle" : "", "parse-names" : false, "suffix" : "" } ], "container-title" : "Journal of personality and social psychology", "id" : "ITEM-1", "issue" : "2", "issued" : { "date-parts" : [ [ "1996" ] ] }, "page" : "230-244", "title" : "Automaticity of social behavior: Direct effects of trait construct and stereotype-activation on action.", "type" : "article-journal", "volume" : "71" }, "uris" : [ "http://www.mendeley.com/documents/?uuid=55a5884c-98c2-3691-95f6-50a23fe9c58c" ] } ], "mendeley" : { "formattedCitation" : "(J. A. Bargh et al., 1996)", "manualFormatting" : "(Bargh et al., 1996)", "plainTextFormattedCitation" : "(J. A. Bargh et al., 1996)", "previouslyFormattedCitation" : "(J. A. Bargh et al., 1996)" }, "properties" : { "noteIndex" : 0 }, "schema" : "https://github.com/citation-style-language/schema/raw/master/csl-citation.json" }</w:instrText>
      </w:r>
      <w:r w:rsidR="00B06E70">
        <w:rPr>
          <w:rFonts w:cs="Times New Roman"/>
          <w:bCs/>
          <w:iCs/>
          <w:sz w:val="24"/>
          <w:szCs w:val="24"/>
        </w:rPr>
        <w:fldChar w:fldCharType="separate"/>
      </w:r>
      <w:r w:rsidR="00715735">
        <w:rPr>
          <w:rFonts w:cs="Times New Roman"/>
          <w:bCs/>
          <w:iCs/>
          <w:noProof/>
          <w:sz w:val="24"/>
          <w:szCs w:val="24"/>
        </w:rPr>
        <w:t>(</w:t>
      </w:r>
      <w:r w:rsidR="00715735" w:rsidRPr="00715735">
        <w:rPr>
          <w:rFonts w:cs="Times New Roman"/>
          <w:bCs/>
          <w:iCs/>
          <w:noProof/>
          <w:sz w:val="24"/>
          <w:szCs w:val="24"/>
        </w:rPr>
        <w:t>Bargh et al., 1996)</w:t>
      </w:r>
      <w:r w:rsidR="00B06E70">
        <w:rPr>
          <w:rFonts w:cs="Times New Roman"/>
          <w:bCs/>
          <w:iCs/>
          <w:sz w:val="24"/>
          <w:szCs w:val="24"/>
        </w:rPr>
        <w:fldChar w:fldCharType="end"/>
      </w:r>
      <w:r w:rsidRPr="00D05EBD">
        <w:rPr>
          <w:rFonts w:cs="Times New Roman"/>
          <w:bCs/>
          <w:iCs/>
          <w:sz w:val="24"/>
          <w:szCs w:val="24"/>
        </w:rPr>
        <w:t>.</w:t>
      </w:r>
      <w:r w:rsidR="00E409B9">
        <w:rPr>
          <w:rFonts w:cs="Times New Roman"/>
          <w:bCs/>
          <w:iCs/>
          <w:sz w:val="24"/>
          <w:szCs w:val="24"/>
        </w:rPr>
        <w:t xml:space="preserve"> If</w:t>
      </w:r>
      <w:r w:rsidRPr="00D05EBD">
        <w:rPr>
          <w:rFonts w:cs="Times New Roman"/>
          <w:bCs/>
          <w:iCs/>
          <w:sz w:val="24"/>
          <w:szCs w:val="24"/>
        </w:rPr>
        <w:t xml:space="preserve"> </w:t>
      </w:r>
      <w:r w:rsidR="00E409B9">
        <w:rPr>
          <w:sz w:val="24"/>
          <w:szCs w:val="24"/>
        </w:rPr>
        <w:t xml:space="preserve">automatic worsening IER is a valid </w:t>
      </w:r>
      <w:r w:rsidR="00E81FB0">
        <w:rPr>
          <w:sz w:val="24"/>
          <w:szCs w:val="24"/>
        </w:rPr>
        <w:t>phenomenon,</w:t>
      </w:r>
      <w:r w:rsidR="00E409B9">
        <w:rPr>
          <w:sz w:val="24"/>
          <w:szCs w:val="24"/>
        </w:rPr>
        <w:t xml:space="preserve"> then priming</w:t>
      </w:r>
      <w:r w:rsidRPr="00D05EBD">
        <w:rPr>
          <w:sz w:val="24"/>
          <w:szCs w:val="24"/>
        </w:rPr>
        <w:t xml:space="preserve"> participants with worsening IER </w:t>
      </w:r>
      <w:r w:rsidR="00E409B9">
        <w:rPr>
          <w:sz w:val="24"/>
          <w:szCs w:val="24"/>
        </w:rPr>
        <w:t>should be an effective method to reveal</w:t>
      </w:r>
      <w:r w:rsidRPr="00D05EBD">
        <w:rPr>
          <w:sz w:val="24"/>
          <w:szCs w:val="24"/>
        </w:rPr>
        <w:t xml:space="preserve"> an ef</w:t>
      </w:r>
      <w:r w:rsidR="00E409B9">
        <w:rPr>
          <w:sz w:val="24"/>
          <w:szCs w:val="24"/>
        </w:rPr>
        <w:t xml:space="preserve">fect on the participant’s </w:t>
      </w:r>
      <w:r w:rsidRPr="00D05EBD">
        <w:rPr>
          <w:sz w:val="24"/>
          <w:szCs w:val="24"/>
        </w:rPr>
        <w:t>behaviour</w:t>
      </w:r>
      <w:r w:rsidR="00E409B9">
        <w:rPr>
          <w:sz w:val="24"/>
          <w:szCs w:val="24"/>
        </w:rPr>
        <w:t xml:space="preserve">. </w:t>
      </w:r>
    </w:p>
    <w:p w:rsidR="00FB1389" w:rsidRPr="00D05EBD" w:rsidRDefault="00FB1389" w:rsidP="00D57FF4">
      <w:pPr>
        <w:spacing w:line="480" w:lineRule="auto"/>
        <w:jc w:val="both"/>
        <w:rPr>
          <w:rFonts w:cs="Times New Roman"/>
          <w:bCs/>
          <w:iCs/>
          <w:sz w:val="24"/>
          <w:szCs w:val="24"/>
        </w:rPr>
      </w:pPr>
      <w:r w:rsidRPr="00D05EBD">
        <w:rPr>
          <w:rFonts w:cs="Times New Roman"/>
          <w:bCs/>
          <w:iCs/>
          <w:sz w:val="24"/>
          <w:szCs w:val="24"/>
        </w:rPr>
        <w:t xml:space="preserve"> </w:t>
      </w:r>
      <w:r w:rsidRPr="00D05EBD">
        <w:rPr>
          <w:rFonts w:cs="Times New Roman"/>
          <w:bCs/>
          <w:iCs/>
          <w:sz w:val="24"/>
          <w:szCs w:val="24"/>
        </w:rPr>
        <w:tab/>
        <w:t xml:space="preserve">Study 1 used close others and acquaintances as the targets of IER. In the present chapter these targets were slightly modified. Instead of using acquaintances, fictional </w:t>
      </w:r>
      <w:r w:rsidR="00791947">
        <w:rPr>
          <w:rFonts w:cs="Times New Roman"/>
          <w:bCs/>
          <w:iCs/>
          <w:sz w:val="24"/>
          <w:szCs w:val="24"/>
        </w:rPr>
        <w:t>characters were used in Studies 2a and 2b (characters from an imaginary play script that participants were to write)</w:t>
      </w:r>
      <w:r w:rsidRPr="00D05EBD">
        <w:rPr>
          <w:rFonts w:cs="Times New Roman"/>
          <w:bCs/>
          <w:iCs/>
          <w:sz w:val="24"/>
          <w:szCs w:val="24"/>
        </w:rPr>
        <w:t>; and instead of using close others, romantic ex-partners were used as targets of IER (Study 2c).</w:t>
      </w:r>
      <w:r w:rsidR="00791947">
        <w:rPr>
          <w:rFonts w:cs="Times New Roman"/>
          <w:bCs/>
          <w:iCs/>
          <w:sz w:val="24"/>
          <w:szCs w:val="24"/>
        </w:rPr>
        <w:t xml:space="preserve"> It was reason</w:t>
      </w:r>
      <w:r w:rsidR="00B4650D">
        <w:rPr>
          <w:rFonts w:cs="Times New Roman"/>
          <w:bCs/>
          <w:iCs/>
          <w:sz w:val="24"/>
          <w:szCs w:val="24"/>
        </w:rPr>
        <w:t>ed</w:t>
      </w:r>
      <w:r w:rsidR="00791947">
        <w:rPr>
          <w:rFonts w:cs="Times New Roman"/>
          <w:bCs/>
          <w:iCs/>
          <w:sz w:val="24"/>
          <w:szCs w:val="24"/>
        </w:rPr>
        <w:t xml:space="preserve"> that fictional characters, in contrast to acquaintances and close others, as in Study 1, would facilitate the activation of a worsening IER prime, as participants would likely not refrain from behaving badly to someone that they don’t know, nor exists. In the case of the romantic ex-partner</w:t>
      </w:r>
      <w:r w:rsidRPr="00D05EBD">
        <w:rPr>
          <w:rFonts w:cs="Times New Roman"/>
          <w:bCs/>
          <w:iCs/>
          <w:sz w:val="24"/>
          <w:szCs w:val="24"/>
        </w:rPr>
        <w:t xml:space="preserve"> </w:t>
      </w:r>
      <w:r w:rsidR="00791947" w:rsidRPr="00791947">
        <w:rPr>
          <w:rFonts w:cs="Times New Roman"/>
          <w:bCs/>
          <w:iCs/>
          <w:sz w:val="24"/>
          <w:szCs w:val="24"/>
        </w:rPr>
        <w:t>i</w:t>
      </w:r>
      <w:r w:rsidRPr="00791947">
        <w:rPr>
          <w:rFonts w:cs="Times New Roman"/>
          <w:bCs/>
          <w:iCs/>
          <w:sz w:val="24"/>
          <w:szCs w:val="24"/>
        </w:rPr>
        <w:t xml:space="preserve">t was reasoned that, as in study 1 participants reported more worsening AIER with close others than with acquaintances, but still did not reach a SRBAI score that could indicate automaticity, it might have been because the nominated close other did not elicit any negative </w:t>
      </w:r>
      <w:proofErr w:type="spellStart"/>
      <w:r w:rsidRPr="00791947">
        <w:rPr>
          <w:rFonts w:cs="Times New Roman"/>
          <w:bCs/>
          <w:iCs/>
          <w:sz w:val="24"/>
          <w:szCs w:val="24"/>
        </w:rPr>
        <w:t>valenced</w:t>
      </w:r>
      <w:proofErr w:type="spellEnd"/>
      <w:r w:rsidRPr="00791947">
        <w:rPr>
          <w:rFonts w:cs="Times New Roman"/>
          <w:bCs/>
          <w:iCs/>
          <w:sz w:val="24"/>
          <w:szCs w:val="24"/>
        </w:rPr>
        <w:t xml:space="preserve"> ER, but the case of a romantic ex-partner might be a situation where worsening AIER is more expected.</w:t>
      </w:r>
      <w:r w:rsidRPr="00D05EBD">
        <w:rPr>
          <w:rFonts w:cs="Times New Roman"/>
          <w:bCs/>
          <w:iCs/>
          <w:sz w:val="24"/>
          <w:szCs w:val="24"/>
        </w:rPr>
        <w:t xml:space="preserve"> </w:t>
      </w:r>
    </w:p>
    <w:p w:rsidR="00FB1389" w:rsidRPr="00D05EBD" w:rsidRDefault="00093982" w:rsidP="00AE640B">
      <w:pPr>
        <w:spacing w:line="480" w:lineRule="auto"/>
        <w:jc w:val="both"/>
        <w:rPr>
          <w:rFonts w:cs="Times New Roman"/>
          <w:b/>
          <w:bCs/>
          <w:iCs/>
          <w:sz w:val="24"/>
          <w:szCs w:val="24"/>
        </w:rPr>
      </w:pPr>
      <w:r>
        <w:rPr>
          <w:rFonts w:cs="Times New Roman"/>
          <w:b/>
          <w:bCs/>
          <w:iCs/>
          <w:sz w:val="24"/>
          <w:szCs w:val="24"/>
        </w:rPr>
        <w:t>3.3</w:t>
      </w:r>
      <w:r w:rsidR="00FB1389" w:rsidRPr="00D05EBD">
        <w:rPr>
          <w:rFonts w:cs="Times New Roman"/>
          <w:b/>
          <w:bCs/>
          <w:iCs/>
          <w:sz w:val="24"/>
          <w:szCs w:val="24"/>
        </w:rPr>
        <w:t xml:space="preserve"> Studies 2a and 2b</w:t>
      </w:r>
    </w:p>
    <w:p w:rsidR="00FB1389" w:rsidRPr="00D05EBD" w:rsidRDefault="00093982" w:rsidP="00AE640B">
      <w:pPr>
        <w:spacing w:line="480" w:lineRule="auto"/>
        <w:jc w:val="both"/>
        <w:rPr>
          <w:rFonts w:cs="Times New Roman"/>
          <w:b/>
          <w:bCs/>
          <w:iCs/>
          <w:sz w:val="24"/>
          <w:szCs w:val="24"/>
        </w:rPr>
      </w:pPr>
      <w:r>
        <w:rPr>
          <w:rFonts w:cs="Times New Roman"/>
          <w:b/>
          <w:bCs/>
          <w:iCs/>
          <w:sz w:val="24"/>
          <w:szCs w:val="24"/>
        </w:rPr>
        <w:tab/>
        <w:t>3.3</w:t>
      </w:r>
      <w:r w:rsidR="00FB1389" w:rsidRPr="00D05EBD">
        <w:rPr>
          <w:rFonts w:cs="Times New Roman"/>
          <w:b/>
          <w:bCs/>
          <w:iCs/>
          <w:sz w:val="24"/>
          <w:szCs w:val="24"/>
        </w:rPr>
        <w:t>.1 Study 2a</w:t>
      </w:r>
    </w:p>
    <w:p w:rsidR="00FB1389" w:rsidRPr="00D05EBD" w:rsidRDefault="00FB1389" w:rsidP="00AE640B">
      <w:pPr>
        <w:spacing w:line="480" w:lineRule="auto"/>
        <w:ind w:firstLine="709"/>
        <w:jc w:val="both"/>
        <w:rPr>
          <w:rFonts w:cs="Times New Roman"/>
          <w:color w:val="000000" w:themeColor="text1"/>
          <w:sz w:val="24"/>
          <w:szCs w:val="24"/>
        </w:rPr>
      </w:pPr>
      <w:r w:rsidRPr="00D05EBD">
        <w:rPr>
          <w:rFonts w:cs="Times New Roman"/>
          <w:color w:val="000000" w:themeColor="text1"/>
          <w:sz w:val="24"/>
          <w:szCs w:val="24"/>
        </w:rPr>
        <w:t xml:space="preserve">Study 2a investigated whether it was possible to prime worsening IER using the SST. Half of the participants were primed to use worsening IER and the other half </w:t>
      </w:r>
      <w:r w:rsidRPr="00D05EBD">
        <w:rPr>
          <w:rFonts w:cs="Times New Roman"/>
          <w:color w:val="000000" w:themeColor="text1"/>
          <w:sz w:val="24"/>
          <w:szCs w:val="24"/>
        </w:rPr>
        <w:lastRenderedPageBreak/>
        <w:t xml:space="preserve">received no prime. Both groups of participants were later asked to write an imaginary script where they would play the part of one of two characters and to choose whether to make a fictional character feel better or worse. It was expected that: </w:t>
      </w:r>
      <w:proofErr w:type="spellStart"/>
      <w:r w:rsidRPr="00D05EBD">
        <w:rPr>
          <w:rFonts w:cs="Times New Roman"/>
          <w:i/>
          <w:color w:val="000000" w:themeColor="text1"/>
          <w:sz w:val="24"/>
          <w:szCs w:val="24"/>
        </w:rPr>
        <w:t>i</w:t>
      </w:r>
      <w:proofErr w:type="spellEnd"/>
      <w:r w:rsidRPr="00D05EBD">
        <w:rPr>
          <w:rFonts w:cs="Times New Roman"/>
          <w:i/>
          <w:color w:val="000000" w:themeColor="text1"/>
          <w:sz w:val="24"/>
          <w:szCs w:val="24"/>
        </w:rPr>
        <w:t>) participants in the priming condition would show more worsening IER strategies than participants in the control condition, as reflected in their scripts</w:t>
      </w:r>
      <w:r w:rsidRPr="00D05EBD">
        <w:rPr>
          <w:rFonts w:cs="Times New Roman"/>
          <w:color w:val="000000" w:themeColor="text1"/>
          <w:sz w:val="24"/>
          <w:szCs w:val="24"/>
        </w:rPr>
        <w:t xml:space="preserve">, and that </w:t>
      </w:r>
      <w:r w:rsidRPr="00D05EBD">
        <w:rPr>
          <w:rFonts w:cs="Times New Roman"/>
          <w:i/>
          <w:color w:val="000000" w:themeColor="text1"/>
          <w:sz w:val="24"/>
          <w:szCs w:val="24"/>
        </w:rPr>
        <w:t>ii) primed participants would be more likely to choose to make the other character feel worse than participants in the control condition</w:t>
      </w:r>
      <w:r w:rsidRPr="00D05EBD">
        <w:rPr>
          <w:rFonts w:cs="Times New Roman"/>
          <w:color w:val="000000" w:themeColor="text1"/>
          <w:sz w:val="24"/>
          <w:szCs w:val="24"/>
        </w:rPr>
        <w:t>.</w:t>
      </w:r>
    </w:p>
    <w:p w:rsidR="00FB1389" w:rsidRPr="00D05EBD" w:rsidRDefault="00093982" w:rsidP="00AE640B">
      <w:pPr>
        <w:spacing w:line="480" w:lineRule="auto"/>
        <w:ind w:firstLine="720"/>
        <w:jc w:val="both"/>
        <w:rPr>
          <w:rFonts w:cs="Times New Roman"/>
          <w:b/>
          <w:bCs/>
          <w:sz w:val="24"/>
          <w:szCs w:val="24"/>
        </w:rPr>
      </w:pPr>
      <w:r>
        <w:rPr>
          <w:rFonts w:cs="Times New Roman"/>
          <w:b/>
          <w:bCs/>
          <w:sz w:val="24"/>
          <w:szCs w:val="24"/>
        </w:rPr>
        <w:tab/>
        <w:t>3.3</w:t>
      </w:r>
      <w:r w:rsidR="00FB1389" w:rsidRPr="00D05EBD">
        <w:rPr>
          <w:rFonts w:cs="Times New Roman"/>
          <w:b/>
          <w:bCs/>
          <w:sz w:val="24"/>
          <w:szCs w:val="24"/>
        </w:rPr>
        <w:t>.1.1 Method</w:t>
      </w:r>
    </w:p>
    <w:p w:rsidR="00FB1389" w:rsidRPr="00D05EBD" w:rsidRDefault="00FB1389" w:rsidP="00AE640B">
      <w:pPr>
        <w:spacing w:line="480" w:lineRule="auto"/>
        <w:ind w:left="720" w:firstLine="720"/>
        <w:jc w:val="both"/>
        <w:rPr>
          <w:rFonts w:cs="Times New Roman"/>
          <w:i/>
          <w:sz w:val="24"/>
          <w:szCs w:val="24"/>
        </w:rPr>
      </w:pPr>
      <w:r w:rsidRPr="00D05EBD">
        <w:rPr>
          <w:rFonts w:cs="Times New Roman"/>
          <w:sz w:val="24"/>
          <w:szCs w:val="24"/>
        </w:rPr>
        <w:tab/>
      </w:r>
      <w:r w:rsidR="00093982">
        <w:rPr>
          <w:rFonts w:cs="Times New Roman"/>
          <w:i/>
          <w:sz w:val="24"/>
          <w:szCs w:val="24"/>
        </w:rPr>
        <w:t>3.3</w:t>
      </w:r>
      <w:r w:rsidRPr="00D05EBD">
        <w:rPr>
          <w:rFonts w:cs="Times New Roman"/>
          <w:i/>
          <w:sz w:val="24"/>
          <w:szCs w:val="24"/>
        </w:rPr>
        <w:t>.1.1.1 Participants</w:t>
      </w:r>
    </w:p>
    <w:p w:rsidR="00FB1389" w:rsidRDefault="00FB1389" w:rsidP="00AE640B">
      <w:pPr>
        <w:spacing w:line="480" w:lineRule="auto"/>
        <w:jc w:val="both"/>
        <w:rPr>
          <w:sz w:val="24"/>
          <w:szCs w:val="24"/>
        </w:rPr>
      </w:pPr>
      <w:r w:rsidRPr="00D05EBD">
        <w:rPr>
          <w:rFonts w:cs="Times New Roman"/>
          <w:i/>
          <w:sz w:val="24"/>
          <w:szCs w:val="24"/>
        </w:rPr>
        <w:tab/>
      </w:r>
      <w:r w:rsidRPr="00D05EBD">
        <w:rPr>
          <w:rFonts w:cs="Times New Roman"/>
          <w:sz w:val="24"/>
          <w:szCs w:val="24"/>
        </w:rPr>
        <w:t>45 participants volunteered to take part in this study (38 women) in exchange for university credits</w:t>
      </w:r>
      <w:r w:rsidRPr="00973AEB">
        <w:rPr>
          <w:rStyle w:val="Refdenotaalpie"/>
        </w:rPr>
        <w:footnoteReference w:id="15"/>
      </w:r>
      <w:r w:rsidRPr="00D05EBD">
        <w:rPr>
          <w:rFonts w:cs="Times New Roman"/>
          <w:sz w:val="24"/>
          <w:szCs w:val="24"/>
        </w:rPr>
        <w:t>. All of them were first year psychology undergraduate students from the University of Sheffield. Participants were required to be native English speakers. Ages ranged from 18 to 29 (</w:t>
      </w:r>
      <w:r w:rsidRPr="00D05EBD">
        <w:rPr>
          <w:rFonts w:cs="Times New Roman"/>
          <w:i/>
          <w:sz w:val="24"/>
          <w:szCs w:val="24"/>
        </w:rPr>
        <w:t xml:space="preserve">M </w:t>
      </w:r>
      <w:r w:rsidRPr="00D05EBD">
        <w:rPr>
          <w:rFonts w:cs="Times New Roman"/>
          <w:sz w:val="24"/>
          <w:szCs w:val="24"/>
        </w:rPr>
        <w:t xml:space="preserve">= 19.02 yr, </w:t>
      </w:r>
      <w:r w:rsidRPr="00D05EBD">
        <w:rPr>
          <w:rFonts w:cs="Times New Roman"/>
          <w:i/>
          <w:sz w:val="24"/>
          <w:szCs w:val="24"/>
        </w:rPr>
        <w:t xml:space="preserve">SD </w:t>
      </w:r>
      <w:r w:rsidRPr="00D05EBD">
        <w:rPr>
          <w:rFonts w:cs="Times New Roman"/>
          <w:sz w:val="24"/>
          <w:szCs w:val="24"/>
        </w:rPr>
        <w:t xml:space="preserve">= 2.02). Participants were randomly assigned to one of two conditions: </w:t>
      </w:r>
      <w:proofErr w:type="spellStart"/>
      <w:r w:rsidRPr="00D05EBD">
        <w:rPr>
          <w:rFonts w:cs="Times New Roman"/>
          <w:sz w:val="24"/>
          <w:szCs w:val="24"/>
        </w:rPr>
        <w:t>i</w:t>
      </w:r>
      <w:proofErr w:type="spellEnd"/>
      <w:r w:rsidRPr="00D05EBD">
        <w:rPr>
          <w:rFonts w:cs="Times New Roman"/>
          <w:sz w:val="24"/>
          <w:szCs w:val="24"/>
        </w:rPr>
        <w:t xml:space="preserve">) experimental condition (primed to worsen the emotions of someone else) and, ii) control condition. </w:t>
      </w:r>
      <w:r w:rsidRPr="00D05EBD">
        <w:rPr>
          <w:sz w:val="24"/>
          <w:szCs w:val="24"/>
        </w:rPr>
        <w:t>A priori power analysis for a medium effect for a between subjects mixed-design ANOVA indicated that 28 participants were sufficient for a power at .80 where p &lt; .05.</w:t>
      </w:r>
    </w:p>
    <w:p w:rsidR="0027265D" w:rsidRDefault="0027265D" w:rsidP="00AE640B">
      <w:pPr>
        <w:spacing w:line="480" w:lineRule="auto"/>
        <w:jc w:val="both"/>
        <w:rPr>
          <w:sz w:val="24"/>
          <w:szCs w:val="24"/>
        </w:rPr>
      </w:pPr>
    </w:p>
    <w:p w:rsidR="0027265D" w:rsidRPr="00D05EBD" w:rsidRDefault="0027265D" w:rsidP="00AE640B">
      <w:pPr>
        <w:spacing w:line="480" w:lineRule="auto"/>
        <w:jc w:val="both"/>
        <w:rPr>
          <w:rFonts w:cs="Times New Roman"/>
          <w:sz w:val="24"/>
          <w:szCs w:val="24"/>
        </w:rPr>
      </w:pPr>
    </w:p>
    <w:p w:rsidR="00FB1389" w:rsidRPr="00D05EBD" w:rsidRDefault="00FB1389" w:rsidP="00AE640B">
      <w:pPr>
        <w:spacing w:line="480" w:lineRule="auto"/>
        <w:ind w:left="720" w:firstLine="720"/>
        <w:jc w:val="both"/>
        <w:rPr>
          <w:rFonts w:cs="Times New Roman"/>
          <w:i/>
          <w:sz w:val="24"/>
          <w:szCs w:val="24"/>
        </w:rPr>
      </w:pPr>
      <w:r w:rsidRPr="00D05EBD">
        <w:rPr>
          <w:rFonts w:cs="Times New Roman"/>
          <w:sz w:val="24"/>
          <w:szCs w:val="24"/>
        </w:rPr>
        <w:lastRenderedPageBreak/>
        <w:tab/>
      </w:r>
      <w:r w:rsidR="00093982">
        <w:rPr>
          <w:rFonts w:cs="Times New Roman"/>
          <w:i/>
          <w:sz w:val="24"/>
          <w:szCs w:val="24"/>
        </w:rPr>
        <w:t>3.3</w:t>
      </w:r>
      <w:r w:rsidRPr="00D05EBD">
        <w:rPr>
          <w:rFonts w:cs="Times New Roman"/>
          <w:i/>
          <w:sz w:val="24"/>
          <w:szCs w:val="24"/>
        </w:rPr>
        <w:t>.1.1.2 Procedure</w:t>
      </w:r>
    </w:p>
    <w:p w:rsidR="00FB1389" w:rsidRPr="00D05EBD" w:rsidRDefault="00FB1389" w:rsidP="00AE640B">
      <w:pPr>
        <w:spacing w:line="480" w:lineRule="auto"/>
        <w:jc w:val="both"/>
        <w:rPr>
          <w:rFonts w:cs="Times New Roman"/>
          <w:sz w:val="24"/>
          <w:szCs w:val="24"/>
        </w:rPr>
      </w:pPr>
      <w:r w:rsidRPr="00D05EBD">
        <w:rPr>
          <w:rFonts w:cs="Times New Roman"/>
          <w:sz w:val="24"/>
          <w:szCs w:val="24"/>
        </w:rPr>
        <w:tab/>
        <w:t xml:space="preserve">The experiment took place in the Department of Psychology of the University of Sheffield. Upon arrival participants were taken to an individual cubicle. Once there participants were given an information sheet which explained to them that the purpose of the experiment was to investigate the use of written English language on native English speakers and that they would complete three short tasks: </w:t>
      </w:r>
      <w:proofErr w:type="spellStart"/>
      <w:r w:rsidRPr="00D05EBD">
        <w:rPr>
          <w:rFonts w:cs="Times New Roman"/>
          <w:sz w:val="24"/>
          <w:szCs w:val="24"/>
        </w:rPr>
        <w:t>i</w:t>
      </w:r>
      <w:proofErr w:type="spellEnd"/>
      <w:r w:rsidRPr="00D05EBD">
        <w:rPr>
          <w:rFonts w:cs="Times New Roman"/>
          <w:sz w:val="24"/>
          <w:szCs w:val="24"/>
        </w:rPr>
        <w:t xml:space="preserve">) a scrambled sentence task (SST), ii) the writing of a short script and, iii) questions concerning their personal attitudes and traits. </w:t>
      </w:r>
      <w:r w:rsidRPr="00D05EBD">
        <w:rPr>
          <w:sz w:val="24"/>
          <w:szCs w:val="24"/>
        </w:rPr>
        <w:t>They were also informed that their answers would be anonymous and that the study had received ethical approval from the Research Ethics Committee in the Department of Psychology at the University of Sheffield</w:t>
      </w:r>
      <w:r w:rsidRPr="00973AEB">
        <w:rPr>
          <w:rStyle w:val="Refdenotaalpie"/>
        </w:rPr>
        <w:footnoteReference w:id="16"/>
      </w:r>
      <w:r w:rsidRPr="00D05EBD">
        <w:rPr>
          <w:sz w:val="24"/>
          <w:szCs w:val="24"/>
        </w:rPr>
        <w:t>.</w:t>
      </w:r>
      <w:r w:rsidRPr="00D05EBD">
        <w:rPr>
          <w:rFonts w:cs="Times New Roman"/>
          <w:sz w:val="24"/>
          <w:szCs w:val="24"/>
        </w:rPr>
        <w:t xml:space="preserve"> After, part</w:t>
      </w:r>
      <w:r w:rsidR="00093982">
        <w:rPr>
          <w:rFonts w:cs="Times New Roman"/>
          <w:sz w:val="24"/>
          <w:szCs w:val="24"/>
        </w:rPr>
        <w:t>icipants signed a consent form.</w:t>
      </w:r>
      <w:r w:rsidRPr="00D05EBD">
        <w:rPr>
          <w:sz w:val="24"/>
          <w:szCs w:val="24"/>
        </w:rPr>
        <w:t xml:space="preserve"> </w:t>
      </w:r>
    </w:p>
    <w:p w:rsidR="00D04317" w:rsidRPr="00B4650D" w:rsidRDefault="00FB1389" w:rsidP="00AE640B">
      <w:pPr>
        <w:spacing w:line="480" w:lineRule="auto"/>
        <w:jc w:val="both"/>
        <w:rPr>
          <w:rFonts w:cs="Times New Roman"/>
          <w:color w:val="000000" w:themeColor="text1"/>
          <w:sz w:val="24"/>
          <w:szCs w:val="24"/>
        </w:rPr>
      </w:pPr>
      <w:r w:rsidRPr="00D05EBD">
        <w:rPr>
          <w:rFonts w:cs="Times New Roman"/>
          <w:sz w:val="24"/>
          <w:szCs w:val="24"/>
        </w:rPr>
        <w:tab/>
        <w:t>After having consented to take part, participants were given the first task - the SST - and left alone in the cubicle to solve it without distractions. After completing the SST, participants called the experimenter to receive the script task and were again left alone to work through it. Then, participants answered the</w:t>
      </w:r>
      <w:r w:rsidRPr="00D05EBD">
        <w:rPr>
          <w:rFonts w:cs="Times New Roman"/>
          <w:i/>
          <w:sz w:val="24"/>
          <w:szCs w:val="24"/>
        </w:rPr>
        <w:t xml:space="preserve"> </w:t>
      </w:r>
      <w:r w:rsidRPr="00D05EBD">
        <w:rPr>
          <w:rFonts w:cs="Times New Roman"/>
          <w:sz w:val="24"/>
          <w:szCs w:val="24"/>
        </w:rPr>
        <w:t xml:space="preserve">Social-Desirability Short Scale </w:t>
      </w:r>
      <w:r w:rsidR="00B06E70">
        <w:rPr>
          <w:rFonts w:cs="Times New Roman"/>
          <w:sz w:val="24"/>
          <w:szCs w:val="24"/>
        </w:rPr>
        <w:fldChar w:fldCharType="begin" w:fldLock="1"/>
      </w:r>
      <w:r w:rsidR="00FC1530">
        <w:rPr>
          <w:rFonts w:cs="Times New Roman"/>
          <w:sz w:val="24"/>
          <w:szCs w:val="24"/>
        </w:rPr>
        <w:instrText>ADDIN CSL_CITATION { "citationItems" : [ { "id" : "ITEM-1", "itemData" : { "DOI" : "10.1080/00224545.1984.9924522", "ISBN" : "00224545", "ISSN" : "0022-4545", "PMID" : "5392230", "abstract" : "Eight items from the Marlowe-Crowne Social Desirability (MCSD) Scale were administered to 95 Ss living in Sydney, Australia, and a 6-item scale also derived from the MCSD Scale was readministered to 122 Ss from New South Wales and 200 other Sydney Ss. Results indicate that, contrary to findings by J. G. O'Gorman (see record 1974-23029-001), short MCSD scales may have satisfactory alphas with general population samples. It is suggested that O'Gorman's results may show the effect of coercion on social-desirability responding. (8 ref) ((c) 1999 APA/PsycINFO, all rights reserved)", "author" : [ { "dropping-particle" : "", "family" : "Ray", "given" : "John J", "non-dropping-particle" : "", "parse-names" : false, "suffix" : "" } ], "container-title" : "The Journal of Social Psychology", "id" : "ITEM-1", "issue" : "1", "issued" : { "date-parts" : [ [ "1984" ] ] }, "page" : "133-134", "title" : "The Reliability of Short Social Desirability Scales", "type" : "article", "volume" : "123" }, "uris" : [ "http://www.mendeley.com/documents/?uuid=efaf8890-0fbe-3577-a997-82b9f9549fe2" ] } ], "mendeley" : { "formattedCitation" : "(Ray, 1984)", "plainTextFormattedCitation" : "(Ray, 1984)", "previouslyFormattedCitation" : "(Ray, 1984)" }, "properties" : { "noteIndex" : 0 }, "schema" : "https://github.com/citation-style-language/schema/raw/master/csl-citation.json" }</w:instrText>
      </w:r>
      <w:r w:rsidR="00B06E70">
        <w:rPr>
          <w:rFonts w:cs="Times New Roman"/>
          <w:sz w:val="24"/>
          <w:szCs w:val="24"/>
        </w:rPr>
        <w:fldChar w:fldCharType="separate"/>
      </w:r>
      <w:r w:rsidR="00FC1530" w:rsidRPr="00FC1530">
        <w:rPr>
          <w:rFonts w:cs="Times New Roman"/>
          <w:noProof/>
          <w:sz w:val="24"/>
          <w:szCs w:val="24"/>
        </w:rPr>
        <w:t>(Ray, 1984)</w:t>
      </w:r>
      <w:r w:rsidR="00B06E70">
        <w:rPr>
          <w:rFonts w:cs="Times New Roman"/>
          <w:sz w:val="24"/>
          <w:szCs w:val="24"/>
        </w:rPr>
        <w:fldChar w:fldCharType="end"/>
      </w:r>
      <w:r w:rsidR="00FC1530">
        <w:rPr>
          <w:rFonts w:cs="Times New Roman"/>
          <w:sz w:val="24"/>
          <w:szCs w:val="24"/>
        </w:rPr>
        <w:t xml:space="preserve"> </w:t>
      </w:r>
      <w:r w:rsidRPr="00D05EBD">
        <w:rPr>
          <w:rFonts w:cs="Times New Roman"/>
          <w:sz w:val="24"/>
          <w:szCs w:val="24"/>
        </w:rPr>
        <w:t xml:space="preserve">to assess whether or not </w:t>
      </w:r>
      <w:r w:rsidR="00B4650D">
        <w:rPr>
          <w:rFonts w:cs="Times New Roman"/>
          <w:sz w:val="24"/>
          <w:szCs w:val="24"/>
        </w:rPr>
        <w:t>their</w:t>
      </w:r>
      <w:r w:rsidRPr="00D05EBD">
        <w:rPr>
          <w:rFonts w:cs="Times New Roman"/>
          <w:sz w:val="24"/>
          <w:szCs w:val="24"/>
        </w:rPr>
        <w:t xml:space="preserve"> responses were influenced by social desirability. Before leaving the experimental room, participants completed a funnel debrief procedure </w:t>
      </w:r>
      <w:r w:rsidR="00B06E70">
        <w:rPr>
          <w:rFonts w:cs="Times New Roman"/>
          <w:sz w:val="24"/>
          <w:szCs w:val="24"/>
        </w:rPr>
        <w:fldChar w:fldCharType="begin" w:fldLock="1"/>
      </w:r>
      <w:r w:rsidR="00FC1530">
        <w:rPr>
          <w:rFonts w:cs="Times New Roman"/>
          <w:sz w:val="24"/>
          <w:szCs w:val="24"/>
        </w:rPr>
        <w:instrText>ADDIN CSL_CITATION { "citationItems" : [ { "id" : "ITEM-1", "itemData" : { "ISBN" : "0022-3514", "abstract" : "According to the auto-motive model (J. A. Bargh, 1990), intentions and goals are represented men-tally and, as representations, should be capable of nonconscious activation by the environmental context (i.e., \"priming\"). To test this hypothesis, the authors replicated 2 well-known experiments that had demonstrated differential effects of varying the information-processing goal (impression formation or memorization) on processing the identical behavioral information. However, instead of giving participants the goals via explicit instructions, as had been done in the original studies, the authors primed the impression formation or memorization goal. In both cases, the original pattern of results was reproduced. The findings thus support the hypothesis that the effect of activated goals is the same whether the activation is nonconscious or through an act of will. One's current intentions and goals affect not only what one considers important enough to pay attention to, but also how one uses, interprets, and subsequently remembers that informa-tion. Although that is a noncontroversial statement today, it was a radical departure from the dominant view of perception when Bruner and Postman (1948) originally proposed it. To claim that motivation influences perception was a major break with the then-dominant view that perception and judgment were en-tirely stimulus-driven (Stevens, 1951). The result of their claim that needs and motivations influence perception was the \"New Look\"--a flood of studies demonstrating that an individual's goals greatly influence which information the individual at-tends to and perceives in the environment, as well as how he or she interprets and remembers that information (Allport, 1955; Bruner, 1951, 1957). Jones and Thibaut (1958) subsequently introduced this idea to the domain of social perception, describ-ing the influence that various potential interaction goals might have on selective attention to and use of information about one's interaction partner. After a period in which motivational and cognitive accounts of phenomena were viewed as mutually exclusive and compet-ing instead of complementary and interdependent (see Goll-witzer &amp; Bargh, 1996; Sorrentino &amp; Higgins, 1986b), there re-cently has been a significant advance in theory and research on the motivation", "author" : [ { "dropping-particle" : "", "family" : "Chartrand", "given" : "L Tanya", "non-dropping-particle" : "", "parse-names" : false, "suffix" : "" }, { "dropping-particle" : "", "family" : "Bargh", "given" : "A John", "non-dropping-particle" : "", "parse-names" : false, "suffix" : "" } ], "container-title" : "Journal of Personality and Social Psychology", "id" : "ITEM-1", "issue" : "3", "issued" : { "date-parts" : [ [ "1996" ] ] }, "page" : "464-478", "publisher" : "Goilwitzer &amp; Moskowitz Higgins", "title" : "Automatic Activation of Impression Formation and Memorization Goals: Nonconscious Goal Priming Reproduces Effects of Explicit Task Instructions", "type" : "article-journal", "volume" : "71" }, "uris" : [ "http://www.mendeley.com/documents/?uuid=1ebf09d9-4461-31ae-b5ce-d61d0393c53b" ] } ], "mendeley" : { "formattedCitation" : "(L. T. Chartrand &amp; Bargh, 1996)", "manualFormatting" : "(Chartrand &amp; Bargh, 1996)", "plainTextFormattedCitation" : "(L. T. Chartrand &amp; Bargh, 1996)", "previouslyFormattedCitation" : "(L. T. Chartrand &amp; Bargh, 1996)" }, "properties" : { "noteIndex" : 0 }, "schema" : "https://github.com/citation-style-language/schema/raw/master/csl-citation.json" }</w:instrText>
      </w:r>
      <w:r w:rsidR="00B06E70">
        <w:rPr>
          <w:rFonts w:cs="Times New Roman"/>
          <w:sz w:val="24"/>
          <w:szCs w:val="24"/>
        </w:rPr>
        <w:fldChar w:fldCharType="separate"/>
      </w:r>
      <w:r w:rsidR="00FC1530">
        <w:rPr>
          <w:rFonts w:cs="Times New Roman"/>
          <w:noProof/>
          <w:sz w:val="24"/>
          <w:szCs w:val="24"/>
        </w:rPr>
        <w:t>(</w:t>
      </w:r>
      <w:r w:rsidR="00FC1530" w:rsidRPr="00FC1530">
        <w:rPr>
          <w:rFonts w:cs="Times New Roman"/>
          <w:noProof/>
          <w:sz w:val="24"/>
          <w:szCs w:val="24"/>
        </w:rPr>
        <w:t>Chartrand &amp; Bargh, 1996)</w:t>
      </w:r>
      <w:r w:rsidR="00B06E70">
        <w:rPr>
          <w:rFonts w:cs="Times New Roman"/>
          <w:sz w:val="24"/>
          <w:szCs w:val="24"/>
        </w:rPr>
        <w:fldChar w:fldCharType="end"/>
      </w:r>
      <w:r w:rsidRPr="00D05EBD">
        <w:rPr>
          <w:rFonts w:cs="Times New Roman"/>
          <w:sz w:val="24"/>
          <w:szCs w:val="24"/>
        </w:rPr>
        <w:t xml:space="preserve"> to probe for awareness of the real purposes of the investigation. Participants were asked 1) </w:t>
      </w:r>
      <w:r w:rsidRPr="00D05EBD">
        <w:rPr>
          <w:rFonts w:cs="Times New Roman"/>
          <w:color w:val="000000" w:themeColor="text1"/>
          <w:sz w:val="24"/>
          <w:szCs w:val="24"/>
        </w:rPr>
        <w:t xml:space="preserve">what they thought the purpose of the experiment was, 2) whether they saw any relationship between the first and the second task and if so to state which, 3) whether they thought that what they did on the </w:t>
      </w:r>
      <w:r w:rsidRPr="00D05EBD">
        <w:rPr>
          <w:rFonts w:cs="Times New Roman"/>
          <w:color w:val="000000" w:themeColor="text1"/>
          <w:sz w:val="24"/>
          <w:szCs w:val="24"/>
        </w:rPr>
        <w:lastRenderedPageBreak/>
        <w:t xml:space="preserve">first task could have affected what they did on the second task and if so to explain how, 4) whether they had ever seen or completed the SST for another experiment before, 5) whether they remembered any of the words on the SST and if so, which, and 6) whether they thought any of the words on the SST seemed unusual or distinctive and if so, which. </w:t>
      </w:r>
      <w:r w:rsidRPr="00887EE3">
        <w:rPr>
          <w:rFonts w:cs="Times New Roman"/>
          <w:color w:val="000000" w:themeColor="text1"/>
          <w:sz w:val="24"/>
          <w:szCs w:val="24"/>
        </w:rPr>
        <w:t xml:space="preserve">Three participants noticed a relationship between the first and the second task. They told the experimenter the negative content of the SST might have influenced their choice to pick the worsening IER goal on the script task. All three reported they did not notice this relationship while solving the tasks but while being asked during the debriefing. For this </w:t>
      </w:r>
      <w:r w:rsidR="0034515E" w:rsidRPr="00887EE3">
        <w:rPr>
          <w:rFonts w:cs="Times New Roman"/>
          <w:color w:val="000000" w:themeColor="text1"/>
          <w:sz w:val="24"/>
          <w:szCs w:val="24"/>
        </w:rPr>
        <w:t>reason,</w:t>
      </w:r>
      <w:r w:rsidRPr="00887EE3">
        <w:rPr>
          <w:rFonts w:cs="Times New Roman"/>
          <w:color w:val="000000" w:themeColor="text1"/>
          <w:sz w:val="24"/>
          <w:szCs w:val="24"/>
        </w:rPr>
        <w:t xml:space="preserve"> it can be reported that no participant showed any awareness or suspicion of the real purposes of the research while solving any of the three tasks. One participant reported that she thought that the purpose of the experiment was to be mean towards someone but that she did not realise the purpose of the experiment while solving any of the tasks but realised only when asked during the debriefing</w:t>
      </w:r>
      <w:r w:rsidR="00931732" w:rsidRPr="00887EE3">
        <w:rPr>
          <w:rStyle w:val="Refdenotaalpie"/>
          <w:rFonts w:cs="Times New Roman"/>
          <w:color w:val="000000" w:themeColor="text1"/>
          <w:sz w:val="24"/>
          <w:szCs w:val="24"/>
        </w:rPr>
        <w:footnoteReference w:id="17"/>
      </w:r>
      <w:r w:rsidRPr="00887EE3">
        <w:rPr>
          <w:rFonts w:cs="Times New Roman"/>
          <w:color w:val="000000" w:themeColor="text1"/>
          <w:sz w:val="24"/>
          <w:szCs w:val="24"/>
        </w:rPr>
        <w:t>. The rest of the participants reported the cover story given at the beginning of the experiment. After answering all the debriefing questions, participants were informed of the true purpose of the experiment and thanked.</w:t>
      </w:r>
    </w:p>
    <w:p w:rsidR="00FB1389" w:rsidRPr="00D05EBD" w:rsidRDefault="00FB1389" w:rsidP="00AE640B">
      <w:pPr>
        <w:spacing w:line="480" w:lineRule="auto"/>
        <w:jc w:val="both"/>
        <w:rPr>
          <w:rFonts w:cs="Times New Roman"/>
          <w:i/>
          <w:sz w:val="24"/>
          <w:szCs w:val="24"/>
        </w:rPr>
      </w:pPr>
      <w:r w:rsidRPr="00D05EBD">
        <w:rPr>
          <w:rFonts w:cs="Times New Roman"/>
          <w:sz w:val="24"/>
          <w:szCs w:val="24"/>
        </w:rPr>
        <w:tab/>
      </w:r>
      <w:r w:rsidRPr="00D05EBD">
        <w:rPr>
          <w:rFonts w:cs="Times New Roman"/>
          <w:sz w:val="24"/>
          <w:szCs w:val="24"/>
        </w:rPr>
        <w:tab/>
      </w:r>
      <w:r w:rsidRPr="00D05EBD">
        <w:rPr>
          <w:rFonts w:cs="Times New Roman"/>
          <w:sz w:val="24"/>
          <w:szCs w:val="24"/>
        </w:rPr>
        <w:tab/>
      </w:r>
      <w:r w:rsidR="00093982">
        <w:rPr>
          <w:rFonts w:cs="Times New Roman"/>
          <w:i/>
          <w:sz w:val="24"/>
          <w:szCs w:val="24"/>
        </w:rPr>
        <w:t>3.3</w:t>
      </w:r>
      <w:r w:rsidRPr="00D05EBD">
        <w:rPr>
          <w:rFonts w:cs="Times New Roman"/>
          <w:i/>
          <w:sz w:val="24"/>
          <w:szCs w:val="24"/>
        </w:rPr>
        <w:t>.1.1.3 Materials</w:t>
      </w:r>
    </w:p>
    <w:p w:rsidR="00FB1389" w:rsidRPr="00D05EBD" w:rsidRDefault="00FB1389" w:rsidP="00AE640B">
      <w:pPr>
        <w:spacing w:line="480" w:lineRule="auto"/>
        <w:ind w:left="720" w:firstLine="720"/>
        <w:jc w:val="both"/>
        <w:rPr>
          <w:rFonts w:cs="Times New Roman"/>
          <w:i/>
          <w:sz w:val="24"/>
          <w:szCs w:val="24"/>
        </w:rPr>
      </w:pPr>
      <w:r w:rsidRPr="00D05EBD">
        <w:rPr>
          <w:rFonts w:cs="Times New Roman"/>
          <w:i/>
          <w:sz w:val="24"/>
          <w:szCs w:val="24"/>
        </w:rPr>
        <w:t>Scrambled Sentence Task (SST)</w:t>
      </w:r>
    </w:p>
    <w:p w:rsidR="00C07D1E" w:rsidRDefault="00FB1389" w:rsidP="00AE640B">
      <w:pPr>
        <w:spacing w:line="480" w:lineRule="auto"/>
        <w:jc w:val="both"/>
        <w:rPr>
          <w:rFonts w:cs="Times New Roman"/>
          <w:sz w:val="24"/>
          <w:szCs w:val="24"/>
        </w:rPr>
      </w:pPr>
      <w:r w:rsidRPr="00D05EBD">
        <w:rPr>
          <w:rFonts w:cs="Times New Roman"/>
          <w:sz w:val="24"/>
          <w:szCs w:val="24"/>
        </w:rPr>
        <w:tab/>
        <w:t xml:space="preserve">The participants first task was to work on a series of scrambled sentences (SST: </w:t>
      </w:r>
      <w:proofErr w:type="spellStart"/>
      <w:r w:rsidRPr="00D05EBD">
        <w:rPr>
          <w:rFonts w:cs="Times New Roman"/>
          <w:sz w:val="24"/>
          <w:szCs w:val="24"/>
        </w:rPr>
        <w:t>Srull</w:t>
      </w:r>
      <w:proofErr w:type="spellEnd"/>
      <w:r w:rsidRPr="00D05EBD">
        <w:rPr>
          <w:rFonts w:cs="Times New Roman"/>
          <w:sz w:val="24"/>
          <w:szCs w:val="24"/>
        </w:rPr>
        <w:t xml:space="preserve"> &amp; </w:t>
      </w:r>
      <w:proofErr w:type="spellStart"/>
      <w:r w:rsidRPr="00D05EBD">
        <w:rPr>
          <w:rFonts w:cs="Times New Roman"/>
          <w:sz w:val="24"/>
          <w:szCs w:val="24"/>
        </w:rPr>
        <w:t>Wyer</w:t>
      </w:r>
      <w:proofErr w:type="spellEnd"/>
      <w:r w:rsidRPr="00D05EBD">
        <w:rPr>
          <w:rFonts w:cs="Times New Roman"/>
          <w:sz w:val="24"/>
          <w:szCs w:val="24"/>
        </w:rPr>
        <w:t xml:space="preserve">, 1979) designed to non-consciously activate IER strategies. Each SST had eighteen scrambled sentences, ten of which included a prime in the experimental </w:t>
      </w:r>
      <w:r w:rsidRPr="00D05EBD">
        <w:rPr>
          <w:rFonts w:cs="Times New Roman"/>
          <w:sz w:val="24"/>
          <w:szCs w:val="24"/>
        </w:rPr>
        <w:lastRenderedPageBreak/>
        <w:t>condition</w:t>
      </w:r>
      <w:r w:rsidRPr="00973AEB">
        <w:rPr>
          <w:rStyle w:val="Refdenotaalpie"/>
        </w:rPr>
        <w:footnoteReference w:id="18"/>
      </w:r>
      <w:r w:rsidRPr="00D05EBD">
        <w:rPr>
          <w:rFonts w:cs="Times New Roman"/>
          <w:sz w:val="24"/>
          <w:szCs w:val="24"/>
        </w:rPr>
        <w:t xml:space="preserve">. Primes were </w:t>
      </w:r>
      <w:r w:rsidRPr="00D05EBD">
        <w:rPr>
          <w:rFonts w:cs="Times New Roman"/>
          <w:i/>
          <w:sz w:val="24"/>
          <w:szCs w:val="24"/>
        </w:rPr>
        <w:t>intimidate, patronise, annoy, bother, reject, bully, mock, hurt, belittle</w:t>
      </w:r>
      <w:r w:rsidRPr="00D05EBD">
        <w:rPr>
          <w:rFonts w:cs="Times New Roman"/>
          <w:sz w:val="24"/>
          <w:szCs w:val="24"/>
        </w:rPr>
        <w:t xml:space="preserve">, and </w:t>
      </w:r>
      <w:r w:rsidRPr="00D05EBD">
        <w:rPr>
          <w:rFonts w:cs="Times New Roman"/>
          <w:i/>
          <w:sz w:val="24"/>
          <w:szCs w:val="24"/>
        </w:rPr>
        <w:t>insult</w:t>
      </w:r>
      <w:r w:rsidRPr="00973AEB">
        <w:rPr>
          <w:rStyle w:val="Refdenotaalpie"/>
        </w:rPr>
        <w:footnoteReference w:id="19"/>
      </w:r>
      <w:r w:rsidRPr="00D05EBD">
        <w:rPr>
          <w:rFonts w:cs="Times New Roman"/>
          <w:sz w:val="24"/>
          <w:szCs w:val="24"/>
        </w:rPr>
        <w:t xml:space="preserve">. Each sentence consisted of 5 words from which participants had to build meaningful sentences using all of the words. Two versions of the SST were devised </w:t>
      </w:r>
      <w:proofErr w:type="spellStart"/>
      <w:r w:rsidRPr="00D05EBD">
        <w:rPr>
          <w:rFonts w:cs="Times New Roman"/>
          <w:sz w:val="24"/>
          <w:szCs w:val="24"/>
        </w:rPr>
        <w:t>i</w:t>
      </w:r>
      <w:proofErr w:type="spellEnd"/>
      <w:r w:rsidRPr="00D05EBD">
        <w:rPr>
          <w:rFonts w:cs="Times New Roman"/>
          <w:sz w:val="24"/>
          <w:szCs w:val="24"/>
        </w:rPr>
        <w:t>) to prime worsening IER behaviours and; ii) to serve as a control. Both versions of the SST included the same sentences and the only thing that varied was the prime. Primes were replaced by neutral words that were selected, with the help of the MRC Psycholinguistic Database</w:t>
      </w:r>
      <w:r w:rsidRPr="00973AEB">
        <w:rPr>
          <w:rStyle w:val="Refdenotaalpie"/>
        </w:rPr>
        <w:footnoteReference w:id="20"/>
      </w:r>
      <w:r w:rsidRPr="00D05EBD">
        <w:rPr>
          <w:rFonts w:cs="Times New Roman"/>
          <w:sz w:val="24"/>
          <w:szCs w:val="24"/>
        </w:rPr>
        <w:t xml:space="preserve">, for having approximately </w:t>
      </w:r>
      <w:r w:rsidRPr="00D05EBD">
        <w:rPr>
          <w:rFonts w:cs="Arial"/>
          <w:color w:val="222222"/>
          <w:sz w:val="24"/>
          <w:szCs w:val="24"/>
          <w:shd w:val="clear" w:color="auto" w:fill="FFFFFF"/>
        </w:rPr>
        <w:t>the same length, being of the same type (verbs) and having (approximately) the same frequency of occurrence in written speech</w:t>
      </w:r>
      <w:r w:rsidRPr="00D05EBD">
        <w:rPr>
          <w:rStyle w:val="apple-converted-space"/>
          <w:rFonts w:cs="Arial"/>
          <w:color w:val="222222"/>
          <w:sz w:val="24"/>
          <w:szCs w:val="24"/>
          <w:shd w:val="clear" w:color="auto" w:fill="FFFFFF"/>
        </w:rPr>
        <w:t> </w:t>
      </w:r>
      <w:r w:rsidRPr="00D05EBD">
        <w:rPr>
          <w:rFonts w:cs="Arial"/>
          <w:color w:val="222222"/>
          <w:sz w:val="24"/>
          <w:szCs w:val="24"/>
          <w:shd w:val="clear" w:color="auto" w:fill="FFFFFF"/>
        </w:rPr>
        <w:t xml:space="preserve">as the critical prime </w:t>
      </w:r>
      <w:r w:rsidRPr="00D05EBD">
        <w:rPr>
          <w:rStyle w:val="il"/>
          <w:rFonts w:cs="Arial"/>
          <w:color w:val="222222"/>
          <w:sz w:val="24"/>
          <w:szCs w:val="24"/>
          <w:shd w:val="clear" w:color="auto" w:fill="FFFFFF"/>
        </w:rPr>
        <w:t>words.</w:t>
      </w:r>
      <w:r w:rsidRPr="00D05EBD">
        <w:rPr>
          <w:rFonts w:cs="Times New Roman"/>
          <w:sz w:val="24"/>
          <w:szCs w:val="24"/>
        </w:rPr>
        <w:t xml:space="preserve"> Examples of the sentences included in each </w:t>
      </w:r>
      <w:r w:rsidR="00C07D1E">
        <w:rPr>
          <w:rFonts w:cs="Times New Roman"/>
          <w:sz w:val="24"/>
          <w:szCs w:val="24"/>
        </w:rPr>
        <w:t>condition can be seen in Table III</w:t>
      </w:r>
      <w:r w:rsidRPr="00D05EBD">
        <w:rPr>
          <w:rFonts w:cs="Times New Roman"/>
          <w:sz w:val="24"/>
          <w:szCs w:val="24"/>
        </w:rPr>
        <w:t xml:space="preserve">.1. </w:t>
      </w:r>
    </w:p>
    <w:p w:rsidR="00B4650D" w:rsidRDefault="00B4650D" w:rsidP="00AE640B">
      <w:pPr>
        <w:spacing w:line="480" w:lineRule="auto"/>
        <w:jc w:val="both"/>
        <w:rPr>
          <w:rFonts w:cs="Times New Roman"/>
          <w:sz w:val="24"/>
          <w:szCs w:val="24"/>
        </w:rPr>
      </w:pPr>
    </w:p>
    <w:p w:rsidR="00B4650D" w:rsidRDefault="00B4650D" w:rsidP="00AE640B">
      <w:pPr>
        <w:spacing w:line="480" w:lineRule="auto"/>
        <w:jc w:val="both"/>
        <w:rPr>
          <w:rFonts w:cs="Times New Roman"/>
          <w:sz w:val="24"/>
          <w:szCs w:val="24"/>
        </w:rPr>
      </w:pPr>
    </w:p>
    <w:p w:rsidR="00B4650D" w:rsidRPr="00D05EBD" w:rsidRDefault="00B4650D" w:rsidP="00AE640B">
      <w:pPr>
        <w:spacing w:line="480" w:lineRule="auto"/>
        <w:jc w:val="both"/>
        <w:rPr>
          <w:rFonts w:cs="Times New Roman"/>
          <w:sz w:val="24"/>
          <w:szCs w:val="24"/>
        </w:rPr>
      </w:pPr>
    </w:p>
    <w:tbl>
      <w:tblPr>
        <w:tblW w:w="5000" w:type="pct"/>
        <w:tblLook w:val="04A0"/>
      </w:tblPr>
      <w:tblGrid>
        <w:gridCol w:w="4441"/>
        <w:gridCol w:w="4441"/>
      </w:tblGrid>
      <w:tr w:rsidR="00FB1389" w:rsidRPr="00370B0A" w:rsidTr="00D05EBD">
        <w:trPr>
          <w:trHeight w:val="330"/>
        </w:trPr>
        <w:tc>
          <w:tcPr>
            <w:tcW w:w="5000" w:type="pct"/>
            <w:gridSpan w:val="2"/>
            <w:tcBorders>
              <w:top w:val="nil"/>
              <w:left w:val="nil"/>
              <w:bottom w:val="single" w:sz="8" w:space="0" w:color="auto"/>
              <w:right w:val="nil"/>
            </w:tcBorders>
            <w:shd w:val="clear" w:color="auto" w:fill="auto"/>
            <w:noWrap/>
            <w:vAlign w:val="center"/>
            <w:hideMark/>
          </w:tcPr>
          <w:p w:rsidR="00FB1389" w:rsidRPr="00370B0A" w:rsidRDefault="00C07D1E" w:rsidP="00370B0A">
            <w:pPr>
              <w:spacing w:after="0" w:line="240" w:lineRule="auto"/>
              <w:jc w:val="both"/>
              <w:rPr>
                <w:rFonts w:eastAsia="Times New Roman" w:cs="Times New Roman"/>
                <w:color w:val="000000"/>
              </w:rPr>
            </w:pPr>
            <w:r>
              <w:rPr>
                <w:rFonts w:eastAsia="Times New Roman" w:cs="Times New Roman"/>
                <w:color w:val="000000"/>
                <w:lang w:val="en-US"/>
              </w:rPr>
              <w:lastRenderedPageBreak/>
              <w:t>Table III</w:t>
            </w:r>
            <w:r w:rsidR="00FB1389" w:rsidRPr="00370B0A">
              <w:rPr>
                <w:rFonts w:eastAsia="Times New Roman" w:cs="Times New Roman"/>
                <w:color w:val="000000"/>
                <w:lang w:val="en-US"/>
              </w:rPr>
              <w:t>.1  Examples of the sentences included in each condition</w:t>
            </w:r>
          </w:p>
        </w:tc>
      </w:tr>
      <w:tr w:rsidR="00FB1389" w:rsidRPr="00370B0A" w:rsidTr="00D05EBD">
        <w:trPr>
          <w:trHeight w:val="510"/>
        </w:trPr>
        <w:tc>
          <w:tcPr>
            <w:tcW w:w="2500" w:type="pct"/>
            <w:tcBorders>
              <w:top w:val="nil"/>
              <w:left w:val="nil"/>
              <w:bottom w:val="single" w:sz="8" w:space="0" w:color="auto"/>
              <w:right w:val="single" w:sz="4" w:space="0" w:color="auto"/>
            </w:tcBorders>
            <w:shd w:val="clear" w:color="auto" w:fill="auto"/>
            <w:vAlign w:val="center"/>
            <w:hideMark/>
          </w:tcPr>
          <w:p w:rsidR="00FB1389" w:rsidRPr="00370B0A" w:rsidRDefault="00FB1389" w:rsidP="00370B0A">
            <w:pPr>
              <w:spacing w:after="0" w:line="240" w:lineRule="auto"/>
              <w:jc w:val="both"/>
              <w:rPr>
                <w:rFonts w:eastAsia="Times New Roman" w:cs="Times New Roman"/>
                <w:color w:val="000000"/>
              </w:rPr>
            </w:pPr>
            <w:r w:rsidRPr="00370B0A">
              <w:rPr>
                <w:rFonts w:eastAsia="Times New Roman" w:cs="Times New Roman"/>
                <w:color w:val="000000"/>
              </w:rPr>
              <w:t>Worsening</w:t>
            </w:r>
            <w:r w:rsidRPr="00370B0A">
              <w:rPr>
                <w:rFonts w:eastAsia="Times New Roman" w:cs="Times New Roman"/>
                <w:color w:val="000000"/>
                <w:lang w:val="es-ES"/>
              </w:rPr>
              <w:t xml:space="preserve"> IER</w:t>
            </w:r>
          </w:p>
        </w:tc>
        <w:tc>
          <w:tcPr>
            <w:tcW w:w="2500" w:type="pct"/>
            <w:tcBorders>
              <w:top w:val="nil"/>
              <w:left w:val="nil"/>
              <w:bottom w:val="single" w:sz="8" w:space="0" w:color="auto"/>
              <w:right w:val="nil"/>
            </w:tcBorders>
            <w:shd w:val="clear" w:color="auto" w:fill="auto"/>
            <w:vAlign w:val="center"/>
            <w:hideMark/>
          </w:tcPr>
          <w:p w:rsidR="00FB1389" w:rsidRPr="00370B0A" w:rsidRDefault="00FB1389" w:rsidP="00370B0A">
            <w:pPr>
              <w:spacing w:after="0" w:line="240" w:lineRule="auto"/>
              <w:jc w:val="both"/>
              <w:rPr>
                <w:rFonts w:eastAsia="Times New Roman" w:cs="Times New Roman"/>
                <w:color w:val="000000"/>
              </w:rPr>
            </w:pPr>
            <w:r w:rsidRPr="00370B0A">
              <w:rPr>
                <w:rFonts w:eastAsia="Times New Roman" w:cs="Times New Roman"/>
                <w:color w:val="000000"/>
                <w:lang w:val="es-ES"/>
              </w:rPr>
              <w:t xml:space="preserve">Neutral (control </w:t>
            </w:r>
            <w:r w:rsidRPr="00370B0A">
              <w:rPr>
                <w:rFonts w:eastAsia="Times New Roman" w:cs="Times New Roman"/>
                <w:color w:val="000000"/>
              </w:rPr>
              <w:t>group</w:t>
            </w:r>
            <w:r w:rsidRPr="00370B0A">
              <w:rPr>
                <w:rFonts w:eastAsia="Times New Roman" w:cs="Times New Roman"/>
                <w:color w:val="000000"/>
                <w:lang w:val="es-ES"/>
              </w:rPr>
              <w:t>)</w:t>
            </w:r>
          </w:p>
        </w:tc>
      </w:tr>
      <w:tr w:rsidR="00FB1389" w:rsidRPr="00370B0A" w:rsidTr="00D05EBD">
        <w:trPr>
          <w:trHeight w:val="510"/>
        </w:trPr>
        <w:tc>
          <w:tcPr>
            <w:tcW w:w="2500" w:type="pct"/>
            <w:tcBorders>
              <w:top w:val="nil"/>
              <w:left w:val="nil"/>
              <w:bottom w:val="nil"/>
              <w:right w:val="single" w:sz="4" w:space="0" w:color="auto"/>
            </w:tcBorders>
            <w:shd w:val="clear" w:color="auto" w:fill="auto"/>
            <w:noWrap/>
            <w:vAlign w:val="center"/>
            <w:hideMark/>
          </w:tcPr>
          <w:p w:rsidR="00FB1389" w:rsidRPr="00370B0A" w:rsidRDefault="00FB1389" w:rsidP="00370B0A">
            <w:pPr>
              <w:spacing w:after="0" w:line="240" w:lineRule="auto"/>
              <w:jc w:val="both"/>
              <w:rPr>
                <w:rFonts w:eastAsia="Times New Roman" w:cs="Times New Roman"/>
                <w:color w:val="000000"/>
              </w:rPr>
            </w:pPr>
            <w:r w:rsidRPr="00370B0A">
              <w:rPr>
                <w:rFonts w:eastAsia="Times New Roman" w:cs="Times New Roman"/>
                <w:color w:val="000000"/>
                <w:lang w:val="en-US"/>
              </w:rPr>
              <w:t xml:space="preserve">popular / the / </w:t>
            </w:r>
            <w:r w:rsidRPr="00370B0A">
              <w:rPr>
                <w:rFonts w:eastAsia="Times New Roman" w:cs="Times New Roman"/>
                <w:b/>
                <w:bCs/>
                <w:color w:val="000000"/>
                <w:lang w:val="en-US"/>
              </w:rPr>
              <w:t xml:space="preserve">intimidates </w:t>
            </w:r>
            <w:r w:rsidRPr="00370B0A">
              <w:rPr>
                <w:rFonts w:eastAsia="Times New Roman" w:cs="Times New Roman"/>
                <w:color w:val="000000"/>
                <w:lang w:val="en-US"/>
              </w:rPr>
              <w:t>/ girl / everyone</w:t>
            </w:r>
          </w:p>
        </w:tc>
        <w:tc>
          <w:tcPr>
            <w:tcW w:w="2500" w:type="pct"/>
            <w:tcBorders>
              <w:top w:val="nil"/>
              <w:left w:val="nil"/>
              <w:bottom w:val="nil"/>
              <w:right w:val="nil"/>
            </w:tcBorders>
            <w:shd w:val="clear" w:color="auto" w:fill="auto"/>
            <w:noWrap/>
            <w:vAlign w:val="center"/>
            <w:hideMark/>
          </w:tcPr>
          <w:p w:rsidR="00FB1389" w:rsidRPr="00370B0A" w:rsidRDefault="00FB1389" w:rsidP="00370B0A">
            <w:pPr>
              <w:spacing w:after="0" w:line="240" w:lineRule="auto"/>
              <w:jc w:val="both"/>
              <w:rPr>
                <w:rFonts w:eastAsia="Times New Roman" w:cs="Times New Roman"/>
                <w:color w:val="000000"/>
              </w:rPr>
            </w:pPr>
            <w:r w:rsidRPr="00370B0A">
              <w:rPr>
                <w:rFonts w:eastAsia="Times New Roman" w:cs="Times New Roman"/>
                <w:color w:val="000000"/>
                <w:lang w:val="en-US"/>
              </w:rPr>
              <w:t xml:space="preserve">popular / the / </w:t>
            </w:r>
            <w:r w:rsidRPr="00370B0A">
              <w:rPr>
                <w:rFonts w:eastAsia="Times New Roman" w:cs="Times New Roman"/>
                <w:b/>
                <w:bCs/>
                <w:color w:val="7F7F7F" w:themeColor="text1" w:themeTint="80"/>
                <w:lang w:val="en-US"/>
              </w:rPr>
              <w:t>imitates</w:t>
            </w:r>
            <w:r w:rsidRPr="00370B0A">
              <w:rPr>
                <w:rFonts w:eastAsia="Times New Roman" w:cs="Times New Roman"/>
                <w:b/>
                <w:bCs/>
                <w:color w:val="000000"/>
                <w:lang w:val="en-US"/>
              </w:rPr>
              <w:t xml:space="preserve"> </w:t>
            </w:r>
            <w:r w:rsidRPr="00370B0A">
              <w:rPr>
                <w:rFonts w:eastAsia="Times New Roman" w:cs="Times New Roman"/>
                <w:color w:val="000000"/>
                <w:lang w:val="en-US"/>
              </w:rPr>
              <w:t>/ girl / everyone</w:t>
            </w:r>
          </w:p>
        </w:tc>
      </w:tr>
      <w:tr w:rsidR="00FB1389" w:rsidRPr="00370B0A" w:rsidTr="00D05EBD">
        <w:trPr>
          <w:trHeight w:val="510"/>
        </w:trPr>
        <w:tc>
          <w:tcPr>
            <w:tcW w:w="2500" w:type="pct"/>
            <w:tcBorders>
              <w:top w:val="nil"/>
              <w:left w:val="nil"/>
              <w:bottom w:val="nil"/>
              <w:right w:val="single" w:sz="4" w:space="0" w:color="auto"/>
            </w:tcBorders>
            <w:shd w:val="clear" w:color="auto" w:fill="auto"/>
            <w:noWrap/>
            <w:vAlign w:val="center"/>
            <w:hideMark/>
          </w:tcPr>
          <w:p w:rsidR="00FB1389" w:rsidRPr="00370B0A" w:rsidRDefault="00FB1389" w:rsidP="00370B0A">
            <w:pPr>
              <w:spacing w:after="0" w:line="240" w:lineRule="auto"/>
              <w:jc w:val="both"/>
              <w:rPr>
                <w:rFonts w:eastAsia="Times New Roman" w:cs="Times New Roman"/>
                <w:color w:val="000000"/>
              </w:rPr>
            </w:pPr>
            <w:r w:rsidRPr="00370B0A">
              <w:rPr>
                <w:rFonts w:eastAsia="Times New Roman" w:cs="Times New Roman"/>
                <w:color w:val="000000"/>
                <w:lang w:val="en-US"/>
              </w:rPr>
              <w:t xml:space="preserve">patients / </w:t>
            </w:r>
            <w:r w:rsidRPr="00370B0A">
              <w:rPr>
                <w:rFonts w:eastAsia="Times New Roman" w:cs="Times New Roman"/>
                <w:b/>
                <w:bCs/>
                <w:color w:val="000000"/>
                <w:lang w:val="en-US"/>
              </w:rPr>
              <w:t xml:space="preserve">hurts </w:t>
            </w:r>
            <w:r w:rsidRPr="00370B0A">
              <w:rPr>
                <w:rFonts w:eastAsia="Times New Roman" w:cs="Times New Roman"/>
                <w:color w:val="000000"/>
                <w:lang w:val="en-US"/>
              </w:rPr>
              <w:t>/ a / nurse / her</w:t>
            </w:r>
          </w:p>
        </w:tc>
        <w:tc>
          <w:tcPr>
            <w:tcW w:w="2500" w:type="pct"/>
            <w:tcBorders>
              <w:top w:val="nil"/>
              <w:left w:val="nil"/>
              <w:bottom w:val="nil"/>
              <w:right w:val="nil"/>
            </w:tcBorders>
            <w:shd w:val="clear" w:color="auto" w:fill="auto"/>
            <w:noWrap/>
            <w:vAlign w:val="center"/>
            <w:hideMark/>
          </w:tcPr>
          <w:p w:rsidR="00FB1389" w:rsidRPr="00370B0A" w:rsidRDefault="00FB1389" w:rsidP="00370B0A">
            <w:pPr>
              <w:spacing w:after="0" w:line="240" w:lineRule="auto"/>
              <w:jc w:val="both"/>
              <w:rPr>
                <w:rFonts w:eastAsia="Times New Roman" w:cs="Times New Roman"/>
                <w:color w:val="000000"/>
              </w:rPr>
            </w:pPr>
            <w:r w:rsidRPr="00370B0A">
              <w:rPr>
                <w:rFonts w:eastAsia="Times New Roman" w:cs="Times New Roman"/>
                <w:color w:val="000000"/>
                <w:lang w:val="en-US"/>
              </w:rPr>
              <w:t xml:space="preserve">patients / </w:t>
            </w:r>
            <w:r w:rsidRPr="00370B0A">
              <w:rPr>
                <w:rFonts w:eastAsia="Times New Roman" w:cs="Times New Roman"/>
                <w:b/>
                <w:bCs/>
                <w:color w:val="7F7F7F" w:themeColor="text1" w:themeTint="80"/>
                <w:lang w:val="en-US"/>
              </w:rPr>
              <w:t>washes</w:t>
            </w:r>
            <w:r w:rsidRPr="00370B0A">
              <w:rPr>
                <w:rFonts w:eastAsia="Times New Roman" w:cs="Times New Roman"/>
                <w:b/>
                <w:bCs/>
                <w:color w:val="000000"/>
                <w:lang w:val="en-US"/>
              </w:rPr>
              <w:t xml:space="preserve"> </w:t>
            </w:r>
            <w:r w:rsidRPr="00370B0A">
              <w:rPr>
                <w:rFonts w:eastAsia="Times New Roman" w:cs="Times New Roman"/>
                <w:color w:val="000000"/>
                <w:lang w:val="en-US"/>
              </w:rPr>
              <w:t>/ a / nurse / her</w:t>
            </w:r>
          </w:p>
        </w:tc>
      </w:tr>
      <w:tr w:rsidR="00FB1389" w:rsidRPr="00370B0A" w:rsidTr="00D05EBD">
        <w:trPr>
          <w:trHeight w:val="510"/>
        </w:trPr>
        <w:tc>
          <w:tcPr>
            <w:tcW w:w="2500" w:type="pct"/>
            <w:tcBorders>
              <w:top w:val="nil"/>
              <w:left w:val="nil"/>
              <w:bottom w:val="double" w:sz="6" w:space="0" w:color="auto"/>
              <w:right w:val="single" w:sz="4" w:space="0" w:color="auto"/>
            </w:tcBorders>
            <w:shd w:val="clear" w:color="auto" w:fill="auto"/>
            <w:noWrap/>
            <w:vAlign w:val="center"/>
            <w:hideMark/>
          </w:tcPr>
          <w:p w:rsidR="00FB1389" w:rsidRPr="00370B0A" w:rsidRDefault="00FB1389" w:rsidP="00370B0A">
            <w:pPr>
              <w:spacing w:after="0" w:line="240" w:lineRule="auto"/>
              <w:jc w:val="both"/>
              <w:rPr>
                <w:rFonts w:eastAsia="Times New Roman" w:cs="Times New Roman"/>
                <w:b/>
                <w:bCs/>
                <w:color w:val="000000"/>
              </w:rPr>
            </w:pPr>
            <w:r w:rsidRPr="00370B0A">
              <w:rPr>
                <w:rFonts w:eastAsia="Times New Roman" w:cs="Times New Roman"/>
                <w:b/>
                <w:bCs/>
                <w:color w:val="000000"/>
                <w:lang w:val="en-US"/>
              </w:rPr>
              <w:t xml:space="preserve">insults </w:t>
            </w:r>
            <w:r w:rsidRPr="00370B0A">
              <w:rPr>
                <w:rFonts w:eastAsia="Times New Roman" w:cs="Times New Roman"/>
                <w:color w:val="000000"/>
                <w:lang w:val="en-US"/>
              </w:rPr>
              <w:t>/ teacher / our / students / her</w:t>
            </w:r>
          </w:p>
        </w:tc>
        <w:tc>
          <w:tcPr>
            <w:tcW w:w="2500" w:type="pct"/>
            <w:tcBorders>
              <w:top w:val="nil"/>
              <w:left w:val="nil"/>
              <w:bottom w:val="double" w:sz="6" w:space="0" w:color="auto"/>
              <w:right w:val="nil"/>
            </w:tcBorders>
            <w:shd w:val="clear" w:color="auto" w:fill="auto"/>
            <w:noWrap/>
            <w:vAlign w:val="center"/>
            <w:hideMark/>
          </w:tcPr>
          <w:p w:rsidR="00FB1389" w:rsidRPr="00370B0A" w:rsidRDefault="00FB1389" w:rsidP="00370B0A">
            <w:pPr>
              <w:spacing w:after="0" w:line="240" w:lineRule="auto"/>
              <w:jc w:val="both"/>
              <w:rPr>
                <w:rFonts w:eastAsia="Times New Roman" w:cs="Times New Roman"/>
                <w:b/>
                <w:bCs/>
                <w:color w:val="000000"/>
              </w:rPr>
            </w:pPr>
            <w:r w:rsidRPr="00370B0A">
              <w:rPr>
                <w:rFonts w:eastAsia="Times New Roman" w:cs="Times New Roman"/>
                <w:b/>
                <w:bCs/>
                <w:color w:val="7F7F7F" w:themeColor="text1" w:themeTint="80"/>
                <w:lang w:val="en-US"/>
              </w:rPr>
              <w:t>informs</w:t>
            </w:r>
            <w:r w:rsidRPr="00370B0A">
              <w:rPr>
                <w:rFonts w:eastAsia="Times New Roman" w:cs="Times New Roman"/>
                <w:b/>
                <w:bCs/>
                <w:color w:val="000000"/>
                <w:lang w:val="en-US"/>
              </w:rPr>
              <w:t xml:space="preserve"> </w:t>
            </w:r>
            <w:r w:rsidRPr="00370B0A">
              <w:rPr>
                <w:rFonts w:eastAsia="Times New Roman" w:cs="Times New Roman"/>
                <w:color w:val="000000"/>
                <w:lang w:val="en-US"/>
              </w:rPr>
              <w:t>/ teacher / our / students / her</w:t>
            </w:r>
          </w:p>
        </w:tc>
      </w:tr>
    </w:tbl>
    <w:p w:rsidR="00FB1389" w:rsidRPr="00D05EBD" w:rsidRDefault="00FB1389" w:rsidP="00AE640B">
      <w:pPr>
        <w:spacing w:line="480" w:lineRule="auto"/>
        <w:jc w:val="both"/>
        <w:rPr>
          <w:rFonts w:cs="Times New Roman"/>
          <w:sz w:val="24"/>
          <w:szCs w:val="24"/>
        </w:rPr>
      </w:pPr>
    </w:p>
    <w:p w:rsidR="00FB1389" w:rsidRPr="00D05EBD" w:rsidRDefault="00FB1389" w:rsidP="00AE640B">
      <w:pPr>
        <w:spacing w:line="480" w:lineRule="auto"/>
        <w:ind w:left="720" w:firstLine="720"/>
        <w:jc w:val="both"/>
        <w:rPr>
          <w:rFonts w:cs="Times New Roman"/>
          <w:i/>
          <w:sz w:val="24"/>
          <w:szCs w:val="24"/>
        </w:rPr>
      </w:pPr>
      <w:r w:rsidRPr="00D05EBD">
        <w:rPr>
          <w:rFonts w:cs="Times New Roman"/>
          <w:i/>
          <w:sz w:val="24"/>
          <w:szCs w:val="24"/>
        </w:rPr>
        <w:t>Script</w:t>
      </w:r>
    </w:p>
    <w:p w:rsidR="00FB1389" w:rsidRPr="00D05EBD" w:rsidRDefault="00FB1389" w:rsidP="00AE640B">
      <w:pPr>
        <w:spacing w:line="480" w:lineRule="auto"/>
        <w:jc w:val="both"/>
        <w:rPr>
          <w:rFonts w:cs="Times New Roman"/>
          <w:i/>
          <w:sz w:val="24"/>
          <w:szCs w:val="24"/>
          <w:lang w:val="en-US"/>
        </w:rPr>
      </w:pPr>
      <w:r w:rsidRPr="00D05EBD">
        <w:rPr>
          <w:rFonts w:cs="Times New Roman"/>
          <w:sz w:val="24"/>
          <w:szCs w:val="24"/>
        </w:rPr>
        <w:tab/>
        <w:t>As people u</w:t>
      </w:r>
      <w:r w:rsidR="00004AF2">
        <w:rPr>
          <w:rFonts w:cs="Times New Roman"/>
          <w:sz w:val="24"/>
          <w:szCs w:val="24"/>
        </w:rPr>
        <w:t>se IER in social interactions, S</w:t>
      </w:r>
      <w:r w:rsidRPr="00D05EBD">
        <w:rPr>
          <w:rFonts w:cs="Times New Roman"/>
          <w:sz w:val="24"/>
          <w:szCs w:val="24"/>
        </w:rPr>
        <w:t xml:space="preserve">tudy 2a chose an imaginary social interaction to see whether AIER occurred. This imaginary interaction took the form of a script with two characters in it. Participants had to imagine an interaction between these two characters and create the script playing the part of one of these characters. Participants also had to choose one of two IER goals: whether to make the other character feel better or worse. The format of the script had three sections: </w:t>
      </w:r>
      <w:proofErr w:type="spellStart"/>
      <w:r w:rsidRPr="00D05EBD">
        <w:rPr>
          <w:rFonts w:cs="Times New Roman"/>
          <w:sz w:val="24"/>
          <w:szCs w:val="24"/>
        </w:rPr>
        <w:t>i</w:t>
      </w:r>
      <w:proofErr w:type="spellEnd"/>
      <w:r w:rsidRPr="00D05EBD">
        <w:rPr>
          <w:rFonts w:cs="Times New Roman"/>
          <w:sz w:val="24"/>
          <w:szCs w:val="24"/>
        </w:rPr>
        <w:t xml:space="preserve">) the instructions of the script, ii) the section where participants had to choose the character, an object, an IER goal, and a situation, and iii) blank space for participants to actually write the script. Next, each of these sections will be described in more detail. The instructions of the script were as follows: </w:t>
      </w:r>
      <w:r w:rsidRPr="00D05EBD">
        <w:rPr>
          <w:rFonts w:cs="Times New Roman"/>
          <w:i/>
          <w:sz w:val="24"/>
          <w:szCs w:val="24"/>
          <w:lang w:val="en-US"/>
        </w:rPr>
        <w:t xml:space="preserve">This task involves writing a script. There are just two characters in the play, a 32-year-old woman and a 25-year-old man. You will play one of the characters and your goal is to make the other character feel better or worse. Your play must also involve an object, and a situation. Please choose which character you would like to play, along with an object and a situation below. Then please write a short script (one A4 page) in the form of a dialogue between the two characters. Don’t forget to include your chosen object, goal and situation. </w:t>
      </w:r>
      <w:r w:rsidRPr="00D05EBD">
        <w:rPr>
          <w:rFonts w:cs="Times New Roman"/>
          <w:sz w:val="24"/>
          <w:szCs w:val="24"/>
          <w:lang w:val="en-US"/>
        </w:rPr>
        <w:t>Below these instructions, there were three items with two options of response each, where part</w:t>
      </w:r>
      <w:r w:rsidR="00004AF2">
        <w:rPr>
          <w:rFonts w:cs="Times New Roman"/>
          <w:sz w:val="24"/>
          <w:szCs w:val="24"/>
          <w:lang w:val="en-US"/>
        </w:rPr>
        <w:t xml:space="preserve">icipants had to </w:t>
      </w:r>
      <w:r w:rsidR="00004AF2">
        <w:rPr>
          <w:rFonts w:cs="Times New Roman"/>
          <w:sz w:val="24"/>
          <w:szCs w:val="24"/>
          <w:lang w:val="en-US"/>
        </w:rPr>
        <w:lastRenderedPageBreak/>
        <w:t>tick a box next</w:t>
      </w:r>
      <w:r w:rsidRPr="00D05EBD">
        <w:rPr>
          <w:rFonts w:cs="Times New Roman"/>
          <w:sz w:val="24"/>
          <w:szCs w:val="24"/>
          <w:lang w:val="en-US"/>
        </w:rPr>
        <w:t xml:space="preserve"> to the option of character they wanted to play (</w:t>
      </w:r>
      <w:r w:rsidRPr="00D05EBD">
        <w:rPr>
          <w:rFonts w:cs="Times New Roman"/>
          <w:b/>
          <w:bCs/>
          <w:i/>
          <w:sz w:val="24"/>
          <w:szCs w:val="24"/>
          <w:lang w:val="en-US"/>
        </w:rPr>
        <w:t xml:space="preserve">Person A: </w:t>
      </w:r>
      <w:r w:rsidRPr="00D05EBD">
        <w:rPr>
          <w:rFonts w:cs="Times New Roman"/>
          <w:i/>
          <w:sz w:val="24"/>
          <w:szCs w:val="24"/>
          <w:lang w:val="en-US"/>
        </w:rPr>
        <w:t xml:space="preserve">A 32-year-old woman, </w:t>
      </w:r>
      <w:r w:rsidRPr="00D05EBD">
        <w:rPr>
          <w:rFonts w:cs="Times New Roman"/>
          <w:b/>
          <w:bCs/>
          <w:i/>
          <w:sz w:val="24"/>
          <w:szCs w:val="24"/>
          <w:lang w:val="en-US"/>
        </w:rPr>
        <w:t xml:space="preserve">Person B: </w:t>
      </w:r>
      <w:r w:rsidRPr="00D05EBD">
        <w:rPr>
          <w:rFonts w:cs="Times New Roman"/>
          <w:i/>
          <w:sz w:val="24"/>
          <w:szCs w:val="24"/>
          <w:lang w:val="en-US"/>
        </w:rPr>
        <w:t>A 25-year-old man</w:t>
      </w:r>
      <w:r w:rsidRPr="00D05EBD">
        <w:rPr>
          <w:rFonts w:cs="Times New Roman"/>
          <w:sz w:val="24"/>
          <w:szCs w:val="24"/>
          <w:lang w:val="en-US"/>
        </w:rPr>
        <w:t>); the object they wanted to include in the script (</w:t>
      </w:r>
      <w:r w:rsidRPr="00D05EBD">
        <w:rPr>
          <w:rFonts w:cs="Times New Roman"/>
          <w:i/>
          <w:sz w:val="24"/>
          <w:szCs w:val="24"/>
          <w:lang w:val="en-US"/>
        </w:rPr>
        <w:t xml:space="preserve">a stick </w:t>
      </w:r>
      <w:r w:rsidRPr="00D05EBD">
        <w:rPr>
          <w:rFonts w:cs="Times New Roman"/>
          <w:sz w:val="24"/>
          <w:szCs w:val="24"/>
          <w:lang w:val="en-US"/>
        </w:rPr>
        <w:t xml:space="preserve">or </w:t>
      </w:r>
      <w:r w:rsidRPr="00D05EBD">
        <w:rPr>
          <w:rFonts w:cs="Times New Roman"/>
          <w:i/>
          <w:sz w:val="24"/>
          <w:szCs w:val="24"/>
          <w:lang w:val="en-US"/>
        </w:rPr>
        <w:t>a carpet)</w:t>
      </w:r>
      <w:r w:rsidRPr="00D05EBD">
        <w:rPr>
          <w:rFonts w:cs="Times New Roman"/>
          <w:sz w:val="24"/>
          <w:szCs w:val="24"/>
          <w:lang w:val="en-US"/>
        </w:rPr>
        <w:t>; the IER goal they wanted to use with the other character on script (</w:t>
      </w:r>
      <w:r w:rsidRPr="00D05EBD">
        <w:rPr>
          <w:rFonts w:cs="Times New Roman"/>
          <w:i/>
          <w:sz w:val="24"/>
          <w:szCs w:val="24"/>
          <w:lang w:val="en-US"/>
        </w:rPr>
        <w:t xml:space="preserve">make the other character feel better </w:t>
      </w:r>
      <w:r w:rsidRPr="00D05EBD">
        <w:rPr>
          <w:rFonts w:cs="Times New Roman"/>
          <w:sz w:val="24"/>
          <w:szCs w:val="24"/>
          <w:lang w:val="en-US"/>
        </w:rPr>
        <w:t xml:space="preserve">or </w:t>
      </w:r>
      <w:r w:rsidRPr="00D05EBD">
        <w:rPr>
          <w:rFonts w:cs="Times New Roman"/>
          <w:i/>
          <w:sz w:val="24"/>
          <w:szCs w:val="24"/>
          <w:lang w:val="en-US"/>
        </w:rPr>
        <w:t>make the other character feel worse</w:t>
      </w:r>
      <w:r w:rsidRPr="00D05EBD">
        <w:rPr>
          <w:rFonts w:cs="Times New Roman"/>
          <w:sz w:val="24"/>
          <w:szCs w:val="24"/>
          <w:lang w:val="en-US"/>
        </w:rPr>
        <w:t>); the situation or context where the script was going to take place (</w:t>
      </w:r>
      <w:r w:rsidRPr="00D05EBD">
        <w:rPr>
          <w:rFonts w:cs="Times New Roman"/>
          <w:i/>
          <w:sz w:val="24"/>
          <w:szCs w:val="24"/>
          <w:lang w:val="en-US"/>
        </w:rPr>
        <w:t>a supermarket</w:t>
      </w:r>
      <w:r w:rsidRPr="00D05EBD">
        <w:rPr>
          <w:rFonts w:cs="Times New Roman"/>
          <w:sz w:val="24"/>
          <w:szCs w:val="24"/>
          <w:lang w:val="en-US"/>
        </w:rPr>
        <w:t xml:space="preserve"> or </w:t>
      </w:r>
      <w:r w:rsidRPr="00D05EBD">
        <w:rPr>
          <w:rFonts w:cs="Times New Roman"/>
          <w:i/>
          <w:sz w:val="24"/>
          <w:szCs w:val="24"/>
          <w:lang w:val="en-US"/>
        </w:rPr>
        <w:t>a street in a city</w:t>
      </w:r>
      <w:r w:rsidRPr="00D05EBD">
        <w:rPr>
          <w:rFonts w:cs="Times New Roman"/>
          <w:sz w:val="24"/>
          <w:szCs w:val="24"/>
          <w:lang w:val="en-US"/>
        </w:rPr>
        <w:t>).</w:t>
      </w:r>
      <w:r w:rsidRPr="00D05EBD">
        <w:rPr>
          <w:rFonts w:cs="Times New Roman"/>
          <w:i/>
          <w:sz w:val="24"/>
          <w:szCs w:val="24"/>
          <w:lang w:val="en-US"/>
        </w:rPr>
        <w:t xml:space="preserve"> </w:t>
      </w:r>
      <w:r w:rsidRPr="00D05EBD">
        <w:rPr>
          <w:rFonts w:cs="Times New Roman"/>
          <w:sz w:val="24"/>
          <w:szCs w:val="24"/>
          <w:lang w:val="en-US"/>
        </w:rPr>
        <w:t xml:space="preserve">After, space for participants to write the script was presented. The first four lines of the script were provided to help the participant start the story. (Line one, </w:t>
      </w:r>
      <w:r w:rsidRPr="00D05EBD">
        <w:rPr>
          <w:rFonts w:cs="Times New Roman"/>
          <w:i/>
          <w:sz w:val="24"/>
          <w:szCs w:val="24"/>
          <w:lang w:val="en-US"/>
        </w:rPr>
        <w:t xml:space="preserve">PERSON A: How long have you had that jumper you're wearing?; line 2, PERSON B: I've had it since school; line 3 PERSON A: I think it...; line 4 PERSON B: Well, in fact it...). </w:t>
      </w:r>
      <w:r w:rsidRPr="00D05EBD">
        <w:rPr>
          <w:rFonts w:cs="Times New Roman"/>
          <w:sz w:val="24"/>
          <w:szCs w:val="24"/>
          <w:lang w:val="en-US"/>
        </w:rPr>
        <w:t xml:space="preserve">Participants started the script by completing the third and fourth line. For present purposes, the character the participants chose to play will be referred to as the “agent”. The other character in the script who the participants were instructed to modify the emotions of will be referred to as the “target”. </w:t>
      </w:r>
    </w:p>
    <w:p w:rsidR="00FB1389" w:rsidRPr="00D05EBD" w:rsidRDefault="00FB1389" w:rsidP="00AE640B">
      <w:pPr>
        <w:spacing w:line="480" w:lineRule="auto"/>
        <w:ind w:left="720" w:firstLine="720"/>
        <w:jc w:val="both"/>
        <w:rPr>
          <w:rFonts w:cs="Times New Roman"/>
          <w:i/>
          <w:sz w:val="24"/>
          <w:szCs w:val="24"/>
        </w:rPr>
      </w:pPr>
      <w:r w:rsidRPr="00D05EBD">
        <w:rPr>
          <w:rFonts w:cs="Times New Roman"/>
          <w:i/>
          <w:sz w:val="24"/>
          <w:szCs w:val="24"/>
        </w:rPr>
        <w:t xml:space="preserve">Social-Desirability Short Scale </w:t>
      </w:r>
    </w:p>
    <w:p w:rsidR="00FB1389" w:rsidRDefault="00FB1389" w:rsidP="00AE640B">
      <w:pPr>
        <w:spacing w:line="480" w:lineRule="auto"/>
        <w:jc w:val="both"/>
        <w:rPr>
          <w:rFonts w:cs="Times New Roman"/>
          <w:sz w:val="24"/>
          <w:szCs w:val="24"/>
        </w:rPr>
      </w:pPr>
      <w:r w:rsidRPr="00D05EBD">
        <w:rPr>
          <w:rFonts w:cs="Times New Roman"/>
          <w:sz w:val="24"/>
          <w:szCs w:val="24"/>
        </w:rPr>
        <w:tab/>
        <w:t>At the end of the study participants completed a short version (8 items) of the Marlowe-</w:t>
      </w:r>
      <w:proofErr w:type="spellStart"/>
      <w:r w:rsidRPr="00D05EBD">
        <w:rPr>
          <w:rFonts w:cs="Times New Roman"/>
          <w:sz w:val="24"/>
          <w:szCs w:val="24"/>
        </w:rPr>
        <w:t>Crowne</w:t>
      </w:r>
      <w:proofErr w:type="spellEnd"/>
      <w:r w:rsidRPr="00D05EBD">
        <w:rPr>
          <w:rFonts w:cs="Times New Roman"/>
          <w:sz w:val="24"/>
          <w:szCs w:val="24"/>
        </w:rPr>
        <w:t xml:space="preserve"> Social Desirability Scale </w:t>
      </w:r>
      <w:r w:rsidR="00B06E70">
        <w:rPr>
          <w:rFonts w:cs="Times New Roman"/>
          <w:sz w:val="24"/>
          <w:szCs w:val="24"/>
        </w:rPr>
        <w:fldChar w:fldCharType="begin" w:fldLock="1"/>
      </w:r>
      <w:r w:rsidR="00370B0A">
        <w:rPr>
          <w:rFonts w:cs="Times New Roman"/>
          <w:sz w:val="24"/>
          <w:szCs w:val="24"/>
        </w:rPr>
        <w:instrText>ADDIN CSL_CITATION { "citationItems" : [ { "id" : "ITEM-1", "itemData" : { "DOI" : "10.1080/00224545.1984.9924522", "ISBN" : "00224545", "ISSN" : "0022-4545", "PMID" : "5392230", "abstract" : "Eight items from the Marlowe-Crowne Social Desirability (MCSD) Scale were administered to 95 Ss living in Sydney, Australia, and a 6-item scale also derived from the MCSD Scale was readministered to 122 Ss from New South Wales and 200 other Sydney Ss. Results indicate that, contrary to findings by J. G. O'Gorman (see record 1974-23029-001), short MCSD scales may have satisfactory alphas with general population samples. It is suggested that O'Gorman's results may show the effect of coercion on social-desirability responding. (8 ref) ((c) 1999 APA/PsycINFO, all rights reserved)", "author" : [ { "dropping-particle" : "", "family" : "Ray", "given" : "John J", "non-dropping-particle" : "", "parse-names" : false, "suffix" : "" } ], "container-title" : "The Journal of Social Psychology", "id" : "ITEM-1", "issue" : "1", "issued" : { "date-parts" : [ [ "1984" ] ] }, "page" : "133-134", "title" : "The Reliability of Short Social Desirability Scales", "type" : "article", "volume" : "123" }, "uris" : [ "http://www.mendeley.com/documents/?uuid=efaf8890-0fbe-3577-a997-82b9f9549fe2" ] } ], "mendeley" : { "formattedCitation" : "(Ray, 1984)", "plainTextFormattedCitation" : "(Ray, 1984)", "previouslyFormattedCitation" : "(Ray, 1984)" }, "properties" : { "noteIndex" : 0 }, "schema" : "https://github.com/citation-style-language/schema/raw/master/csl-citation.json" }</w:instrText>
      </w:r>
      <w:r w:rsidR="00B06E70">
        <w:rPr>
          <w:rFonts w:cs="Times New Roman"/>
          <w:sz w:val="24"/>
          <w:szCs w:val="24"/>
        </w:rPr>
        <w:fldChar w:fldCharType="separate"/>
      </w:r>
      <w:r w:rsidR="00EC0844" w:rsidRPr="00EC0844">
        <w:rPr>
          <w:rFonts w:cs="Times New Roman"/>
          <w:noProof/>
          <w:sz w:val="24"/>
          <w:szCs w:val="24"/>
        </w:rPr>
        <w:t>(Ray, 1984)</w:t>
      </w:r>
      <w:r w:rsidR="00B06E70">
        <w:rPr>
          <w:rFonts w:cs="Times New Roman"/>
          <w:sz w:val="24"/>
          <w:szCs w:val="24"/>
        </w:rPr>
        <w:fldChar w:fldCharType="end"/>
      </w:r>
      <w:r w:rsidRPr="00D05EBD">
        <w:rPr>
          <w:rFonts w:cs="Times New Roman"/>
          <w:sz w:val="24"/>
          <w:szCs w:val="24"/>
        </w:rPr>
        <w:t xml:space="preserve"> (e.g. </w:t>
      </w:r>
      <w:r w:rsidRPr="00D05EBD">
        <w:rPr>
          <w:rFonts w:cs="Times New Roman"/>
          <w:i/>
          <w:sz w:val="24"/>
          <w:szCs w:val="24"/>
        </w:rPr>
        <w:t>Are you quick to admitting a mistake?</w:t>
      </w:r>
      <w:r w:rsidRPr="00D05EBD">
        <w:rPr>
          <w:rFonts w:cs="Times New Roman"/>
          <w:sz w:val="24"/>
          <w:szCs w:val="24"/>
        </w:rPr>
        <w:t xml:space="preserve">).  The answers to these questions had a true/false format. </w:t>
      </w:r>
    </w:p>
    <w:p w:rsidR="00D04317" w:rsidRPr="00D05EBD" w:rsidRDefault="00D04317" w:rsidP="00AE640B">
      <w:pPr>
        <w:spacing w:line="480" w:lineRule="auto"/>
        <w:jc w:val="both"/>
        <w:rPr>
          <w:rFonts w:cs="Times New Roman"/>
          <w:sz w:val="24"/>
          <w:szCs w:val="24"/>
        </w:rPr>
      </w:pPr>
    </w:p>
    <w:p w:rsidR="00FB1389" w:rsidRPr="00D05EBD" w:rsidRDefault="00093982" w:rsidP="00AE640B">
      <w:pPr>
        <w:spacing w:line="480" w:lineRule="auto"/>
        <w:ind w:left="720" w:firstLine="720"/>
        <w:jc w:val="both"/>
        <w:rPr>
          <w:rFonts w:cs="Times New Roman"/>
          <w:i/>
          <w:sz w:val="24"/>
          <w:szCs w:val="24"/>
        </w:rPr>
      </w:pPr>
      <w:r>
        <w:rPr>
          <w:rFonts w:cs="Times New Roman"/>
          <w:i/>
          <w:sz w:val="24"/>
          <w:szCs w:val="24"/>
        </w:rPr>
        <w:tab/>
        <w:t>3.3</w:t>
      </w:r>
      <w:r w:rsidR="00FB1389" w:rsidRPr="00D05EBD">
        <w:rPr>
          <w:rFonts w:cs="Times New Roman"/>
          <w:i/>
          <w:sz w:val="24"/>
          <w:szCs w:val="24"/>
        </w:rPr>
        <w:t>.1.1.4 Coding strategy</w:t>
      </w:r>
    </w:p>
    <w:p w:rsidR="00FB1389" w:rsidRPr="00D05EBD" w:rsidRDefault="00FB1389" w:rsidP="00AE640B">
      <w:pPr>
        <w:spacing w:line="480" w:lineRule="auto"/>
        <w:jc w:val="both"/>
        <w:rPr>
          <w:rFonts w:cs="Times New Roman"/>
          <w:sz w:val="24"/>
          <w:szCs w:val="24"/>
        </w:rPr>
      </w:pPr>
      <w:r w:rsidRPr="00D05EBD">
        <w:rPr>
          <w:rFonts w:cs="Times New Roman"/>
          <w:sz w:val="24"/>
          <w:szCs w:val="24"/>
        </w:rPr>
        <w:tab/>
        <w:t xml:space="preserve">Participants’ scripts were first coded by the experimenter and then second coded by an independent experimenter who was blind to the purpose of this study. Both coders looked for behaviours describing IER such as insulting one of the characters, </w:t>
      </w:r>
      <w:r w:rsidRPr="00D05EBD">
        <w:rPr>
          <w:rFonts w:cs="Times New Roman"/>
          <w:sz w:val="24"/>
          <w:szCs w:val="24"/>
        </w:rPr>
        <w:lastRenderedPageBreak/>
        <w:t xml:space="preserve">telling one of the characters that she/he looked great or telling one of the characters that he/she shouldn't put herself/himself down so much. For the second coder to know what an IER behaviour was, she was provided with the complete list of interpersonal affect regulation strategies from </w:t>
      </w:r>
      <w:r w:rsidR="00B06E70">
        <w:rPr>
          <w:rFonts w:cs="Times New Roman"/>
          <w:sz w:val="24"/>
          <w:szCs w:val="24"/>
        </w:rPr>
        <w:fldChar w:fldCharType="begin" w:fldLock="1"/>
      </w:r>
      <w:r w:rsidR="007E30D7">
        <w:rPr>
          <w:rFonts w:cs="Times New Roman"/>
          <w:sz w:val="24"/>
          <w:szCs w:val="24"/>
        </w:rPr>
        <w:instrText>ADDIN CSL_CITATION { "citationItems" : [ { "id" : "ITEM-1", "itemData" : { "DOI" : "10.1037/a0015962", "ISBN" : "1528-3542 1931-1516", "ISSN" : "1931-1516", "PMID" : "19653772", "abstract" : "Controlled interpersonal affect regulation refers to the deliberate regulation of someone else's affect. Building on existing research concerning this everyday process, the authors describe the development of a theoretical classification scheme that distinguishes between the types of strategy used to achieve interpersonal affect regulation. To test the theoretical classification, the authors generated a corpus of 378 distinct strategies using self-report questionnaires and diaries completed by student and working samples. Twenty participants then performed a card-sort of the strategies. Hierarchical cluster analysis was used to determine how well the theoretical classification represented spontaneous understandings of controlled interpersonal affect regulation. The final classification primarily distinguished between strategies used to improve versus those used to worsen others' affect, and between strategies that engaged the target in a situation or affective state versus relationship-oriented strategies. The classification provides a meaningful basis for organizing existing research and making future conceptual and empirical distinctions.", "author" : [ { "dropping-particle" : "", "family" : "Niven", "given" : "Karen", "non-dropping-particle" : "", "parse-names" : false, "suffix" : "" }, { "dropping-particle" : "", "family" : "Totterdell", "given" : "Peter", "non-dropping-particle" : "", "parse-names" : false, "suffix" : "" }, { "dropping-particle" : "", "family" : "Holman", "given" : "David", "non-dropping-particle" : "", "parse-names" : false, "suffix" : "" } ], "container-title" : "Emotion", "id" : "ITEM-1", "issue" : "4", "issued" : { "date-parts" : [ [ "2009" ] ] }, "page" : "498-509", "title" : "A classification of controlled interpersonal affect regulation strategies.", "type" : "article-journal", "volume" : "9" }, "uris" : [ "http://www.mendeley.com/documents/?uuid=1a5e317c-06e5-4f36-a72c-45d8ca0f6e2d" ] } ], "mendeley" : { "formattedCitation" : "(Niven et al., 2009)", "plainTextFormattedCitation" : "(Niven et al., 2009)", "previouslyFormattedCitation" : "(Niven et al., 2009)" }, "properties" : { "noteIndex" : 0 }, "schema" : "https://github.com/citation-style-language/schema/raw/master/csl-citation.json" }</w:instrText>
      </w:r>
      <w:r w:rsidR="00B06E70">
        <w:rPr>
          <w:rFonts w:cs="Times New Roman"/>
          <w:sz w:val="24"/>
          <w:szCs w:val="24"/>
        </w:rPr>
        <w:fldChar w:fldCharType="separate"/>
      </w:r>
      <w:r w:rsidR="00370B0A" w:rsidRPr="00370B0A">
        <w:rPr>
          <w:rFonts w:cs="Times New Roman"/>
          <w:noProof/>
          <w:sz w:val="24"/>
          <w:szCs w:val="24"/>
        </w:rPr>
        <w:t>(Niven et al., 2009)</w:t>
      </w:r>
      <w:r w:rsidR="00B06E70">
        <w:rPr>
          <w:rFonts w:cs="Times New Roman"/>
          <w:sz w:val="24"/>
          <w:szCs w:val="24"/>
        </w:rPr>
        <w:fldChar w:fldCharType="end"/>
      </w:r>
      <w:r w:rsidRPr="00D05EBD">
        <w:rPr>
          <w:rFonts w:cs="Times New Roman"/>
          <w:sz w:val="24"/>
          <w:szCs w:val="24"/>
        </w:rPr>
        <w:t>. Both coders used Qualitative Content Analysis (a technique used to interpret meaning from the content of data) to classify IER behaviours on the participants’ scripts</w:t>
      </w:r>
      <w:r w:rsidR="007F6ADA">
        <w:rPr>
          <w:rFonts w:cs="Times New Roman"/>
          <w:sz w:val="24"/>
          <w:szCs w:val="24"/>
        </w:rPr>
        <w:t xml:space="preserve"> </w:t>
      </w:r>
      <w:r w:rsidR="00B06E70">
        <w:rPr>
          <w:rFonts w:cs="Times New Roman"/>
          <w:sz w:val="24"/>
          <w:szCs w:val="24"/>
        </w:rPr>
        <w:fldChar w:fldCharType="begin" w:fldLock="1"/>
      </w:r>
      <w:r w:rsidR="00245444">
        <w:rPr>
          <w:rFonts w:cs="Times New Roman"/>
          <w:sz w:val="24"/>
          <w:szCs w:val="24"/>
        </w:rPr>
        <w:instrText>ADDIN CSL_CITATION { "citationItems" : [ { "id" : "ITEM-1", "itemData" : { "ISBN" : "978-1-84920-592-4", "abstract" : "This book takes students step-by-step through the process of doing qualitative content analysis. Margrit Schreier show how to: create a coding frame; segment the material; try out the coding frame; evaluate the trial coding and then carry out the main coding; and consider what comes next. She also discusses software choices for doing qualitative content analysis. Each part of the process is described in detail and research examples are provided to illustrate each step. Frequently asked questions are answered, the most important points are summarized, and end of chapter questions provide an opportunity to check for understanding.--Publisher website. Introduction : what is qualitative content analysis? -- What is qualitative about qualitative content analysis? -- Will qualitative content analysis work for me? : decision aids -- The coding frame -- Building a coding frame -- Strategies for building a data-driven coding frame -- Segmentation and units of coding -- Trying it out : the pilot phase -- What to keep in mind : evaluating your coding frame -- The main analysis phase -- How to present your results -- Using software in doing qualitative content analysis.", "author" : [ { "dropping-particle" : "", "family" : "Schreier", "given" : "Margrit.", "non-dropping-particle" : "", "parse-names" : false, "suffix" : "" } ], "id" : "ITEM-1", "issued" : { "date-parts" : [ [ "2012" ] ] }, "number-of-pages" : "280", "publisher" : "Sage Publications", "title" : "Qualitative Content Analysis in Practice", "type" : "book" }, "uris" : [ "http://www.mendeley.com/documents/?uuid=0d557738-7ed2-392c-b22b-28596ca06018" ] } ], "mendeley" : { "formattedCitation" : "(Schreier, 2012)", "plainTextFormattedCitation" : "(Schreier, 2012)", "previouslyFormattedCitation" : "(Schreier, 2012)" }, "properties" : { "noteIndex" : 0 }, "schema" : "https://github.com/citation-style-language/schema/raw/master/csl-citation.json" }</w:instrText>
      </w:r>
      <w:r w:rsidR="00B06E70">
        <w:rPr>
          <w:rFonts w:cs="Times New Roman"/>
          <w:sz w:val="24"/>
          <w:szCs w:val="24"/>
        </w:rPr>
        <w:fldChar w:fldCharType="separate"/>
      </w:r>
      <w:r w:rsidR="007F6ADA" w:rsidRPr="007F6ADA">
        <w:rPr>
          <w:rFonts w:cs="Times New Roman"/>
          <w:noProof/>
          <w:sz w:val="24"/>
          <w:szCs w:val="24"/>
        </w:rPr>
        <w:t>(Schreier, 2012)</w:t>
      </w:r>
      <w:r w:rsidR="00B06E70">
        <w:rPr>
          <w:rFonts w:cs="Times New Roman"/>
          <w:sz w:val="24"/>
          <w:szCs w:val="24"/>
        </w:rPr>
        <w:fldChar w:fldCharType="end"/>
      </w:r>
      <w:r w:rsidR="00540E07">
        <w:rPr>
          <w:rFonts w:cs="Times New Roman"/>
          <w:sz w:val="24"/>
          <w:szCs w:val="24"/>
        </w:rPr>
        <w:t xml:space="preserve">. </w:t>
      </w:r>
      <w:r w:rsidRPr="00D05EBD">
        <w:rPr>
          <w:rFonts w:cs="Times New Roman"/>
          <w:sz w:val="24"/>
          <w:szCs w:val="24"/>
        </w:rPr>
        <w:t xml:space="preserve">Both coders used segmentation (dividing the material into units such that each segment can be fitted into one category of the coding frame) and highlighted every word, phrase or expression that they considered to indicate IER and then assigned the highlighted parts of the scripts into one of 6 IER categories: </w:t>
      </w:r>
      <w:proofErr w:type="spellStart"/>
      <w:r w:rsidRPr="00D05EBD">
        <w:rPr>
          <w:rFonts w:cs="Times New Roman"/>
          <w:sz w:val="24"/>
          <w:szCs w:val="24"/>
        </w:rPr>
        <w:t>i</w:t>
      </w:r>
      <w:proofErr w:type="spellEnd"/>
      <w:r w:rsidRPr="00D05EBD">
        <w:rPr>
          <w:rFonts w:cs="Times New Roman"/>
          <w:sz w:val="24"/>
          <w:szCs w:val="24"/>
        </w:rPr>
        <w:t xml:space="preserve">) upregulate negative emotion behaviours performed by the target or </w:t>
      </w:r>
      <w:proofErr w:type="spellStart"/>
      <w:r w:rsidRPr="00D05EBD">
        <w:rPr>
          <w:rFonts w:cs="Times New Roman"/>
          <w:sz w:val="24"/>
          <w:szCs w:val="24"/>
        </w:rPr>
        <w:t>URNEt</w:t>
      </w:r>
      <w:proofErr w:type="spellEnd"/>
      <w:r w:rsidRPr="00D05EBD">
        <w:rPr>
          <w:rFonts w:cs="Times New Roman"/>
          <w:sz w:val="24"/>
          <w:szCs w:val="24"/>
        </w:rPr>
        <w:t xml:space="preserve">, ii) upregulate negative emotion behaviours performed by the agent or </w:t>
      </w:r>
      <w:proofErr w:type="spellStart"/>
      <w:r w:rsidRPr="00D05EBD">
        <w:rPr>
          <w:rFonts w:cs="Times New Roman"/>
          <w:sz w:val="24"/>
          <w:szCs w:val="24"/>
        </w:rPr>
        <w:t>URNEa</w:t>
      </w:r>
      <w:proofErr w:type="spellEnd"/>
      <w:r w:rsidRPr="00D05EBD">
        <w:rPr>
          <w:rFonts w:cs="Times New Roman"/>
          <w:sz w:val="24"/>
          <w:szCs w:val="24"/>
        </w:rPr>
        <w:t xml:space="preserve"> (examples of URNE strategies: making fun of, ignoring, or criticising someone), iii) upregulate positive emotion behaviours performed by the target or </w:t>
      </w:r>
      <w:proofErr w:type="spellStart"/>
      <w:r w:rsidRPr="00D05EBD">
        <w:rPr>
          <w:rFonts w:cs="Times New Roman"/>
          <w:sz w:val="24"/>
          <w:szCs w:val="24"/>
        </w:rPr>
        <w:t>URPEt</w:t>
      </w:r>
      <w:proofErr w:type="spellEnd"/>
      <w:r w:rsidRPr="00D05EBD">
        <w:rPr>
          <w:rFonts w:cs="Times New Roman"/>
          <w:sz w:val="24"/>
          <w:szCs w:val="24"/>
        </w:rPr>
        <w:t xml:space="preserve">, iv) upregulate positive emotion behaviours performed by the agent or </w:t>
      </w:r>
      <w:proofErr w:type="spellStart"/>
      <w:r w:rsidRPr="00D05EBD">
        <w:rPr>
          <w:rFonts w:cs="Times New Roman"/>
          <w:sz w:val="24"/>
          <w:szCs w:val="24"/>
        </w:rPr>
        <w:t>URPEa</w:t>
      </w:r>
      <w:proofErr w:type="spellEnd"/>
      <w:r w:rsidRPr="00D05EBD">
        <w:rPr>
          <w:rFonts w:cs="Times New Roman"/>
          <w:sz w:val="24"/>
          <w:szCs w:val="24"/>
        </w:rPr>
        <w:t xml:space="preserve"> (examples of URPE strategies: acting silly around someone to make the person laugh, agreeing with someone, hugging someone), v) downregulate negative emotion behaviours performed by the target or </w:t>
      </w:r>
      <w:proofErr w:type="spellStart"/>
      <w:r w:rsidRPr="00D05EBD">
        <w:rPr>
          <w:rFonts w:cs="Times New Roman"/>
          <w:sz w:val="24"/>
          <w:szCs w:val="24"/>
        </w:rPr>
        <w:t>DRNEt</w:t>
      </w:r>
      <w:proofErr w:type="spellEnd"/>
      <w:r w:rsidRPr="00D05EBD">
        <w:rPr>
          <w:rFonts w:cs="Times New Roman"/>
          <w:sz w:val="24"/>
          <w:szCs w:val="24"/>
        </w:rPr>
        <w:t xml:space="preserve">, and, vi) downregulate negative emotion behaviours performed by the agent or </w:t>
      </w:r>
      <w:proofErr w:type="spellStart"/>
      <w:r w:rsidRPr="00D05EBD">
        <w:rPr>
          <w:rFonts w:cs="Times New Roman"/>
          <w:sz w:val="24"/>
          <w:szCs w:val="24"/>
        </w:rPr>
        <w:t>DRNEa</w:t>
      </w:r>
      <w:proofErr w:type="spellEnd"/>
      <w:r w:rsidRPr="00973AEB">
        <w:rPr>
          <w:rStyle w:val="Refdenotaalpie"/>
        </w:rPr>
        <w:footnoteReference w:id="21"/>
      </w:r>
      <w:r w:rsidRPr="00D05EBD">
        <w:rPr>
          <w:rFonts w:cs="Times New Roman"/>
          <w:sz w:val="24"/>
          <w:szCs w:val="24"/>
        </w:rPr>
        <w:t xml:space="preserve"> (examples of DRNE strategies: being there for someone, apologising to someone, offering a shoulder to cry) . The experimenter explained to the second coder what each category referred to and provided some examples of each category as well. Frequencies of IER behaviours for each one of the 6 classifications were obtained. The </w:t>
      </w:r>
      <w:proofErr w:type="spellStart"/>
      <w:r w:rsidRPr="00D05EBD">
        <w:rPr>
          <w:rFonts w:cs="Times New Roman"/>
          <w:sz w:val="24"/>
          <w:szCs w:val="24"/>
        </w:rPr>
        <w:t>intraclass</w:t>
      </w:r>
      <w:proofErr w:type="spellEnd"/>
      <w:r w:rsidRPr="00D05EBD">
        <w:rPr>
          <w:rFonts w:cs="Times New Roman"/>
          <w:sz w:val="24"/>
          <w:szCs w:val="24"/>
        </w:rPr>
        <w:t xml:space="preserve"> correlation co</w:t>
      </w:r>
      <w:r w:rsidR="00E97724">
        <w:rPr>
          <w:rFonts w:cs="Times New Roman"/>
          <w:sz w:val="24"/>
          <w:szCs w:val="24"/>
        </w:rPr>
        <w:t>e</w:t>
      </w:r>
      <w:r w:rsidRPr="00D05EBD">
        <w:rPr>
          <w:rFonts w:cs="Times New Roman"/>
          <w:sz w:val="24"/>
          <w:szCs w:val="24"/>
        </w:rPr>
        <w:t xml:space="preserve">fficient (ICC) values ranged from strong to almost </w:t>
      </w:r>
      <w:r w:rsidRPr="00D05EBD">
        <w:rPr>
          <w:rFonts w:cs="Times New Roman"/>
          <w:sz w:val="24"/>
          <w:szCs w:val="24"/>
        </w:rPr>
        <w:lastRenderedPageBreak/>
        <w:t>perfect which indicated that both coders classified the IER on the scripts in a very similar way. The I</w:t>
      </w:r>
      <w:r w:rsidR="00C07D1E">
        <w:rPr>
          <w:rFonts w:cs="Times New Roman"/>
          <w:sz w:val="24"/>
          <w:szCs w:val="24"/>
        </w:rPr>
        <w:t>CC values can be seen in Table III</w:t>
      </w:r>
      <w:r w:rsidRPr="00D05EBD">
        <w:rPr>
          <w:rFonts w:cs="Times New Roman"/>
          <w:sz w:val="24"/>
          <w:szCs w:val="24"/>
        </w:rPr>
        <w:t>.2.</w:t>
      </w:r>
    </w:p>
    <w:tbl>
      <w:tblPr>
        <w:tblW w:w="5000" w:type="pct"/>
        <w:tblCellMar>
          <w:left w:w="70" w:type="dxa"/>
          <w:right w:w="70" w:type="dxa"/>
        </w:tblCellMar>
        <w:tblLook w:val="04A0"/>
      </w:tblPr>
      <w:tblGrid>
        <w:gridCol w:w="1322"/>
        <w:gridCol w:w="1247"/>
        <w:gridCol w:w="1247"/>
        <w:gridCol w:w="1247"/>
        <w:gridCol w:w="1247"/>
        <w:gridCol w:w="1247"/>
        <w:gridCol w:w="1249"/>
      </w:tblGrid>
      <w:tr w:rsidR="00FB1389" w:rsidRPr="00C07D1E" w:rsidTr="00D05EBD">
        <w:trPr>
          <w:trHeight w:val="390"/>
        </w:trPr>
        <w:tc>
          <w:tcPr>
            <w:tcW w:w="5000" w:type="pct"/>
            <w:gridSpan w:val="7"/>
            <w:tcBorders>
              <w:top w:val="nil"/>
              <w:left w:val="nil"/>
              <w:bottom w:val="single" w:sz="4" w:space="0" w:color="auto"/>
              <w:right w:val="nil"/>
            </w:tcBorders>
            <w:shd w:val="clear" w:color="auto" w:fill="auto"/>
            <w:vAlign w:val="bottom"/>
            <w:hideMark/>
          </w:tcPr>
          <w:p w:rsidR="00FB1389" w:rsidRPr="00C07D1E" w:rsidRDefault="00C07D1E"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Table III</w:t>
            </w:r>
            <w:r w:rsidR="00FB1389" w:rsidRPr="00C07D1E">
              <w:rPr>
                <w:rFonts w:eastAsia="Times New Roman" w:cs="Times New Roman"/>
                <w:color w:val="000000"/>
                <w:lang w:eastAsia="es-ES"/>
              </w:rPr>
              <w:t>.2 ICC values</w:t>
            </w:r>
          </w:p>
        </w:tc>
      </w:tr>
      <w:tr w:rsidR="00FB1389" w:rsidRPr="00C07D1E" w:rsidTr="00D05EBD">
        <w:trPr>
          <w:trHeight w:val="345"/>
        </w:trPr>
        <w:tc>
          <w:tcPr>
            <w:tcW w:w="751" w:type="pct"/>
            <w:tcBorders>
              <w:top w:val="nil"/>
              <w:left w:val="nil"/>
              <w:bottom w:val="single" w:sz="4" w:space="0" w:color="auto"/>
              <w:right w:val="nil"/>
            </w:tcBorders>
            <w:shd w:val="clear" w:color="auto" w:fill="auto"/>
            <w:noWrap/>
            <w:vAlign w:val="bottom"/>
            <w:hideMark/>
          </w:tcPr>
          <w:p w:rsidR="00FB1389" w:rsidRPr="00C07D1E" w:rsidRDefault="00FB1389"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 </w:t>
            </w:r>
          </w:p>
        </w:tc>
        <w:tc>
          <w:tcPr>
            <w:tcW w:w="708" w:type="pct"/>
            <w:tcBorders>
              <w:top w:val="nil"/>
              <w:left w:val="nil"/>
              <w:bottom w:val="single" w:sz="4" w:space="0" w:color="auto"/>
              <w:right w:val="nil"/>
            </w:tcBorders>
            <w:shd w:val="clear" w:color="auto" w:fill="auto"/>
            <w:vAlign w:val="center"/>
            <w:hideMark/>
          </w:tcPr>
          <w:p w:rsidR="00FB1389" w:rsidRPr="00C07D1E" w:rsidRDefault="00FB1389" w:rsidP="00C07D1E">
            <w:pPr>
              <w:spacing w:after="0" w:line="240" w:lineRule="auto"/>
              <w:jc w:val="both"/>
              <w:rPr>
                <w:rFonts w:eastAsia="Times New Roman" w:cs="Times New Roman"/>
                <w:color w:val="000000"/>
                <w:lang w:eastAsia="es-ES"/>
              </w:rPr>
            </w:pPr>
            <w:proofErr w:type="spellStart"/>
            <w:r w:rsidRPr="00C07D1E">
              <w:rPr>
                <w:rFonts w:eastAsia="Times New Roman" w:cs="Times New Roman"/>
                <w:color w:val="000000"/>
                <w:lang w:eastAsia="es-ES"/>
              </w:rPr>
              <w:t>URPEt</w:t>
            </w:r>
            <w:proofErr w:type="spellEnd"/>
          </w:p>
        </w:tc>
        <w:tc>
          <w:tcPr>
            <w:tcW w:w="708" w:type="pct"/>
            <w:tcBorders>
              <w:top w:val="nil"/>
              <w:left w:val="nil"/>
              <w:bottom w:val="single" w:sz="4" w:space="0" w:color="auto"/>
              <w:right w:val="nil"/>
            </w:tcBorders>
            <w:shd w:val="clear" w:color="auto" w:fill="auto"/>
            <w:vAlign w:val="center"/>
            <w:hideMark/>
          </w:tcPr>
          <w:p w:rsidR="00FB1389" w:rsidRPr="00C07D1E" w:rsidRDefault="00FB1389" w:rsidP="00C07D1E">
            <w:pPr>
              <w:spacing w:after="0" w:line="240" w:lineRule="auto"/>
              <w:jc w:val="both"/>
              <w:rPr>
                <w:rFonts w:eastAsia="Times New Roman" w:cs="Times New Roman"/>
                <w:color w:val="000000"/>
                <w:lang w:eastAsia="es-ES"/>
              </w:rPr>
            </w:pPr>
            <w:proofErr w:type="spellStart"/>
            <w:r w:rsidRPr="00C07D1E">
              <w:rPr>
                <w:rFonts w:eastAsia="Times New Roman" w:cs="Times New Roman"/>
                <w:color w:val="000000"/>
                <w:lang w:eastAsia="es-ES"/>
              </w:rPr>
              <w:t>URPEa</w:t>
            </w:r>
            <w:proofErr w:type="spellEnd"/>
          </w:p>
        </w:tc>
        <w:tc>
          <w:tcPr>
            <w:tcW w:w="708" w:type="pct"/>
            <w:tcBorders>
              <w:top w:val="nil"/>
              <w:left w:val="nil"/>
              <w:bottom w:val="single" w:sz="4" w:space="0" w:color="auto"/>
              <w:right w:val="nil"/>
            </w:tcBorders>
            <w:shd w:val="clear" w:color="auto" w:fill="auto"/>
            <w:vAlign w:val="center"/>
            <w:hideMark/>
          </w:tcPr>
          <w:p w:rsidR="00FB1389" w:rsidRPr="00C07D1E" w:rsidRDefault="00FB1389" w:rsidP="00C07D1E">
            <w:pPr>
              <w:spacing w:after="0" w:line="240" w:lineRule="auto"/>
              <w:jc w:val="both"/>
              <w:rPr>
                <w:rFonts w:eastAsia="Times New Roman" w:cs="Times New Roman"/>
                <w:color w:val="000000"/>
                <w:lang w:eastAsia="es-ES"/>
              </w:rPr>
            </w:pPr>
            <w:proofErr w:type="spellStart"/>
            <w:r w:rsidRPr="00C07D1E">
              <w:rPr>
                <w:rFonts w:eastAsia="Times New Roman" w:cs="Times New Roman"/>
                <w:color w:val="000000"/>
                <w:lang w:eastAsia="es-ES"/>
              </w:rPr>
              <w:t>URNEt</w:t>
            </w:r>
            <w:proofErr w:type="spellEnd"/>
          </w:p>
        </w:tc>
        <w:tc>
          <w:tcPr>
            <w:tcW w:w="708" w:type="pct"/>
            <w:tcBorders>
              <w:top w:val="nil"/>
              <w:left w:val="nil"/>
              <w:bottom w:val="single" w:sz="4" w:space="0" w:color="auto"/>
              <w:right w:val="nil"/>
            </w:tcBorders>
            <w:shd w:val="clear" w:color="auto" w:fill="auto"/>
            <w:vAlign w:val="center"/>
            <w:hideMark/>
          </w:tcPr>
          <w:p w:rsidR="00FB1389" w:rsidRPr="00C07D1E" w:rsidRDefault="00FB1389" w:rsidP="00C07D1E">
            <w:pPr>
              <w:spacing w:after="0" w:line="240" w:lineRule="auto"/>
              <w:jc w:val="both"/>
              <w:rPr>
                <w:rFonts w:eastAsia="Times New Roman" w:cs="Times New Roman"/>
                <w:color w:val="000000"/>
                <w:lang w:eastAsia="es-ES"/>
              </w:rPr>
            </w:pPr>
            <w:proofErr w:type="spellStart"/>
            <w:r w:rsidRPr="00C07D1E">
              <w:rPr>
                <w:rFonts w:eastAsia="Times New Roman" w:cs="Times New Roman"/>
                <w:color w:val="000000"/>
                <w:lang w:eastAsia="es-ES"/>
              </w:rPr>
              <w:t>URNEa</w:t>
            </w:r>
            <w:proofErr w:type="spellEnd"/>
          </w:p>
        </w:tc>
        <w:tc>
          <w:tcPr>
            <w:tcW w:w="708" w:type="pct"/>
            <w:tcBorders>
              <w:top w:val="nil"/>
              <w:left w:val="nil"/>
              <w:bottom w:val="single" w:sz="4" w:space="0" w:color="auto"/>
              <w:right w:val="nil"/>
            </w:tcBorders>
            <w:shd w:val="clear" w:color="auto" w:fill="auto"/>
            <w:vAlign w:val="center"/>
            <w:hideMark/>
          </w:tcPr>
          <w:p w:rsidR="00FB1389" w:rsidRPr="00C07D1E" w:rsidRDefault="00FB1389" w:rsidP="00C07D1E">
            <w:pPr>
              <w:spacing w:after="0" w:line="240" w:lineRule="auto"/>
              <w:jc w:val="both"/>
              <w:rPr>
                <w:rFonts w:eastAsia="Times New Roman" w:cs="Times New Roman"/>
                <w:color w:val="000000"/>
                <w:lang w:eastAsia="es-ES"/>
              </w:rPr>
            </w:pPr>
            <w:proofErr w:type="spellStart"/>
            <w:r w:rsidRPr="00C07D1E">
              <w:rPr>
                <w:rFonts w:eastAsia="Times New Roman" w:cs="Times New Roman"/>
                <w:color w:val="000000"/>
                <w:lang w:eastAsia="es-ES"/>
              </w:rPr>
              <w:t>DRNEt</w:t>
            </w:r>
            <w:proofErr w:type="spellEnd"/>
          </w:p>
        </w:tc>
        <w:tc>
          <w:tcPr>
            <w:tcW w:w="709" w:type="pct"/>
            <w:tcBorders>
              <w:top w:val="nil"/>
              <w:left w:val="nil"/>
              <w:bottom w:val="single" w:sz="4" w:space="0" w:color="auto"/>
              <w:right w:val="nil"/>
            </w:tcBorders>
            <w:shd w:val="clear" w:color="auto" w:fill="auto"/>
            <w:vAlign w:val="center"/>
            <w:hideMark/>
          </w:tcPr>
          <w:p w:rsidR="00FB1389" w:rsidRPr="00C07D1E" w:rsidRDefault="00FB1389" w:rsidP="00C07D1E">
            <w:pPr>
              <w:spacing w:after="0" w:line="240" w:lineRule="auto"/>
              <w:jc w:val="both"/>
              <w:rPr>
                <w:rFonts w:eastAsia="Times New Roman" w:cs="Times New Roman"/>
                <w:color w:val="000000"/>
                <w:lang w:eastAsia="es-ES"/>
              </w:rPr>
            </w:pPr>
            <w:proofErr w:type="spellStart"/>
            <w:r w:rsidRPr="00C07D1E">
              <w:rPr>
                <w:rFonts w:eastAsia="Times New Roman" w:cs="Times New Roman"/>
                <w:color w:val="000000"/>
                <w:lang w:eastAsia="es-ES"/>
              </w:rPr>
              <w:t>DRNEa</w:t>
            </w:r>
            <w:proofErr w:type="spellEnd"/>
          </w:p>
        </w:tc>
      </w:tr>
      <w:tr w:rsidR="00FB1389" w:rsidRPr="00C07D1E" w:rsidTr="00D05EBD">
        <w:trPr>
          <w:trHeight w:val="600"/>
        </w:trPr>
        <w:tc>
          <w:tcPr>
            <w:tcW w:w="751" w:type="pct"/>
            <w:tcBorders>
              <w:top w:val="nil"/>
              <w:left w:val="nil"/>
              <w:bottom w:val="nil"/>
              <w:right w:val="nil"/>
            </w:tcBorders>
            <w:shd w:val="clear" w:color="auto" w:fill="auto"/>
            <w:vAlign w:val="center"/>
            <w:hideMark/>
          </w:tcPr>
          <w:p w:rsidR="00FB1389" w:rsidRPr="00C07D1E" w:rsidRDefault="00FB1389"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Absolute agreement</w:t>
            </w:r>
          </w:p>
        </w:tc>
        <w:tc>
          <w:tcPr>
            <w:tcW w:w="708" w:type="pct"/>
            <w:tcBorders>
              <w:top w:val="nil"/>
              <w:left w:val="nil"/>
              <w:bottom w:val="nil"/>
              <w:right w:val="nil"/>
            </w:tcBorders>
            <w:shd w:val="clear" w:color="auto" w:fill="auto"/>
            <w:noWrap/>
            <w:vAlign w:val="center"/>
            <w:hideMark/>
          </w:tcPr>
          <w:p w:rsidR="00FB1389" w:rsidRPr="00C07D1E" w:rsidRDefault="00FB1389"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0.82</w:t>
            </w:r>
          </w:p>
        </w:tc>
        <w:tc>
          <w:tcPr>
            <w:tcW w:w="708" w:type="pct"/>
            <w:tcBorders>
              <w:top w:val="nil"/>
              <w:left w:val="nil"/>
              <w:bottom w:val="nil"/>
              <w:right w:val="nil"/>
            </w:tcBorders>
            <w:shd w:val="clear" w:color="auto" w:fill="auto"/>
            <w:noWrap/>
            <w:vAlign w:val="center"/>
            <w:hideMark/>
          </w:tcPr>
          <w:p w:rsidR="00FB1389" w:rsidRPr="00C07D1E" w:rsidRDefault="00FB1389"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0.70</w:t>
            </w:r>
          </w:p>
        </w:tc>
        <w:tc>
          <w:tcPr>
            <w:tcW w:w="708" w:type="pct"/>
            <w:tcBorders>
              <w:top w:val="nil"/>
              <w:left w:val="nil"/>
              <w:bottom w:val="nil"/>
              <w:right w:val="nil"/>
            </w:tcBorders>
            <w:shd w:val="clear" w:color="auto" w:fill="auto"/>
            <w:noWrap/>
            <w:vAlign w:val="center"/>
            <w:hideMark/>
          </w:tcPr>
          <w:p w:rsidR="00FB1389" w:rsidRPr="00C07D1E" w:rsidRDefault="00FB1389"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0.83</w:t>
            </w:r>
          </w:p>
        </w:tc>
        <w:tc>
          <w:tcPr>
            <w:tcW w:w="708" w:type="pct"/>
            <w:tcBorders>
              <w:top w:val="nil"/>
              <w:left w:val="nil"/>
              <w:bottom w:val="nil"/>
              <w:right w:val="nil"/>
            </w:tcBorders>
            <w:shd w:val="clear" w:color="auto" w:fill="auto"/>
            <w:noWrap/>
            <w:vAlign w:val="center"/>
            <w:hideMark/>
          </w:tcPr>
          <w:p w:rsidR="00FB1389" w:rsidRPr="00C07D1E" w:rsidRDefault="00FB1389"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0.95</w:t>
            </w:r>
          </w:p>
        </w:tc>
        <w:tc>
          <w:tcPr>
            <w:tcW w:w="708" w:type="pct"/>
            <w:tcBorders>
              <w:top w:val="nil"/>
              <w:left w:val="nil"/>
              <w:bottom w:val="nil"/>
              <w:right w:val="nil"/>
            </w:tcBorders>
            <w:shd w:val="clear" w:color="auto" w:fill="auto"/>
            <w:noWrap/>
            <w:vAlign w:val="center"/>
            <w:hideMark/>
          </w:tcPr>
          <w:p w:rsidR="00FB1389" w:rsidRPr="00C07D1E" w:rsidRDefault="00FB1389"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0.85</w:t>
            </w:r>
          </w:p>
        </w:tc>
        <w:tc>
          <w:tcPr>
            <w:tcW w:w="709" w:type="pct"/>
            <w:tcBorders>
              <w:top w:val="nil"/>
              <w:left w:val="nil"/>
              <w:bottom w:val="nil"/>
              <w:right w:val="nil"/>
            </w:tcBorders>
            <w:shd w:val="clear" w:color="auto" w:fill="auto"/>
            <w:noWrap/>
            <w:vAlign w:val="center"/>
            <w:hideMark/>
          </w:tcPr>
          <w:p w:rsidR="00FB1389" w:rsidRPr="00C07D1E" w:rsidRDefault="00FB1389"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0.85</w:t>
            </w:r>
          </w:p>
        </w:tc>
      </w:tr>
      <w:tr w:rsidR="00FB1389" w:rsidRPr="00C07D1E" w:rsidTr="00D05EBD">
        <w:trPr>
          <w:trHeight w:val="615"/>
        </w:trPr>
        <w:tc>
          <w:tcPr>
            <w:tcW w:w="751" w:type="pct"/>
            <w:tcBorders>
              <w:top w:val="nil"/>
              <w:left w:val="nil"/>
              <w:bottom w:val="double" w:sz="6" w:space="0" w:color="auto"/>
              <w:right w:val="nil"/>
            </w:tcBorders>
            <w:shd w:val="clear" w:color="auto" w:fill="auto"/>
            <w:vAlign w:val="center"/>
            <w:hideMark/>
          </w:tcPr>
          <w:p w:rsidR="00FB1389" w:rsidRPr="00C07D1E" w:rsidRDefault="00FB1389"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Consistency (alpha)</w:t>
            </w:r>
          </w:p>
        </w:tc>
        <w:tc>
          <w:tcPr>
            <w:tcW w:w="708" w:type="pct"/>
            <w:tcBorders>
              <w:top w:val="nil"/>
              <w:left w:val="nil"/>
              <w:bottom w:val="double" w:sz="6" w:space="0" w:color="auto"/>
              <w:right w:val="nil"/>
            </w:tcBorders>
            <w:shd w:val="clear" w:color="auto" w:fill="auto"/>
            <w:noWrap/>
            <w:vAlign w:val="center"/>
            <w:hideMark/>
          </w:tcPr>
          <w:p w:rsidR="00FB1389" w:rsidRPr="00C07D1E" w:rsidRDefault="00FB1389"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0.88</w:t>
            </w:r>
          </w:p>
        </w:tc>
        <w:tc>
          <w:tcPr>
            <w:tcW w:w="708" w:type="pct"/>
            <w:tcBorders>
              <w:top w:val="nil"/>
              <w:left w:val="nil"/>
              <w:bottom w:val="double" w:sz="6" w:space="0" w:color="auto"/>
              <w:right w:val="nil"/>
            </w:tcBorders>
            <w:shd w:val="clear" w:color="auto" w:fill="auto"/>
            <w:noWrap/>
            <w:vAlign w:val="center"/>
            <w:hideMark/>
          </w:tcPr>
          <w:p w:rsidR="00FB1389" w:rsidRPr="00C07D1E" w:rsidRDefault="00FB1389"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0.74</w:t>
            </w:r>
          </w:p>
        </w:tc>
        <w:tc>
          <w:tcPr>
            <w:tcW w:w="708" w:type="pct"/>
            <w:tcBorders>
              <w:top w:val="nil"/>
              <w:left w:val="nil"/>
              <w:bottom w:val="double" w:sz="6" w:space="0" w:color="auto"/>
              <w:right w:val="nil"/>
            </w:tcBorders>
            <w:shd w:val="clear" w:color="auto" w:fill="auto"/>
            <w:noWrap/>
            <w:vAlign w:val="center"/>
            <w:hideMark/>
          </w:tcPr>
          <w:p w:rsidR="00FB1389" w:rsidRPr="00C07D1E" w:rsidRDefault="00FB1389"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0.84</w:t>
            </w:r>
          </w:p>
        </w:tc>
        <w:tc>
          <w:tcPr>
            <w:tcW w:w="708" w:type="pct"/>
            <w:tcBorders>
              <w:top w:val="nil"/>
              <w:left w:val="nil"/>
              <w:bottom w:val="double" w:sz="6" w:space="0" w:color="auto"/>
              <w:right w:val="nil"/>
            </w:tcBorders>
            <w:shd w:val="clear" w:color="auto" w:fill="auto"/>
            <w:noWrap/>
            <w:vAlign w:val="center"/>
            <w:hideMark/>
          </w:tcPr>
          <w:p w:rsidR="00FB1389" w:rsidRPr="00C07D1E" w:rsidRDefault="00FB1389"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0.95</w:t>
            </w:r>
          </w:p>
        </w:tc>
        <w:tc>
          <w:tcPr>
            <w:tcW w:w="708" w:type="pct"/>
            <w:tcBorders>
              <w:top w:val="nil"/>
              <w:left w:val="nil"/>
              <w:bottom w:val="double" w:sz="6" w:space="0" w:color="auto"/>
              <w:right w:val="nil"/>
            </w:tcBorders>
            <w:shd w:val="clear" w:color="auto" w:fill="auto"/>
            <w:noWrap/>
            <w:vAlign w:val="center"/>
            <w:hideMark/>
          </w:tcPr>
          <w:p w:rsidR="00FB1389" w:rsidRPr="00C07D1E" w:rsidRDefault="00FB1389"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0.85</w:t>
            </w:r>
          </w:p>
        </w:tc>
        <w:tc>
          <w:tcPr>
            <w:tcW w:w="709" w:type="pct"/>
            <w:tcBorders>
              <w:top w:val="nil"/>
              <w:left w:val="nil"/>
              <w:bottom w:val="double" w:sz="6" w:space="0" w:color="auto"/>
              <w:right w:val="nil"/>
            </w:tcBorders>
            <w:shd w:val="clear" w:color="auto" w:fill="auto"/>
            <w:noWrap/>
            <w:vAlign w:val="center"/>
            <w:hideMark/>
          </w:tcPr>
          <w:p w:rsidR="00FB1389" w:rsidRPr="00C07D1E" w:rsidRDefault="00FB1389" w:rsidP="00C07D1E">
            <w:pPr>
              <w:spacing w:after="0" w:line="240" w:lineRule="auto"/>
              <w:jc w:val="both"/>
              <w:rPr>
                <w:rFonts w:eastAsia="Times New Roman" w:cs="Times New Roman"/>
                <w:color w:val="000000"/>
                <w:lang w:eastAsia="es-ES"/>
              </w:rPr>
            </w:pPr>
            <w:r w:rsidRPr="00C07D1E">
              <w:rPr>
                <w:rFonts w:eastAsia="Times New Roman" w:cs="Times New Roman"/>
                <w:color w:val="000000"/>
                <w:lang w:eastAsia="es-ES"/>
              </w:rPr>
              <w:t>0.87</w:t>
            </w:r>
          </w:p>
        </w:tc>
      </w:tr>
    </w:tbl>
    <w:p w:rsidR="00FB1389" w:rsidRPr="00D05EBD" w:rsidRDefault="00FB1389" w:rsidP="00AE640B">
      <w:pPr>
        <w:spacing w:line="480" w:lineRule="auto"/>
        <w:ind w:firstLine="720"/>
        <w:jc w:val="both"/>
        <w:rPr>
          <w:rFonts w:cs="Times New Roman"/>
          <w:sz w:val="24"/>
          <w:szCs w:val="24"/>
        </w:rPr>
      </w:pPr>
    </w:p>
    <w:p w:rsidR="00FB1389" w:rsidRPr="00D05EBD" w:rsidRDefault="00FB1389" w:rsidP="00AE640B">
      <w:pPr>
        <w:spacing w:line="480" w:lineRule="auto"/>
        <w:ind w:firstLine="720"/>
        <w:jc w:val="both"/>
        <w:rPr>
          <w:rFonts w:cs="Times New Roman"/>
          <w:b/>
          <w:sz w:val="24"/>
          <w:szCs w:val="24"/>
        </w:rPr>
      </w:pPr>
      <w:r w:rsidRPr="00D05EBD">
        <w:rPr>
          <w:rFonts w:cs="Times New Roman"/>
          <w:sz w:val="24"/>
          <w:szCs w:val="24"/>
        </w:rPr>
        <w:tab/>
      </w:r>
      <w:r w:rsidR="00093982">
        <w:rPr>
          <w:rFonts w:cs="Times New Roman"/>
          <w:b/>
          <w:sz w:val="24"/>
          <w:szCs w:val="24"/>
        </w:rPr>
        <w:t>3.3</w:t>
      </w:r>
      <w:r w:rsidRPr="00D05EBD">
        <w:rPr>
          <w:rFonts w:cs="Times New Roman"/>
          <w:b/>
          <w:sz w:val="24"/>
          <w:szCs w:val="24"/>
        </w:rPr>
        <w:t>.1.2 Results</w:t>
      </w:r>
    </w:p>
    <w:p w:rsidR="00FB1389" w:rsidRPr="00D05EBD" w:rsidRDefault="00FB1389" w:rsidP="00AE640B">
      <w:pPr>
        <w:spacing w:line="480" w:lineRule="auto"/>
        <w:ind w:firstLine="720"/>
        <w:jc w:val="both"/>
        <w:rPr>
          <w:sz w:val="24"/>
          <w:szCs w:val="24"/>
        </w:rPr>
      </w:pPr>
      <w:r w:rsidRPr="00D05EBD">
        <w:rPr>
          <w:rFonts w:eastAsia="Times New Roman" w:cs="Times New Roman"/>
          <w:sz w:val="24"/>
          <w:szCs w:val="24"/>
        </w:rPr>
        <w:t>To test whether the IER behaviours differed between conditions a between groups mixed-design ANOVA was conducted. Before running the actual analysis and in accordance with mixed-design ANOVA assumptions, all 6 dependent variables (</w:t>
      </w:r>
      <w:proofErr w:type="spellStart"/>
      <w:r w:rsidRPr="00D05EBD">
        <w:rPr>
          <w:rFonts w:cs="Times New Roman"/>
          <w:sz w:val="24"/>
          <w:szCs w:val="24"/>
        </w:rPr>
        <w:t>URPEt</w:t>
      </w:r>
      <w:proofErr w:type="spellEnd"/>
      <w:r w:rsidRPr="00D05EBD">
        <w:rPr>
          <w:rFonts w:cs="Times New Roman"/>
          <w:sz w:val="24"/>
          <w:szCs w:val="24"/>
        </w:rPr>
        <w:t xml:space="preserve">, </w:t>
      </w:r>
      <w:proofErr w:type="spellStart"/>
      <w:r w:rsidRPr="00D05EBD">
        <w:rPr>
          <w:rFonts w:cs="Times New Roman"/>
          <w:sz w:val="24"/>
          <w:szCs w:val="24"/>
        </w:rPr>
        <w:t>URPEa</w:t>
      </w:r>
      <w:proofErr w:type="spellEnd"/>
      <w:r w:rsidRPr="00D05EBD">
        <w:rPr>
          <w:rFonts w:cs="Times New Roman"/>
          <w:sz w:val="24"/>
          <w:szCs w:val="24"/>
        </w:rPr>
        <w:t xml:space="preserve">, </w:t>
      </w:r>
      <w:proofErr w:type="spellStart"/>
      <w:r w:rsidRPr="00D05EBD">
        <w:rPr>
          <w:rFonts w:cs="Times New Roman"/>
          <w:sz w:val="24"/>
          <w:szCs w:val="24"/>
        </w:rPr>
        <w:t>URNEt</w:t>
      </w:r>
      <w:proofErr w:type="spellEnd"/>
      <w:r w:rsidRPr="00D05EBD">
        <w:rPr>
          <w:rFonts w:cs="Times New Roman"/>
          <w:sz w:val="24"/>
          <w:szCs w:val="24"/>
        </w:rPr>
        <w:t xml:space="preserve">, </w:t>
      </w:r>
      <w:proofErr w:type="spellStart"/>
      <w:r w:rsidRPr="00D05EBD">
        <w:rPr>
          <w:rFonts w:cs="Times New Roman"/>
          <w:sz w:val="24"/>
          <w:szCs w:val="24"/>
        </w:rPr>
        <w:t>URNEa</w:t>
      </w:r>
      <w:proofErr w:type="spellEnd"/>
      <w:r w:rsidRPr="00D05EBD">
        <w:rPr>
          <w:rFonts w:cs="Times New Roman"/>
          <w:sz w:val="24"/>
          <w:szCs w:val="24"/>
        </w:rPr>
        <w:t xml:space="preserve">, </w:t>
      </w:r>
      <w:proofErr w:type="spellStart"/>
      <w:r w:rsidRPr="00D05EBD">
        <w:rPr>
          <w:rFonts w:cs="Times New Roman"/>
          <w:sz w:val="24"/>
          <w:szCs w:val="24"/>
        </w:rPr>
        <w:t>DRNEt</w:t>
      </w:r>
      <w:proofErr w:type="spellEnd"/>
      <w:r w:rsidRPr="00D05EBD">
        <w:rPr>
          <w:rFonts w:cs="Times New Roman"/>
          <w:sz w:val="24"/>
          <w:szCs w:val="24"/>
        </w:rPr>
        <w:t xml:space="preserve"> and </w:t>
      </w:r>
      <w:proofErr w:type="spellStart"/>
      <w:r w:rsidRPr="00D05EBD">
        <w:rPr>
          <w:rFonts w:cs="Times New Roman"/>
          <w:sz w:val="24"/>
          <w:szCs w:val="24"/>
        </w:rPr>
        <w:t>DRNEa</w:t>
      </w:r>
      <w:proofErr w:type="spellEnd"/>
      <w:r w:rsidRPr="00D05EBD">
        <w:rPr>
          <w:rFonts w:cs="Times New Roman"/>
          <w:sz w:val="24"/>
          <w:szCs w:val="24"/>
        </w:rPr>
        <w:t>)</w:t>
      </w:r>
      <w:r w:rsidRPr="00D05EBD">
        <w:rPr>
          <w:rFonts w:eastAsia="Times New Roman" w:cs="Times New Roman"/>
          <w:sz w:val="24"/>
          <w:szCs w:val="24"/>
        </w:rPr>
        <w:t xml:space="preserve"> were checked for outliers and normal distribution. </w:t>
      </w:r>
      <w:r w:rsidRPr="00D05EBD">
        <w:rPr>
          <w:sz w:val="24"/>
          <w:szCs w:val="24"/>
        </w:rPr>
        <w:t>Histograms and the Shapiro-</w:t>
      </w:r>
      <w:proofErr w:type="spellStart"/>
      <w:r w:rsidRPr="00D05EBD">
        <w:rPr>
          <w:sz w:val="24"/>
          <w:szCs w:val="24"/>
        </w:rPr>
        <w:t>Wilks</w:t>
      </w:r>
      <w:proofErr w:type="spellEnd"/>
      <w:r w:rsidRPr="00D05EBD">
        <w:rPr>
          <w:sz w:val="24"/>
          <w:szCs w:val="24"/>
        </w:rPr>
        <w:t xml:space="preserve"> test for the six DVs by condition (experimental, control), indicated that the data were statistically normal for </w:t>
      </w:r>
      <w:proofErr w:type="spellStart"/>
      <w:r w:rsidRPr="00D05EBD">
        <w:rPr>
          <w:sz w:val="24"/>
          <w:szCs w:val="24"/>
        </w:rPr>
        <w:t>URPEt</w:t>
      </w:r>
      <w:proofErr w:type="spellEnd"/>
      <w:r w:rsidRPr="00D05EBD">
        <w:rPr>
          <w:sz w:val="24"/>
          <w:szCs w:val="24"/>
        </w:rPr>
        <w:t xml:space="preserve"> </w:t>
      </w:r>
      <w:r w:rsidRPr="00D05EBD">
        <w:rPr>
          <w:i/>
          <w:sz w:val="24"/>
          <w:szCs w:val="24"/>
        </w:rPr>
        <w:t>W</w:t>
      </w:r>
      <w:r w:rsidRPr="00D05EBD">
        <w:rPr>
          <w:sz w:val="24"/>
          <w:szCs w:val="24"/>
        </w:rPr>
        <w:t xml:space="preserve">(22) = .96, </w:t>
      </w:r>
      <w:r w:rsidRPr="00D05EBD">
        <w:rPr>
          <w:i/>
          <w:sz w:val="24"/>
          <w:szCs w:val="24"/>
        </w:rPr>
        <w:t xml:space="preserve">p </w:t>
      </w:r>
      <w:r w:rsidRPr="00D05EBD">
        <w:rPr>
          <w:sz w:val="24"/>
          <w:szCs w:val="24"/>
        </w:rPr>
        <w:t xml:space="preserve">&gt; .05, </w:t>
      </w:r>
      <w:proofErr w:type="spellStart"/>
      <w:r w:rsidRPr="00D05EBD">
        <w:rPr>
          <w:sz w:val="24"/>
          <w:szCs w:val="24"/>
        </w:rPr>
        <w:t>URPEa</w:t>
      </w:r>
      <w:proofErr w:type="spellEnd"/>
      <w:r w:rsidRPr="00D05EBD">
        <w:rPr>
          <w:sz w:val="24"/>
          <w:szCs w:val="24"/>
        </w:rPr>
        <w:t xml:space="preserve"> </w:t>
      </w:r>
      <w:r w:rsidRPr="00D05EBD">
        <w:rPr>
          <w:i/>
          <w:sz w:val="24"/>
          <w:szCs w:val="24"/>
        </w:rPr>
        <w:t>W</w:t>
      </w:r>
      <w:r w:rsidRPr="00D05EBD">
        <w:rPr>
          <w:sz w:val="24"/>
          <w:szCs w:val="24"/>
        </w:rPr>
        <w:t xml:space="preserve">(22) = .96, </w:t>
      </w:r>
      <w:r w:rsidRPr="00D05EBD">
        <w:rPr>
          <w:i/>
          <w:sz w:val="24"/>
          <w:szCs w:val="24"/>
        </w:rPr>
        <w:t xml:space="preserve">p </w:t>
      </w:r>
      <w:r w:rsidRPr="00D05EBD">
        <w:rPr>
          <w:sz w:val="24"/>
          <w:szCs w:val="24"/>
        </w:rPr>
        <w:t>&gt; .05 but only in the control condition, the Shapiro-</w:t>
      </w:r>
      <w:proofErr w:type="spellStart"/>
      <w:r w:rsidRPr="00D05EBD">
        <w:rPr>
          <w:sz w:val="24"/>
          <w:szCs w:val="24"/>
        </w:rPr>
        <w:t>Wilks</w:t>
      </w:r>
      <w:proofErr w:type="spellEnd"/>
      <w:r w:rsidRPr="00D05EBD">
        <w:rPr>
          <w:sz w:val="24"/>
          <w:szCs w:val="24"/>
        </w:rPr>
        <w:t xml:space="preserve"> test was significant for the rest of the DVs indicating they were non-normally distributed for both the experimental and the control condition. To improve the distribution of the data all DVs were tran</w:t>
      </w:r>
      <w:r w:rsidR="00E52D24">
        <w:rPr>
          <w:sz w:val="24"/>
          <w:szCs w:val="24"/>
        </w:rPr>
        <w:t>sformed into their square roots and</w:t>
      </w:r>
      <w:r w:rsidRPr="00D05EBD">
        <w:rPr>
          <w:sz w:val="24"/>
          <w:szCs w:val="24"/>
        </w:rPr>
        <w:t xml:space="preserve"> outliers were dealt with by replacing them by the next higher score plus one (Field, 2009), this was done because the extreme scores of participants are believed not to be due to error caused by the measurement instrument but rather by personal differences in the way participants responded. </w:t>
      </w: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lastRenderedPageBreak/>
        <w:t>To check that the frequencies of IER strategies were not affected by how much participants wrote in each condition (number of words participants wrote in their scripts) an independent-samples t-test was conducted. There was no significant difference in the scores for length of the script of participants in the priming condition (</w:t>
      </w:r>
      <w:r w:rsidRPr="00D05EBD">
        <w:rPr>
          <w:rFonts w:cs="Times New Roman"/>
          <w:i/>
          <w:sz w:val="24"/>
          <w:szCs w:val="24"/>
        </w:rPr>
        <w:t>M</w:t>
      </w:r>
      <w:r w:rsidRPr="00D05EBD">
        <w:rPr>
          <w:rFonts w:cs="Times New Roman"/>
          <w:sz w:val="24"/>
          <w:szCs w:val="24"/>
        </w:rPr>
        <w:t xml:space="preserve"> = 234.70, </w:t>
      </w:r>
      <w:r w:rsidRPr="00D05EBD">
        <w:rPr>
          <w:rFonts w:cs="Times New Roman"/>
          <w:i/>
          <w:sz w:val="24"/>
          <w:szCs w:val="24"/>
        </w:rPr>
        <w:t xml:space="preserve">SD </w:t>
      </w:r>
      <w:r w:rsidRPr="00D05EBD">
        <w:rPr>
          <w:rFonts w:cs="Times New Roman"/>
          <w:sz w:val="24"/>
          <w:szCs w:val="24"/>
        </w:rPr>
        <w:t xml:space="preserve">= 83.25) and of participants in the control condition </w:t>
      </w:r>
      <w:r w:rsidRPr="00D05EBD">
        <w:rPr>
          <w:rFonts w:cs="Times New Roman"/>
          <w:i/>
          <w:sz w:val="24"/>
          <w:szCs w:val="24"/>
        </w:rPr>
        <w:t xml:space="preserve">(M </w:t>
      </w:r>
      <w:r w:rsidRPr="00D05EBD">
        <w:rPr>
          <w:rFonts w:cs="Times New Roman"/>
          <w:sz w:val="24"/>
          <w:szCs w:val="24"/>
        </w:rPr>
        <w:t xml:space="preserve">= 258.18, </w:t>
      </w:r>
      <w:r w:rsidRPr="00D05EBD">
        <w:rPr>
          <w:rFonts w:cs="Times New Roman"/>
          <w:i/>
          <w:sz w:val="24"/>
          <w:szCs w:val="24"/>
        </w:rPr>
        <w:t xml:space="preserve">SD </w:t>
      </w:r>
      <w:r w:rsidRPr="00D05EBD">
        <w:rPr>
          <w:rFonts w:cs="Times New Roman"/>
          <w:sz w:val="24"/>
          <w:szCs w:val="24"/>
        </w:rPr>
        <w:t xml:space="preserve">= 77.80); </w:t>
      </w:r>
      <w:r w:rsidRPr="00D05EBD">
        <w:rPr>
          <w:rFonts w:cs="Times New Roman"/>
          <w:i/>
          <w:sz w:val="24"/>
          <w:szCs w:val="24"/>
        </w:rPr>
        <w:t>t</w:t>
      </w:r>
      <w:r w:rsidR="00886568">
        <w:rPr>
          <w:rFonts w:cs="Times New Roman"/>
          <w:sz w:val="24"/>
          <w:szCs w:val="24"/>
        </w:rPr>
        <w:t>(43) = 0.98</w:t>
      </w:r>
      <w:r w:rsidRPr="00D05EBD">
        <w:rPr>
          <w:rFonts w:cs="Times New Roman"/>
          <w:sz w:val="24"/>
          <w:szCs w:val="24"/>
        </w:rPr>
        <w:t xml:space="preserve">, </w:t>
      </w:r>
      <w:r w:rsidRPr="00D05EBD">
        <w:rPr>
          <w:rFonts w:cs="Times New Roman"/>
          <w:i/>
          <w:sz w:val="24"/>
          <w:szCs w:val="24"/>
        </w:rPr>
        <w:t xml:space="preserve">p </w:t>
      </w:r>
      <w:r w:rsidRPr="00D05EBD">
        <w:rPr>
          <w:rFonts w:cs="Times New Roman"/>
          <w:sz w:val="24"/>
          <w:szCs w:val="24"/>
        </w:rPr>
        <w:t>= .66.</w:t>
      </w:r>
      <w:r w:rsidRPr="00D05EBD">
        <w:rPr>
          <w:rFonts w:cs="Times New Roman"/>
          <w:i/>
          <w:sz w:val="24"/>
          <w:szCs w:val="24"/>
        </w:rPr>
        <w:t xml:space="preserve"> </w:t>
      </w:r>
      <w:r w:rsidR="00372E88">
        <w:rPr>
          <w:rFonts w:cs="Times New Roman"/>
          <w:sz w:val="24"/>
          <w:szCs w:val="24"/>
        </w:rPr>
        <w:t>These results suggest</w:t>
      </w:r>
      <w:r w:rsidRPr="00D05EBD">
        <w:rPr>
          <w:rFonts w:cs="Times New Roman"/>
          <w:sz w:val="24"/>
          <w:szCs w:val="24"/>
        </w:rPr>
        <w:t xml:space="preserve"> that the frequencies of IER strategies were not affected by the length of the participant script. </w:t>
      </w:r>
    </w:p>
    <w:p w:rsidR="00FB1389" w:rsidRDefault="00FB1389" w:rsidP="00AE640B">
      <w:pPr>
        <w:spacing w:line="480" w:lineRule="auto"/>
        <w:ind w:firstLine="720"/>
        <w:jc w:val="both"/>
        <w:rPr>
          <w:rFonts w:cs="Times New Roman"/>
          <w:sz w:val="24"/>
          <w:szCs w:val="24"/>
        </w:rPr>
      </w:pPr>
      <w:r w:rsidRPr="00D05EBD">
        <w:rPr>
          <w:rFonts w:cs="Times New Roman"/>
          <w:sz w:val="24"/>
          <w:szCs w:val="24"/>
        </w:rPr>
        <w:t xml:space="preserve">It was expected that participants in the priming condition would exhibit a greater number of worsening IER behaviours in comparison with the control group. It was also expected that the number of participants choosing the worsening IER goal would be greater in the priming condition than in the control. To test these hypotheses IER responses were subjected to a between-subjects (condition: experimental, control) mixed-design ANOVA with </w:t>
      </w:r>
      <w:proofErr w:type="spellStart"/>
      <w:r w:rsidRPr="00D05EBD">
        <w:rPr>
          <w:rFonts w:cs="Times New Roman"/>
          <w:sz w:val="24"/>
          <w:szCs w:val="24"/>
        </w:rPr>
        <w:t>URPEt</w:t>
      </w:r>
      <w:proofErr w:type="spellEnd"/>
      <w:r w:rsidRPr="00D05EBD">
        <w:rPr>
          <w:rFonts w:cs="Times New Roman"/>
          <w:sz w:val="24"/>
          <w:szCs w:val="24"/>
        </w:rPr>
        <w:t xml:space="preserve">, </w:t>
      </w:r>
      <w:proofErr w:type="spellStart"/>
      <w:r w:rsidRPr="00D05EBD">
        <w:rPr>
          <w:rFonts w:cs="Times New Roman"/>
          <w:sz w:val="24"/>
          <w:szCs w:val="24"/>
        </w:rPr>
        <w:t>URPEa</w:t>
      </w:r>
      <w:proofErr w:type="spellEnd"/>
      <w:r w:rsidRPr="00D05EBD">
        <w:rPr>
          <w:rFonts w:cs="Times New Roman"/>
          <w:sz w:val="24"/>
          <w:szCs w:val="24"/>
        </w:rPr>
        <w:t xml:space="preserve">, </w:t>
      </w:r>
      <w:proofErr w:type="spellStart"/>
      <w:r w:rsidRPr="00D05EBD">
        <w:rPr>
          <w:rFonts w:cs="Times New Roman"/>
          <w:sz w:val="24"/>
          <w:szCs w:val="24"/>
        </w:rPr>
        <w:t>URNEt</w:t>
      </w:r>
      <w:proofErr w:type="spellEnd"/>
      <w:r w:rsidRPr="00D05EBD">
        <w:rPr>
          <w:rFonts w:cs="Times New Roman"/>
          <w:sz w:val="24"/>
          <w:szCs w:val="24"/>
        </w:rPr>
        <w:t xml:space="preserve">, </w:t>
      </w:r>
      <w:proofErr w:type="spellStart"/>
      <w:r w:rsidRPr="00D05EBD">
        <w:rPr>
          <w:rFonts w:cs="Times New Roman"/>
          <w:sz w:val="24"/>
          <w:szCs w:val="24"/>
        </w:rPr>
        <w:t>URNEa</w:t>
      </w:r>
      <w:proofErr w:type="spellEnd"/>
      <w:r w:rsidRPr="00D05EBD">
        <w:rPr>
          <w:rFonts w:cs="Times New Roman"/>
          <w:sz w:val="24"/>
          <w:szCs w:val="24"/>
        </w:rPr>
        <w:t xml:space="preserve">, </w:t>
      </w:r>
      <w:proofErr w:type="spellStart"/>
      <w:r w:rsidRPr="00D05EBD">
        <w:rPr>
          <w:rFonts w:cs="Times New Roman"/>
          <w:sz w:val="24"/>
          <w:szCs w:val="24"/>
        </w:rPr>
        <w:t>DRNEt</w:t>
      </w:r>
      <w:proofErr w:type="spellEnd"/>
      <w:r w:rsidRPr="00D05EBD">
        <w:rPr>
          <w:rFonts w:cs="Times New Roman"/>
          <w:sz w:val="24"/>
          <w:szCs w:val="24"/>
        </w:rPr>
        <w:t xml:space="preserve"> and </w:t>
      </w:r>
      <w:proofErr w:type="spellStart"/>
      <w:r w:rsidRPr="00D05EBD">
        <w:rPr>
          <w:rFonts w:cs="Times New Roman"/>
          <w:sz w:val="24"/>
          <w:szCs w:val="24"/>
        </w:rPr>
        <w:t>DRNEa</w:t>
      </w:r>
      <w:proofErr w:type="spellEnd"/>
      <w:r w:rsidRPr="00D05EBD">
        <w:rPr>
          <w:rFonts w:cs="Times New Roman"/>
          <w:sz w:val="24"/>
          <w:szCs w:val="24"/>
        </w:rPr>
        <w:t xml:space="preserve"> frequencies as the dependent variables and social desirability as a covariate. </w:t>
      </w:r>
    </w:p>
    <w:p w:rsidR="00667ED1" w:rsidRDefault="00667ED1" w:rsidP="00AE640B">
      <w:pPr>
        <w:spacing w:line="480" w:lineRule="auto"/>
        <w:ind w:firstLine="720"/>
        <w:jc w:val="both"/>
        <w:rPr>
          <w:rFonts w:cs="Times New Roman"/>
          <w:sz w:val="24"/>
          <w:szCs w:val="24"/>
        </w:rPr>
      </w:pPr>
    </w:p>
    <w:p w:rsidR="00667ED1" w:rsidRDefault="00667ED1" w:rsidP="00AE640B">
      <w:pPr>
        <w:spacing w:line="480" w:lineRule="auto"/>
        <w:ind w:firstLine="720"/>
        <w:jc w:val="both"/>
        <w:rPr>
          <w:rFonts w:cs="Times New Roman"/>
          <w:sz w:val="24"/>
          <w:szCs w:val="24"/>
        </w:rPr>
      </w:pPr>
    </w:p>
    <w:p w:rsidR="00667ED1" w:rsidRDefault="00667ED1" w:rsidP="00AE640B">
      <w:pPr>
        <w:spacing w:line="480" w:lineRule="auto"/>
        <w:ind w:firstLine="720"/>
        <w:jc w:val="both"/>
        <w:rPr>
          <w:rFonts w:cs="Times New Roman"/>
          <w:sz w:val="24"/>
          <w:szCs w:val="24"/>
        </w:rPr>
      </w:pPr>
    </w:p>
    <w:p w:rsidR="00667ED1" w:rsidRDefault="00667ED1" w:rsidP="00AE640B">
      <w:pPr>
        <w:spacing w:line="480" w:lineRule="auto"/>
        <w:ind w:firstLine="720"/>
        <w:jc w:val="both"/>
        <w:rPr>
          <w:rFonts w:cs="Times New Roman"/>
          <w:sz w:val="24"/>
          <w:szCs w:val="24"/>
        </w:rPr>
      </w:pPr>
    </w:p>
    <w:p w:rsidR="00886568" w:rsidRDefault="00886568" w:rsidP="00AE640B">
      <w:pPr>
        <w:spacing w:line="480" w:lineRule="auto"/>
        <w:ind w:firstLine="720"/>
        <w:jc w:val="both"/>
        <w:rPr>
          <w:rFonts w:cs="Times New Roman"/>
          <w:sz w:val="24"/>
          <w:szCs w:val="24"/>
        </w:rPr>
      </w:pPr>
    </w:p>
    <w:p w:rsidR="00886568" w:rsidRDefault="00886568" w:rsidP="00AE640B">
      <w:pPr>
        <w:spacing w:line="480" w:lineRule="auto"/>
        <w:ind w:firstLine="720"/>
        <w:jc w:val="both"/>
        <w:rPr>
          <w:rFonts w:cs="Times New Roman"/>
          <w:sz w:val="24"/>
          <w:szCs w:val="24"/>
        </w:rPr>
      </w:pPr>
    </w:p>
    <w:p w:rsidR="00886568" w:rsidRPr="00D05EBD" w:rsidRDefault="00886568" w:rsidP="00AE640B">
      <w:pPr>
        <w:spacing w:line="480" w:lineRule="auto"/>
        <w:ind w:firstLine="720"/>
        <w:jc w:val="both"/>
        <w:rPr>
          <w:rFonts w:cs="Times New Roman"/>
          <w:sz w:val="24"/>
          <w:szCs w:val="24"/>
        </w:rPr>
      </w:pPr>
    </w:p>
    <w:tbl>
      <w:tblPr>
        <w:tblW w:w="5000" w:type="pct"/>
        <w:tblLook w:val="04A0"/>
      </w:tblPr>
      <w:tblGrid>
        <w:gridCol w:w="1708"/>
        <w:gridCol w:w="1846"/>
        <w:gridCol w:w="1776"/>
        <w:gridCol w:w="1776"/>
        <w:gridCol w:w="1776"/>
      </w:tblGrid>
      <w:tr w:rsidR="00FB1389" w:rsidRPr="00667ED1" w:rsidTr="00D05EBD">
        <w:trPr>
          <w:trHeight w:val="300"/>
        </w:trPr>
        <w:tc>
          <w:tcPr>
            <w:tcW w:w="5000" w:type="pct"/>
            <w:gridSpan w:val="5"/>
            <w:tcBorders>
              <w:top w:val="nil"/>
              <w:left w:val="nil"/>
              <w:bottom w:val="single" w:sz="4" w:space="0" w:color="000000"/>
              <w:right w:val="single" w:sz="4" w:space="0" w:color="000000"/>
            </w:tcBorders>
            <w:shd w:val="clear" w:color="auto" w:fill="auto"/>
            <w:vAlign w:val="center"/>
            <w:hideMark/>
          </w:tcPr>
          <w:p w:rsidR="00FB1389" w:rsidRPr="00667ED1" w:rsidRDefault="00667ED1" w:rsidP="00667ED1">
            <w:pPr>
              <w:spacing w:after="0" w:line="240" w:lineRule="auto"/>
              <w:jc w:val="both"/>
              <w:rPr>
                <w:rFonts w:eastAsia="Times New Roman" w:cs="Times New Roman"/>
                <w:color w:val="000000"/>
              </w:rPr>
            </w:pPr>
            <w:r w:rsidRPr="00667ED1">
              <w:rPr>
                <w:rFonts w:eastAsia="Times New Roman" w:cs="Times New Roman"/>
                <w:color w:val="000000"/>
              </w:rPr>
              <w:lastRenderedPageBreak/>
              <w:t>Table III</w:t>
            </w:r>
            <w:r w:rsidR="00FB1389" w:rsidRPr="00667ED1">
              <w:rPr>
                <w:rFonts w:eastAsia="Times New Roman" w:cs="Times New Roman"/>
                <w:color w:val="000000"/>
              </w:rPr>
              <w:t>.3. Means and standard deviations of IER strategies as a function of condition</w:t>
            </w:r>
          </w:p>
        </w:tc>
      </w:tr>
      <w:tr w:rsidR="00FB1389" w:rsidRPr="00667ED1" w:rsidTr="00D05EBD">
        <w:trPr>
          <w:trHeight w:val="600"/>
        </w:trPr>
        <w:tc>
          <w:tcPr>
            <w:tcW w:w="961" w:type="pct"/>
            <w:tcBorders>
              <w:top w:val="nil"/>
              <w:left w:val="nil"/>
              <w:bottom w:val="single" w:sz="4" w:space="0" w:color="000000"/>
              <w:right w:val="single" w:sz="4" w:space="0" w:color="000000"/>
            </w:tcBorders>
            <w:shd w:val="clear" w:color="auto" w:fill="auto"/>
            <w:vAlign w:val="bottom"/>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IER strategies</w:t>
            </w:r>
          </w:p>
        </w:tc>
        <w:tc>
          <w:tcPr>
            <w:tcW w:w="1039" w:type="pct"/>
            <w:tcBorders>
              <w:top w:val="nil"/>
              <w:left w:val="nil"/>
              <w:bottom w:val="single" w:sz="4" w:space="0" w:color="000000"/>
              <w:right w:val="single" w:sz="4" w:space="0" w:color="000000"/>
            </w:tcBorders>
            <w:shd w:val="clear" w:color="auto" w:fill="auto"/>
            <w:vAlign w:val="bottom"/>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Condition</w:t>
            </w:r>
          </w:p>
        </w:tc>
        <w:tc>
          <w:tcPr>
            <w:tcW w:w="1000" w:type="pct"/>
            <w:tcBorders>
              <w:top w:val="nil"/>
              <w:left w:val="nil"/>
              <w:bottom w:val="single" w:sz="4" w:space="0" w:color="000000"/>
              <w:right w:val="single" w:sz="4" w:space="0" w:color="000000"/>
            </w:tcBorders>
            <w:shd w:val="clear" w:color="auto" w:fill="auto"/>
            <w:vAlign w:val="bottom"/>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Mean</w:t>
            </w:r>
          </w:p>
        </w:tc>
        <w:tc>
          <w:tcPr>
            <w:tcW w:w="1000" w:type="pct"/>
            <w:tcBorders>
              <w:top w:val="nil"/>
              <w:left w:val="nil"/>
              <w:bottom w:val="single" w:sz="4" w:space="0" w:color="000000"/>
              <w:right w:val="single" w:sz="4" w:space="0" w:color="000000"/>
            </w:tcBorders>
            <w:shd w:val="clear" w:color="auto" w:fill="auto"/>
            <w:vAlign w:val="bottom"/>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Std. Deviation</w:t>
            </w:r>
          </w:p>
        </w:tc>
        <w:tc>
          <w:tcPr>
            <w:tcW w:w="1000" w:type="pct"/>
            <w:tcBorders>
              <w:top w:val="nil"/>
              <w:left w:val="nil"/>
              <w:bottom w:val="single" w:sz="4" w:space="0" w:color="000000"/>
              <w:right w:val="nil"/>
            </w:tcBorders>
            <w:shd w:val="clear" w:color="auto" w:fill="auto"/>
            <w:vAlign w:val="bottom"/>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N</w:t>
            </w:r>
          </w:p>
        </w:tc>
      </w:tr>
      <w:tr w:rsidR="00FB1389" w:rsidRPr="00667ED1" w:rsidTr="00D05EBD">
        <w:trPr>
          <w:trHeight w:val="345"/>
        </w:trPr>
        <w:tc>
          <w:tcPr>
            <w:tcW w:w="961" w:type="pct"/>
            <w:vMerge w:val="restart"/>
            <w:tcBorders>
              <w:top w:val="nil"/>
              <w:left w:val="nil"/>
              <w:bottom w:val="single" w:sz="4" w:space="0" w:color="000000"/>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proofErr w:type="spellStart"/>
            <w:r w:rsidRPr="00667ED1">
              <w:rPr>
                <w:rFonts w:eastAsia="Times New Roman" w:cs="Arial"/>
                <w:color w:val="000000"/>
              </w:rPr>
              <w:t>URPEa</w:t>
            </w:r>
            <w:proofErr w:type="spellEnd"/>
          </w:p>
        </w:tc>
        <w:tc>
          <w:tcPr>
            <w:tcW w:w="1039" w:type="pct"/>
            <w:tcBorders>
              <w:top w:val="nil"/>
              <w:left w:val="nil"/>
              <w:bottom w:val="nil"/>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Control</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2.30</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0.62</w:t>
            </w:r>
          </w:p>
        </w:tc>
        <w:tc>
          <w:tcPr>
            <w:tcW w:w="1000" w:type="pct"/>
            <w:tcBorders>
              <w:top w:val="nil"/>
              <w:left w:val="nil"/>
              <w:bottom w:val="nil"/>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22</w:t>
            </w:r>
          </w:p>
        </w:tc>
      </w:tr>
      <w:tr w:rsidR="00FB1389" w:rsidRPr="00667ED1" w:rsidTr="00D05EBD">
        <w:trPr>
          <w:trHeight w:val="345"/>
        </w:trPr>
        <w:tc>
          <w:tcPr>
            <w:tcW w:w="961" w:type="pct"/>
            <w:vMerge/>
            <w:tcBorders>
              <w:top w:val="nil"/>
              <w:left w:val="nil"/>
              <w:bottom w:val="single" w:sz="4" w:space="0" w:color="000000"/>
              <w:right w:val="single" w:sz="4" w:space="0" w:color="000000"/>
            </w:tcBorders>
            <w:vAlign w:val="center"/>
            <w:hideMark/>
          </w:tcPr>
          <w:p w:rsidR="00FB1389" w:rsidRPr="00667ED1" w:rsidRDefault="00FB1389" w:rsidP="00667ED1">
            <w:pPr>
              <w:spacing w:after="0" w:line="240" w:lineRule="auto"/>
              <w:jc w:val="both"/>
              <w:rPr>
                <w:rFonts w:eastAsia="Times New Roman" w:cs="Arial"/>
                <w:color w:val="000000"/>
              </w:rPr>
            </w:pPr>
          </w:p>
        </w:tc>
        <w:tc>
          <w:tcPr>
            <w:tcW w:w="1039" w:type="pct"/>
            <w:tcBorders>
              <w:top w:val="nil"/>
              <w:left w:val="nil"/>
              <w:bottom w:val="nil"/>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experimental</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1.78</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0.80</w:t>
            </w:r>
          </w:p>
        </w:tc>
        <w:tc>
          <w:tcPr>
            <w:tcW w:w="1000" w:type="pct"/>
            <w:tcBorders>
              <w:top w:val="nil"/>
              <w:left w:val="nil"/>
              <w:bottom w:val="nil"/>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23</w:t>
            </w:r>
          </w:p>
        </w:tc>
      </w:tr>
      <w:tr w:rsidR="00FB1389" w:rsidRPr="00667ED1" w:rsidTr="00D05EBD">
        <w:trPr>
          <w:trHeight w:val="345"/>
        </w:trPr>
        <w:tc>
          <w:tcPr>
            <w:tcW w:w="961" w:type="pct"/>
            <w:vMerge/>
            <w:tcBorders>
              <w:top w:val="nil"/>
              <w:left w:val="nil"/>
              <w:bottom w:val="single" w:sz="4" w:space="0" w:color="000000"/>
              <w:right w:val="single" w:sz="4" w:space="0" w:color="000000"/>
            </w:tcBorders>
            <w:vAlign w:val="center"/>
            <w:hideMark/>
          </w:tcPr>
          <w:p w:rsidR="00FB1389" w:rsidRPr="00667ED1" w:rsidRDefault="00FB1389" w:rsidP="00667ED1">
            <w:pPr>
              <w:spacing w:after="0" w:line="240" w:lineRule="auto"/>
              <w:jc w:val="both"/>
              <w:rPr>
                <w:rFonts w:eastAsia="Times New Roman" w:cs="Arial"/>
                <w:color w:val="000000"/>
              </w:rPr>
            </w:pPr>
          </w:p>
        </w:tc>
        <w:tc>
          <w:tcPr>
            <w:tcW w:w="1039" w:type="pct"/>
            <w:tcBorders>
              <w:top w:val="nil"/>
              <w:left w:val="nil"/>
              <w:bottom w:val="single" w:sz="4" w:space="0" w:color="000000"/>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Total</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2.04</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0.76</w:t>
            </w:r>
          </w:p>
        </w:tc>
        <w:tc>
          <w:tcPr>
            <w:tcW w:w="1000" w:type="pct"/>
            <w:tcBorders>
              <w:top w:val="nil"/>
              <w:left w:val="nil"/>
              <w:bottom w:val="single" w:sz="4" w:space="0" w:color="000000"/>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45</w:t>
            </w:r>
          </w:p>
        </w:tc>
      </w:tr>
      <w:tr w:rsidR="00FB1389" w:rsidRPr="00667ED1" w:rsidTr="00D05EBD">
        <w:trPr>
          <w:trHeight w:val="345"/>
        </w:trPr>
        <w:tc>
          <w:tcPr>
            <w:tcW w:w="961" w:type="pct"/>
            <w:vMerge w:val="restart"/>
            <w:tcBorders>
              <w:top w:val="nil"/>
              <w:left w:val="nil"/>
              <w:bottom w:val="single" w:sz="4" w:space="0" w:color="000000"/>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proofErr w:type="spellStart"/>
            <w:r w:rsidRPr="00667ED1">
              <w:rPr>
                <w:rFonts w:eastAsia="Times New Roman" w:cs="Arial"/>
                <w:color w:val="000000"/>
              </w:rPr>
              <w:t>URPEt</w:t>
            </w:r>
            <w:proofErr w:type="spellEnd"/>
          </w:p>
        </w:tc>
        <w:tc>
          <w:tcPr>
            <w:tcW w:w="1039" w:type="pct"/>
            <w:tcBorders>
              <w:top w:val="nil"/>
              <w:left w:val="nil"/>
              <w:bottom w:val="nil"/>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Control</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2.19</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0.54</w:t>
            </w:r>
          </w:p>
        </w:tc>
        <w:tc>
          <w:tcPr>
            <w:tcW w:w="1000" w:type="pct"/>
            <w:tcBorders>
              <w:top w:val="nil"/>
              <w:left w:val="nil"/>
              <w:bottom w:val="nil"/>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22</w:t>
            </w:r>
          </w:p>
        </w:tc>
      </w:tr>
      <w:tr w:rsidR="00FB1389" w:rsidRPr="00667ED1" w:rsidTr="00D05EBD">
        <w:trPr>
          <w:trHeight w:val="345"/>
        </w:trPr>
        <w:tc>
          <w:tcPr>
            <w:tcW w:w="961" w:type="pct"/>
            <w:vMerge/>
            <w:tcBorders>
              <w:top w:val="nil"/>
              <w:left w:val="nil"/>
              <w:bottom w:val="single" w:sz="4" w:space="0" w:color="000000"/>
              <w:right w:val="single" w:sz="4" w:space="0" w:color="000000"/>
            </w:tcBorders>
            <w:vAlign w:val="center"/>
            <w:hideMark/>
          </w:tcPr>
          <w:p w:rsidR="00FB1389" w:rsidRPr="00667ED1" w:rsidRDefault="00FB1389" w:rsidP="00667ED1">
            <w:pPr>
              <w:spacing w:after="0" w:line="240" w:lineRule="auto"/>
              <w:jc w:val="both"/>
              <w:rPr>
                <w:rFonts w:eastAsia="Times New Roman" w:cs="Arial"/>
                <w:color w:val="000000"/>
              </w:rPr>
            </w:pPr>
          </w:p>
        </w:tc>
        <w:tc>
          <w:tcPr>
            <w:tcW w:w="1039" w:type="pct"/>
            <w:tcBorders>
              <w:top w:val="nil"/>
              <w:left w:val="nil"/>
              <w:bottom w:val="nil"/>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experimental</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1.74</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0.72</w:t>
            </w:r>
          </w:p>
        </w:tc>
        <w:tc>
          <w:tcPr>
            <w:tcW w:w="1000" w:type="pct"/>
            <w:tcBorders>
              <w:top w:val="nil"/>
              <w:left w:val="nil"/>
              <w:bottom w:val="nil"/>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23</w:t>
            </w:r>
          </w:p>
        </w:tc>
      </w:tr>
      <w:tr w:rsidR="00FB1389" w:rsidRPr="00667ED1" w:rsidTr="00D05EBD">
        <w:trPr>
          <w:trHeight w:val="345"/>
        </w:trPr>
        <w:tc>
          <w:tcPr>
            <w:tcW w:w="961" w:type="pct"/>
            <w:vMerge/>
            <w:tcBorders>
              <w:top w:val="nil"/>
              <w:left w:val="nil"/>
              <w:bottom w:val="single" w:sz="4" w:space="0" w:color="000000"/>
              <w:right w:val="single" w:sz="4" w:space="0" w:color="000000"/>
            </w:tcBorders>
            <w:vAlign w:val="center"/>
            <w:hideMark/>
          </w:tcPr>
          <w:p w:rsidR="00FB1389" w:rsidRPr="00667ED1" w:rsidRDefault="00FB1389" w:rsidP="00667ED1">
            <w:pPr>
              <w:spacing w:after="0" w:line="240" w:lineRule="auto"/>
              <w:jc w:val="both"/>
              <w:rPr>
                <w:rFonts w:eastAsia="Times New Roman" w:cs="Arial"/>
                <w:color w:val="000000"/>
              </w:rPr>
            </w:pPr>
          </w:p>
        </w:tc>
        <w:tc>
          <w:tcPr>
            <w:tcW w:w="1039" w:type="pct"/>
            <w:tcBorders>
              <w:top w:val="nil"/>
              <w:left w:val="nil"/>
              <w:bottom w:val="single" w:sz="4" w:space="0" w:color="000000"/>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Total</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1.96</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0.67</w:t>
            </w:r>
          </w:p>
        </w:tc>
        <w:tc>
          <w:tcPr>
            <w:tcW w:w="1000" w:type="pct"/>
            <w:tcBorders>
              <w:top w:val="nil"/>
              <w:left w:val="nil"/>
              <w:bottom w:val="single" w:sz="4" w:space="0" w:color="000000"/>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45</w:t>
            </w:r>
          </w:p>
        </w:tc>
      </w:tr>
      <w:tr w:rsidR="00FB1389" w:rsidRPr="00667ED1" w:rsidTr="00D05EBD">
        <w:trPr>
          <w:trHeight w:val="345"/>
        </w:trPr>
        <w:tc>
          <w:tcPr>
            <w:tcW w:w="961" w:type="pct"/>
            <w:vMerge w:val="restart"/>
            <w:tcBorders>
              <w:top w:val="nil"/>
              <w:left w:val="nil"/>
              <w:bottom w:val="single" w:sz="4" w:space="0" w:color="000000"/>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proofErr w:type="spellStart"/>
            <w:r w:rsidRPr="00667ED1">
              <w:rPr>
                <w:rFonts w:eastAsia="Times New Roman" w:cs="Arial"/>
                <w:color w:val="000000"/>
              </w:rPr>
              <w:t>URNEa</w:t>
            </w:r>
            <w:proofErr w:type="spellEnd"/>
          </w:p>
        </w:tc>
        <w:tc>
          <w:tcPr>
            <w:tcW w:w="1039" w:type="pct"/>
            <w:tcBorders>
              <w:top w:val="nil"/>
              <w:left w:val="nil"/>
              <w:bottom w:val="nil"/>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Control</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1.22</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0.42</w:t>
            </w:r>
          </w:p>
        </w:tc>
        <w:tc>
          <w:tcPr>
            <w:tcW w:w="1000" w:type="pct"/>
            <w:tcBorders>
              <w:top w:val="nil"/>
              <w:left w:val="nil"/>
              <w:bottom w:val="nil"/>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22</w:t>
            </w:r>
          </w:p>
        </w:tc>
      </w:tr>
      <w:tr w:rsidR="00FB1389" w:rsidRPr="00667ED1" w:rsidTr="00D05EBD">
        <w:trPr>
          <w:trHeight w:val="345"/>
        </w:trPr>
        <w:tc>
          <w:tcPr>
            <w:tcW w:w="961" w:type="pct"/>
            <w:vMerge/>
            <w:tcBorders>
              <w:top w:val="nil"/>
              <w:left w:val="nil"/>
              <w:bottom w:val="single" w:sz="4" w:space="0" w:color="000000"/>
              <w:right w:val="single" w:sz="4" w:space="0" w:color="000000"/>
            </w:tcBorders>
            <w:vAlign w:val="center"/>
            <w:hideMark/>
          </w:tcPr>
          <w:p w:rsidR="00FB1389" w:rsidRPr="00667ED1" w:rsidRDefault="00FB1389" w:rsidP="00667ED1">
            <w:pPr>
              <w:spacing w:after="0" w:line="240" w:lineRule="auto"/>
              <w:jc w:val="both"/>
              <w:rPr>
                <w:rFonts w:eastAsia="Times New Roman" w:cs="Arial"/>
                <w:color w:val="000000"/>
              </w:rPr>
            </w:pPr>
          </w:p>
        </w:tc>
        <w:tc>
          <w:tcPr>
            <w:tcW w:w="1039" w:type="pct"/>
            <w:tcBorders>
              <w:top w:val="nil"/>
              <w:left w:val="nil"/>
              <w:bottom w:val="nil"/>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experimental</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1.82</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1.04</w:t>
            </w:r>
          </w:p>
        </w:tc>
        <w:tc>
          <w:tcPr>
            <w:tcW w:w="1000" w:type="pct"/>
            <w:tcBorders>
              <w:top w:val="nil"/>
              <w:left w:val="nil"/>
              <w:bottom w:val="nil"/>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23</w:t>
            </w:r>
          </w:p>
        </w:tc>
      </w:tr>
      <w:tr w:rsidR="00FB1389" w:rsidRPr="00667ED1" w:rsidTr="00D05EBD">
        <w:trPr>
          <w:trHeight w:val="345"/>
        </w:trPr>
        <w:tc>
          <w:tcPr>
            <w:tcW w:w="961" w:type="pct"/>
            <w:vMerge/>
            <w:tcBorders>
              <w:top w:val="nil"/>
              <w:left w:val="nil"/>
              <w:bottom w:val="single" w:sz="4" w:space="0" w:color="000000"/>
              <w:right w:val="single" w:sz="4" w:space="0" w:color="000000"/>
            </w:tcBorders>
            <w:vAlign w:val="center"/>
            <w:hideMark/>
          </w:tcPr>
          <w:p w:rsidR="00FB1389" w:rsidRPr="00667ED1" w:rsidRDefault="00FB1389" w:rsidP="00667ED1">
            <w:pPr>
              <w:spacing w:after="0" w:line="240" w:lineRule="auto"/>
              <w:jc w:val="both"/>
              <w:rPr>
                <w:rFonts w:eastAsia="Times New Roman" w:cs="Arial"/>
                <w:color w:val="000000"/>
              </w:rPr>
            </w:pPr>
          </w:p>
        </w:tc>
        <w:tc>
          <w:tcPr>
            <w:tcW w:w="1039" w:type="pct"/>
            <w:tcBorders>
              <w:top w:val="nil"/>
              <w:left w:val="nil"/>
              <w:bottom w:val="single" w:sz="4" w:space="0" w:color="000000"/>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Total</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1.53</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0.85</w:t>
            </w:r>
          </w:p>
        </w:tc>
        <w:tc>
          <w:tcPr>
            <w:tcW w:w="1000" w:type="pct"/>
            <w:tcBorders>
              <w:top w:val="nil"/>
              <w:left w:val="nil"/>
              <w:bottom w:val="single" w:sz="4" w:space="0" w:color="000000"/>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45</w:t>
            </w:r>
          </w:p>
        </w:tc>
      </w:tr>
      <w:tr w:rsidR="00FB1389" w:rsidRPr="00667ED1" w:rsidTr="00D05EBD">
        <w:trPr>
          <w:trHeight w:val="345"/>
        </w:trPr>
        <w:tc>
          <w:tcPr>
            <w:tcW w:w="961" w:type="pct"/>
            <w:vMerge w:val="restart"/>
            <w:tcBorders>
              <w:top w:val="nil"/>
              <w:left w:val="nil"/>
              <w:bottom w:val="single" w:sz="4" w:space="0" w:color="000000"/>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proofErr w:type="spellStart"/>
            <w:r w:rsidRPr="00667ED1">
              <w:rPr>
                <w:rFonts w:eastAsia="Times New Roman" w:cs="Arial"/>
                <w:color w:val="000000"/>
              </w:rPr>
              <w:t>URNEt</w:t>
            </w:r>
            <w:proofErr w:type="spellEnd"/>
          </w:p>
        </w:tc>
        <w:tc>
          <w:tcPr>
            <w:tcW w:w="1039" w:type="pct"/>
            <w:tcBorders>
              <w:top w:val="nil"/>
              <w:left w:val="nil"/>
              <w:bottom w:val="nil"/>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Control</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1.17</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0.32</w:t>
            </w:r>
          </w:p>
        </w:tc>
        <w:tc>
          <w:tcPr>
            <w:tcW w:w="1000" w:type="pct"/>
            <w:tcBorders>
              <w:top w:val="nil"/>
              <w:left w:val="nil"/>
              <w:bottom w:val="nil"/>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22</w:t>
            </w:r>
          </w:p>
        </w:tc>
      </w:tr>
      <w:tr w:rsidR="00FB1389" w:rsidRPr="00667ED1" w:rsidTr="00D05EBD">
        <w:trPr>
          <w:trHeight w:val="345"/>
        </w:trPr>
        <w:tc>
          <w:tcPr>
            <w:tcW w:w="961" w:type="pct"/>
            <w:vMerge/>
            <w:tcBorders>
              <w:top w:val="nil"/>
              <w:left w:val="nil"/>
              <w:bottom w:val="single" w:sz="4" w:space="0" w:color="000000"/>
              <w:right w:val="single" w:sz="4" w:space="0" w:color="000000"/>
            </w:tcBorders>
            <w:vAlign w:val="center"/>
            <w:hideMark/>
          </w:tcPr>
          <w:p w:rsidR="00FB1389" w:rsidRPr="00667ED1" w:rsidRDefault="00FB1389" w:rsidP="00667ED1">
            <w:pPr>
              <w:spacing w:after="0" w:line="240" w:lineRule="auto"/>
              <w:jc w:val="both"/>
              <w:rPr>
                <w:rFonts w:eastAsia="Times New Roman" w:cs="Arial"/>
                <w:color w:val="000000"/>
              </w:rPr>
            </w:pPr>
          </w:p>
        </w:tc>
        <w:tc>
          <w:tcPr>
            <w:tcW w:w="1039" w:type="pct"/>
            <w:tcBorders>
              <w:top w:val="nil"/>
              <w:left w:val="nil"/>
              <w:bottom w:val="nil"/>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experimental</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1.59</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0.86</w:t>
            </w:r>
          </w:p>
        </w:tc>
        <w:tc>
          <w:tcPr>
            <w:tcW w:w="1000" w:type="pct"/>
            <w:tcBorders>
              <w:top w:val="nil"/>
              <w:left w:val="nil"/>
              <w:bottom w:val="nil"/>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23</w:t>
            </w:r>
          </w:p>
        </w:tc>
      </w:tr>
      <w:tr w:rsidR="00FB1389" w:rsidRPr="00667ED1" w:rsidTr="00D05EBD">
        <w:trPr>
          <w:trHeight w:val="345"/>
        </w:trPr>
        <w:tc>
          <w:tcPr>
            <w:tcW w:w="961" w:type="pct"/>
            <w:vMerge/>
            <w:tcBorders>
              <w:top w:val="nil"/>
              <w:left w:val="nil"/>
              <w:bottom w:val="single" w:sz="4" w:space="0" w:color="000000"/>
              <w:right w:val="single" w:sz="4" w:space="0" w:color="000000"/>
            </w:tcBorders>
            <w:vAlign w:val="center"/>
            <w:hideMark/>
          </w:tcPr>
          <w:p w:rsidR="00FB1389" w:rsidRPr="00667ED1" w:rsidRDefault="00FB1389" w:rsidP="00667ED1">
            <w:pPr>
              <w:spacing w:after="0" w:line="240" w:lineRule="auto"/>
              <w:jc w:val="both"/>
              <w:rPr>
                <w:rFonts w:eastAsia="Times New Roman" w:cs="Arial"/>
                <w:color w:val="000000"/>
              </w:rPr>
            </w:pPr>
          </w:p>
        </w:tc>
        <w:tc>
          <w:tcPr>
            <w:tcW w:w="1039" w:type="pct"/>
            <w:tcBorders>
              <w:top w:val="nil"/>
              <w:left w:val="nil"/>
              <w:bottom w:val="single" w:sz="4" w:space="0" w:color="000000"/>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Total</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1.39</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0.68</w:t>
            </w:r>
          </w:p>
        </w:tc>
        <w:tc>
          <w:tcPr>
            <w:tcW w:w="1000" w:type="pct"/>
            <w:tcBorders>
              <w:top w:val="nil"/>
              <w:left w:val="nil"/>
              <w:bottom w:val="single" w:sz="4" w:space="0" w:color="000000"/>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45</w:t>
            </w:r>
          </w:p>
        </w:tc>
      </w:tr>
      <w:tr w:rsidR="00FB1389" w:rsidRPr="00667ED1" w:rsidTr="00D05EBD">
        <w:trPr>
          <w:trHeight w:val="345"/>
        </w:trPr>
        <w:tc>
          <w:tcPr>
            <w:tcW w:w="961" w:type="pct"/>
            <w:vMerge w:val="restart"/>
            <w:tcBorders>
              <w:top w:val="nil"/>
              <w:left w:val="nil"/>
              <w:bottom w:val="single" w:sz="4" w:space="0" w:color="000000"/>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proofErr w:type="spellStart"/>
            <w:r w:rsidRPr="00667ED1">
              <w:rPr>
                <w:rFonts w:eastAsia="Times New Roman" w:cs="Arial"/>
                <w:color w:val="000000"/>
              </w:rPr>
              <w:t>DRNEa</w:t>
            </w:r>
            <w:proofErr w:type="spellEnd"/>
          </w:p>
        </w:tc>
        <w:tc>
          <w:tcPr>
            <w:tcW w:w="1039" w:type="pct"/>
            <w:tcBorders>
              <w:top w:val="nil"/>
              <w:left w:val="nil"/>
              <w:bottom w:val="nil"/>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Control</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2.03</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0.92</w:t>
            </w:r>
          </w:p>
        </w:tc>
        <w:tc>
          <w:tcPr>
            <w:tcW w:w="1000" w:type="pct"/>
            <w:tcBorders>
              <w:top w:val="nil"/>
              <w:left w:val="nil"/>
              <w:bottom w:val="nil"/>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22</w:t>
            </w:r>
          </w:p>
        </w:tc>
      </w:tr>
      <w:tr w:rsidR="00FB1389" w:rsidRPr="00667ED1" w:rsidTr="00D05EBD">
        <w:trPr>
          <w:trHeight w:val="345"/>
        </w:trPr>
        <w:tc>
          <w:tcPr>
            <w:tcW w:w="961" w:type="pct"/>
            <w:vMerge/>
            <w:tcBorders>
              <w:top w:val="nil"/>
              <w:left w:val="nil"/>
              <w:bottom w:val="single" w:sz="4" w:space="0" w:color="000000"/>
              <w:right w:val="single" w:sz="4" w:space="0" w:color="000000"/>
            </w:tcBorders>
            <w:vAlign w:val="center"/>
            <w:hideMark/>
          </w:tcPr>
          <w:p w:rsidR="00FB1389" w:rsidRPr="00667ED1" w:rsidRDefault="00FB1389" w:rsidP="00667ED1">
            <w:pPr>
              <w:spacing w:after="0" w:line="240" w:lineRule="auto"/>
              <w:jc w:val="both"/>
              <w:rPr>
                <w:rFonts w:eastAsia="Times New Roman" w:cs="Arial"/>
                <w:color w:val="000000"/>
              </w:rPr>
            </w:pPr>
          </w:p>
        </w:tc>
        <w:tc>
          <w:tcPr>
            <w:tcW w:w="1039" w:type="pct"/>
            <w:tcBorders>
              <w:top w:val="nil"/>
              <w:left w:val="nil"/>
              <w:bottom w:val="nil"/>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experimental</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1.65</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0.91</w:t>
            </w:r>
          </w:p>
        </w:tc>
        <w:tc>
          <w:tcPr>
            <w:tcW w:w="1000" w:type="pct"/>
            <w:tcBorders>
              <w:top w:val="nil"/>
              <w:left w:val="nil"/>
              <w:bottom w:val="nil"/>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23</w:t>
            </w:r>
          </w:p>
        </w:tc>
      </w:tr>
      <w:tr w:rsidR="00FB1389" w:rsidRPr="00667ED1" w:rsidTr="00667ED1">
        <w:trPr>
          <w:trHeight w:val="284"/>
        </w:trPr>
        <w:tc>
          <w:tcPr>
            <w:tcW w:w="961" w:type="pct"/>
            <w:vMerge/>
            <w:tcBorders>
              <w:top w:val="nil"/>
              <w:left w:val="nil"/>
              <w:bottom w:val="single" w:sz="4" w:space="0" w:color="000000"/>
              <w:right w:val="single" w:sz="4" w:space="0" w:color="000000"/>
            </w:tcBorders>
            <w:vAlign w:val="center"/>
            <w:hideMark/>
          </w:tcPr>
          <w:p w:rsidR="00FB1389" w:rsidRPr="00667ED1" w:rsidRDefault="00FB1389" w:rsidP="00667ED1">
            <w:pPr>
              <w:spacing w:after="0" w:line="240" w:lineRule="auto"/>
              <w:jc w:val="both"/>
              <w:rPr>
                <w:rFonts w:eastAsia="Times New Roman" w:cs="Arial"/>
                <w:color w:val="000000"/>
              </w:rPr>
            </w:pPr>
          </w:p>
        </w:tc>
        <w:tc>
          <w:tcPr>
            <w:tcW w:w="1039" w:type="pct"/>
            <w:tcBorders>
              <w:top w:val="nil"/>
              <w:left w:val="nil"/>
              <w:bottom w:val="single" w:sz="4" w:space="0" w:color="000000"/>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Total</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1.83</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0.92</w:t>
            </w:r>
          </w:p>
        </w:tc>
        <w:tc>
          <w:tcPr>
            <w:tcW w:w="1000" w:type="pct"/>
            <w:tcBorders>
              <w:top w:val="nil"/>
              <w:left w:val="nil"/>
              <w:bottom w:val="single" w:sz="4" w:space="0" w:color="000000"/>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45</w:t>
            </w:r>
          </w:p>
        </w:tc>
      </w:tr>
      <w:tr w:rsidR="00FB1389" w:rsidRPr="00667ED1" w:rsidTr="00D05EBD">
        <w:trPr>
          <w:trHeight w:val="345"/>
        </w:trPr>
        <w:tc>
          <w:tcPr>
            <w:tcW w:w="961" w:type="pct"/>
            <w:vMerge w:val="restart"/>
            <w:tcBorders>
              <w:top w:val="nil"/>
              <w:left w:val="nil"/>
              <w:bottom w:val="double" w:sz="6" w:space="0" w:color="000000"/>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proofErr w:type="spellStart"/>
            <w:r w:rsidRPr="00667ED1">
              <w:rPr>
                <w:rFonts w:eastAsia="Times New Roman" w:cs="Arial"/>
                <w:color w:val="000000"/>
              </w:rPr>
              <w:t>DRNEt</w:t>
            </w:r>
            <w:proofErr w:type="spellEnd"/>
          </w:p>
        </w:tc>
        <w:tc>
          <w:tcPr>
            <w:tcW w:w="1039" w:type="pct"/>
            <w:tcBorders>
              <w:top w:val="nil"/>
              <w:left w:val="nil"/>
              <w:bottom w:val="nil"/>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Control</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1.23</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0.40</w:t>
            </w:r>
          </w:p>
        </w:tc>
        <w:tc>
          <w:tcPr>
            <w:tcW w:w="1000" w:type="pct"/>
            <w:tcBorders>
              <w:top w:val="nil"/>
              <w:left w:val="nil"/>
              <w:bottom w:val="nil"/>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22</w:t>
            </w:r>
          </w:p>
        </w:tc>
      </w:tr>
      <w:tr w:rsidR="00FB1389" w:rsidRPr="00667ED1" w:rsidTr="00D05EBD">
        <w:trPr>
          <w:trHeight w:val="345"/>
        </w:trPr>
        <w:tc>
          <w:tcPr>
            <w:tcW w:w="961" w:type="pct"/>
            <w:vMerge/>
            <w:tcBorders>
              <w:top w:val="nil"/>
              <w:left w:val="nil"/>
              <w:bottom w:val="double" w:sz="6" w:space="0" w:color="000000"/>
              <w:right w:val="single" w:sz="4" w:space="0" w:color="000000"/>
            </w:tcBorders>
            <w:vAlign w:val="center"/>
            <w:hideMark/>
          </w:tcPr>
          <w:p w:rsidR="00FB1389" w:rsidRPr="00667ED1" w:rsidRDefault="00FB1389" w:rsidP="00667ED1">
            <w:pPr>
              <w:spacing w:after="0" w:line="240" w:lineRule="auto"/>
              <w:jc w:val="both"/>
              <w:rPr>
                <w:rFonts w:eastAsia="Times New Roman" w:cs="Arial"/>
                <w:color w:val="000000"/>
              </w:rPr>
            </w:pPr>
          </w:p>
        </w:tc>
        <w:tc>
          <w:tcPr>
            <w:tcW w:w="1039" w:type="pct"/>
            <w:tcBorders>
              <w:top w:val="nil"/>
              <w:left w:val="nil"/>
              <w:bottom w:val="nil"/>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experimental</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1.23</w:t>
            </w:r>
          </w:p>
        </w:tc>
        <w:tc>
          <w:tcPr>
            <w:tcW w:w="1000" w:type="pct"/>
            <w:tcBorders>
              <w:top w:val="nil"/>
              <w:left w:val="nil"/>
              <w:bottom w:val="nil"/>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0.47</w:t>
            </w:r>
          </w:p>
        </w:tc>
        <w:tc>
          <w:tcPr>
            <w:tcW w:w="1000" w:type="pct"/>
            <w:tcBorders>
              <w:top w:val="nil"/>
              <w:left w:val="nil"/>
              <w:bottom w:val="nil"/>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23</w:t>
            </w:r>
          </w:p>
        </w:tc>
      </w:tr>
      <w:tr w:rsidR="00FB1389" w:rsidRPr="00667ED1" w:rsidTr="00667ED1">
        <w:trPr>
          <w:trHeight w:val="150"/>
        </w:trPr>
        <w:tc>
          <w:tcPr>
            <w:tcW w:w="961" w:type="pct"/>
            <w:vMerge/>
            <w:tcBorders>
              <w:top w:val="nil"/>
              <w:left w:val="nil"/>
              <w:bottom w:val="double" w:sz="6" w:space="0" w:color="000000"/>
              <w:right w:val="single" w:sz="4" w:space="0" w:color="000000"/>
            </w:tcBorders>
            <w:vAlign w:val="center"/>
            <w:hideMark/>
          </w:tcPr>
          <w:p w:rsidR="00FB1389" w:rsidRPr="00667ED1" w:rsidRDefault="00FB1389" w:rsidP="00667ED1">
            <w:pPr>
              <w:spacing w:after="0" w:line="240" w:lineRule="auto"/>
              <w:jc w:val="both"/>
              <w:rPr>
                <w:rFonts w:eastAsia="Times New Roman" w:cs="Arial"/>
                <w:color w:val="000000"/>
              </w:rPr>
            </w:pPr>
          </w:p>
        </w:tc>
        <w:tc>
          <w:tcPr>
            <w:tcW w:w="1039" w:type="pct"/>
            <w:tcBorders>
              <w:top w:val="nil"/>
              <w:left w:val="nil"/>
              <w:bottom w:val="double" w:sz="6" w:space="0" w:color="000000"/>
              <w:right w:val="single" w:sz="4" w:space="0" w:color="000000"/>
            </w:tcBorders>
            <w:shd w:val="clear" w:color="auto" w:fill="auto"/>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Total</w:t>
            </w:r>
          </w:p>
        </w:tc>
        <w:tc>
          <w:tcPr>
            <w:tcW w:w="1000" w:type="pct"/>
            <w:tcBorders>
              <w:top w:val="nil"/>
              <w:left w:val="nil"/>
              <w:bottom w:val="double" w:sz="6" w:space="0" w:color="000000"/>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1.23</w:t>
            </w:r>
          </w:p>
        </w:tc>
        <w:tc>
          <w:tcPr>
            <w:tcW w:w="1000" w:type="pct"/>
            <w:tcBorders>
              <w:top w:val="nil"/>
              <w:left w:val="nil"/>
              <w:bottom w:val="double" w:sz="6" w:space="0" w:color="000000"/>
              <w:right w:val="single" w:sz="4" w:space="0" w:color="000000"/>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0.43</w:t>
            </w:r>
          </w:p>
        </w:tc>
        <w:tc>
          <w:tcPr>
            <w:tcW w:w="1000" w:type="pct"/>
            <w:tcBorders>
              <w:top w:val="nil"/>
              <w:left w:val="nil"/>
              <w:bottom w:val="double" w:sz="6" w:space="0" w:color="000000"/>
              <w:right w:val="nil"/>
            </w:tcBorders>
            <w:shd w:val="clear" w:color="auto" w:fill="auto"/>
            <w:noWrap/>
            <w:vAlign w:val="center"/>
            <w:hideMark/>
          </w:tcPr>
          <w:p w:rsidR="00FB1389" w:rsidRPr="00667ED1" w:rsidRDefault="00FB1389" w:rsidP="00667ED1">
            <w:pPr>
              <w:spacing w:after="0" w:line="240" w:lineRule="auto"/>
              <w:jc w:val="both"/>
              <w:rPr>
                <w:rFonts w:eastAsia="Times New Roman" w:cs="Arial"/>
                <w:color w:val="000000"/>
              </w:rPr>
            </w:pPr>
            <w:r w:rsidRPr="00667ED1">
              <w:rPr>
                <w:rFonts w:eastAsia="Times New Roman" w:cs="Arial"/>
                <w:color w:val="000000"/>
              </w:rPr>
              <w:t>45</w:t>
            </w:r>
          </w:p>
        </w:tc>
      </w:tr>
    </w:tbl>
    <w:p w:rsidR="00FB1389" w:rsidRPr="00D05EBD" w:rsidRDefault="00FB1389" w:rsidP="00AE640B">
      <w:pPr>
        <w:spacing w:line="480" w:lineRule="auto"/>
        <w:ind w:firstLine="720"/>
        <w:jc w:val="both"/>
        <w:rPr>
          <w:rFonts w:cs="Times New Roman"/>
          <w:sz w:val="24"/>
          <w:szCs w:val="24"/>
        </w:rPr>
      </w:pPr>
    </w:p>
    <w:p w:rsidR="00FB1389" w:rsidRPr="00D05EBD" w:rsidRDefault="00FB1389" w:rsidP="00AE640B">
      <w:pPr>
        <w:autoSpaceDE w:val="0"/>
        <w:autoSpaceDN w:val="0"/>
        <w:adjustRightInd w:val="0"/>
        <w:spacing w:after="0" w:line="480" w:lineRule="auto"/>
        <w:ind w:firstLine="720"/>
        <w:jc w:val="both"/>
        <w:rPr>
          <w:rFonts w:eastAsia="Wingdings-Regular" w:cs="ClassicalGaramondBT-Roman"/>
          <w:color w:val="000000"/>
          <w:sz w:val="24"/>
          <w:szCs w:val="24"/>
        </w:rPr>
      </w:pPr>
      <w:proofErr w:type="spellStart"/>
      <w:r w:rsidRPr="00D05EBD">
        <w:rPr>
          <w:rFonts w:eastAsia="Wingdings-Regular" w:cs="ClassicalGaramondBT-Roman"/>
          <w:color w:val="000000"/>
          <w:sz w:val="24"/>
          <w:szCs w:val="24"/>
        </w:rPr>
        <w:t>Mauchly’s</w:t>
      </w:r>
      <w:proofErr w:type="spellEnd"/>
      <w:r w:rsidRPr="00D05EBD">
        <w:rPr>
          <w:rFonts w:eastAsia="Wingdings-Regular" w:cs="ClassicalGaramondBT-Roman"/>
          <w:color w:val="000000"/>
          <w:sz w:val="24"/>
          <w:szCs w:val="24"/>
        </w:rPr>
        <w:t xml:space="preserve"> test indicated that the assumption of </w:t>
      </w:r>
      <w:proofErr w:type="spellStart"/>
      <w:r w:rsidRPr="00D05EBD">
        <w:rPr>
          <w:rFonts w:eastAsia="Wingdings-Regular" w:cs="ClassicalGaramondBT-Roman"/>
          <w:color w:val="000000"/>
          <w:sz w:val="24"/>
          <w:szCs w:val="24"/>
        </w:rPr>
        <w:t>sphericity</w:t>
      </w:r>
      <w:proofErr w:type="spellEnd"/>
      <w:r w:rsidRPr="00D05EBD">
        <w:rPr>
          <w:rFonts w:eastAsia="Wingdings-Regular" w:cs="ClassicalGaramondBT-Roman"/>
          <w:color w:val="000000"/>
          <w:sz w:val="24"/>
          <w:szCs w:val="24"/>
        </w:rPr>
        <w:t xml:space="preserve"> had been violated for the main effects of regulation, </w:t>
      </w:r>
      <w:r w:rsidRPr="00D05EBD">
        <w:rPr>
          <w:rFonts w:eastAsia="Wingdings-Regular" w:cs="MTMI"/>
          <w:i/>
          <w:iCs/>
          <w:color w:val="000000"/>
          <w:sz w:val="24"/>
          <w:szCs w:val="24"/>
        </w:rPr>
        <w:t>χ</w:t>
      </w:r>
      <w:r w:rsidRPr="00D05EBD">
        <w:rPr>
          <w:rFonts w:eastAsia="Wingdings-Regular" w:cs="ClassicalGaramondBT-Roman"/>
          <w:color w:val="000000"/>
          <w:sz w:val="24"/>
          <w:szCs w:val="24"/>
        </w:rPr>
        <w:t xml:space="preserve">2(2) = 13.59, </w:t>
      </w:r>
      <w:r w:rsidRPr="00D05EBD">
        <w:rPr>
          <w:rFonts w:eastAsia="Wingdings-Regular" w:cs="ClassicalGaramondBT-Italic"/>
          <w:i/>
          <w:iCs/>
          <w:color w:val="000000"/>
          <w:sz w:val="24"/>
          <w:szCs w:val="24"/>
        </w:rPr>
        <w:t xml:space="preserve">p </w:t>
      </w:r>
      <w:r w:rsidRPr="00D05EBD">
        <w:rPr>
          <w:rFonts w:eastAsia="Wingdings-Regular" w:cs="Symbol"/>
          <w:color w:val="000000"/>
          <w:sz w:val="24"/>
          <w:szCs w:val="24"/>
        </w:rPr>
        <w:t xml:space="preserve">&lt; </w:t>
      </w:r>
      <w:r w:rsidRPr="00D05EBD">
        <w:rPr>
          <w:rFonts w:eastAsia="Wingdings-Regular" w:cs="ClassicalGaramondBT-Roman"/>
          <w:color w:val="000000"/>
          <w:sz w:val="24"/>
          <w:szCs w:val="24"/>
        </w:rPr>
        <w:t xml:space="preserve">.01, and for the interaction effects between role and regulation, </w:t>
      </w:r>
      <w:r w:rsidRPr="00D05EBD">
        <w:rPr>
          <w:rFonts w:eastAsia="Wingdings-Regular" w:cs="MTMI"/>
          <w:i/>
          <w:iCs/>
          <w:color w:val="000000"/>
          <w:sz w:val="24"/>
          <w:szCs w:val="24"/>
        </w:rPr>
        <w:t>χ</w:t>
      </w:r>
      <w:r w:rsidRPr="00D05EBD">
        <w:rPr>
          <w:rFonts w:eastAsia="Wingdings-Regular" w:cs="ClassicalGaramondBT-Roman"/>
          <w:color w:val="000000"/>
          <w:sz w:val="24"/>
          <w:szCs w:val="24"/>
        </w:rPr>
        <w:t xml:space="preserve">2(2) = 11.19, </w:t>
      </w:r>
      <w:r w:rsidRPr="00D05EBD">
        <w:rPr>
          <w:rFonts w:eastAsia="Wingdings-Regular" w:cs="ClassicalGaramondBT-Italic"/>
          <w:i/>
          <w:iCs/>
          <w:color w:val="000000"/>
          <w:sz w:val="24"/>
          <w:szCs w:val="24"/>
        </w:rPr>
        <w:t xml:space="preserve">p </w:t>
      </w:r>
      <w:r w:rsidRPr="00D05EBD">
        <w:rPr>
          <w:rFonts w:eastAsia="Wingdings-Regular" w:cs="ClassicalGaramondBT-Roman"/>
          <w:color w:val="000000"/>
          <w:sz w:val="24"/>
          <w:szCs w:val="24"/>
        </w:rPr>
        <w:t>&lt; .01. Therefore</w:t>
      </w:r>
      <w:r w:rsidR="00B26722">
        <w:rPr>
          <w:rFonts w:eastAsia="Wingdings-Regular" w:cs="ClassicalGaramondBT-Roman"/>
          <w:color w:val="000000"/>
          <w:sz w:val="24"/>
          <w:szCs w:val="24"/>
        </w:rPr>
        <w:t>,</w:t>
      </w:r>
      <w:r w:rsidRPr="00D05EBD">
        <w:rPr>
          <w:rFonts w:eastAsia="Wingdings-Regular" w:cs="ClassicalGaramondBT-Roman"/>
          <w:color w:val="000000"/>
          <w:sz w:val="24"/>
          <w:szCs w:val="24"/>
        </w:rPr>
        <w:t xml:space="preserve"> degrees of freedom were corrected using Greenhouse–</w:t>
      </w:r>
      <w:proofErr w:type="spellStart"/>
      <w:r w:rsidRPr="00D05EBD">
        <w:rPr>
          <w:rFonts w:eastAsia="Wingdings-Regular" w:cs="ClassicalGaramondBT-Roman"/>
          <w:color w:val="000000"/>
          <w:sz w:val="24"/>
          <w:szCs w:val="24"/>
        </w:rPr>
        <w:t>Geisser</w:t>
      </w:r>
      <w:proofErr w:type="spellEnd"/>
      <w:r w:rsidRPr="00D05EBD">
        <w:rPr>
          <w:rFonts w:eastAsia="Wingdings-Regular" w:cs="ClassicalGaramondBT-Roman"/>
          <w:color w:val="000000"/>
          <w:sz w:val="24"/>
          <w:szCs w:val="24"/>
        </w:rPr>
        <w:t xml:space="preserve"> estimates of </w:t>
      </w:r>
      <w:proofErr w:type="spellStart"/>
      <w:r w:rsidRPr="00D05EBD">
        <w:rPr>
          <w:rFonts w:eastAsia="Wingdings-Regular" w:cs="ClassicalGaramondBT-Roman"/>
          <w:color w:val="000000"/>
          <w:sz w:val="24"/>
          <w:szCs w:val="24"/>
        </w:rPr>
        <w:t>sphericity</w:t>
      </w:r>
      <w:proofErr w:type="spellEnd"/>
      <w:r w:rsidRPr="00D05EBD">
        <w:rPr>
          <w:rFonts w:eastAsia="Wingdings-Regular" w:cs="ClassicalGaramondBT-Roman"/>
          <w:color w:val="000000"/>
          <w:sz w:val="24"/>
          <w:szCs w:val="24"/>
        </w:rPr>
        <w:t xml:space="preserve"> (</w:t>
      </w:r>
      <w:r w:rsidRPr="00D05EBD">
        <w:rPr>
          <w:rFonts w:eastAsia="Wingdings-Regular" w:cs="MTMI"/>
          <w:i/>
          <w:iCs/>
          <w:color w:val="000000"/>
          <w:sz w:val="24"/>
          <w:szCs w:val="24"/>
        </w:rPr>
        <w:t xml:space="preserve">ε </w:t>
      </w:r>
      <w:r w:rsidRPr="00D05EBD">
        <w:rPr>
          <w:rFonts w:eastAsia="Wingdings-Regular" w:cs="ClassicalGaramondBT-Roman"/>
          <w:color w:val="000000"/>
          <w:sz w:val="24"/>
          <w:szCs w:val="24"/>
        </w:rPr>
        <w:t>= .78 for the main effect of regulation and .81 for the interaction effect between role and regulation).</w:t>
      </w:r>
    </w:p>
    <w:p w:rsidR="00FB1389" w:rsidRPr="00D05EBD" w:rsidRDefault="00FB1389" w:rsidP="00AE640B">
      <w:pPr>
        <w:autoSpaceDE w:val="0"/>
        <w:autoSpaceDN w:val="0"/>
        <w:adjustRightInd w:val="0"/>
        <w:spacing w:after="0" w:line="480" w:lineRule="auto"/>
        <w:ind w:firstLine="720"/>
        <w:jc w:val="both"/>
        <w:rPr>
          <w:rFonts w:eastAsia="Wingdings-Regular" w:cs="ClassicalGaramondBT-Roman"/>
          <w:color w:val="000000"/>
          <w:sz w:val="24"/>
          <w:szCs w:val="24"/>
        </w:rPr>
      </w:pP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t>There was a significant interaction effect between the type of regulation (</w:t>
      </w:r>
      <w:proofErr w:type="spellStart"/>
      <w:r w:rsidRPr="00D05EBD">
        <w:rPr>
          <w:rFonts w:cs="Times New Roman"/>
          <w:sz w:val="24"/>
          <w:szCs w:val="24"/>
        </w:rPr>
        <w:t>URPEt</w:t>
      </w:r>
      <w:proofErr w:type="spellEnd"/>
      <w:r w:rsidRPr="00D05EBD">
        <w:rPr>
          <w:rFonts w:cs="Times New Roman"/>
          <w:sz w:val="24"/>
          <w:szCs w:val="24"/>
        </w:rPr>
        <w:t xml:space="preserve">, </w:t>
      </w:r>
      <w:proofErr w:type="spellStart"/>
      <w:r w:rsidRPr="00D05EBD">
        <w:rPr>
          <w:rFonts w:cs="Times New Roman"/>
          <w:sz w:val="24"/>
          <w:szCs w:val="24"/>
        </w:rPr>
        <w:t>URPEa</w:t>
      </w:r>
      <w:proofErr w:type="spellEnd"/>
      <w:r w:rsidRPr="00D05EBD">
        <w:rPr>
          <w:rFonts w:cs="Times New Roman"/>
          <w:sz w:val="24"/>
          <w:szCs w:val="24"/>
        </w:rPr>
        <w:t xml:space="preserve">, </w:t>
      </w:r>
      <w:proofErr w:type="spellStart"/>
      <w:r w:rsidRPr="00D05EBD">
        <w:rPr>
          <w:rFonts w:cs="Times New Roman"/>
          <w:sz w:val="24"/>
          <w:szCs w:val="24"/>
        </w:rPr>
        <w:t>URNEt</w:t>
      </w:r>
      <w:proofErr w:type="spellEnd"/>
      <w:r w:rsidRPr="00D05EBD">
        <w:rPr>
          <w:rFonts w:cs="Times New Roman"/>
          <w:sz w:val="24"/>
          <w:szCs w:val="24"/>
        </w:rPr>
        <w:t xml:space="preserve">, </w:t>
      </w:r>
      <w:proofErr w:type="spellStart"/>
      <w:r w:rsidRPr="00D05EBD">
        <w:rPr>
          <w:rFonts w:cs="Times New Roman"/>
          <w:sz w:val="24"/>
          <w:szCs w:val="24"/>
        </w:rPr>
        <w:t>URNEa</w:t>
      </w:r>
      <w:proofErr w:type="spellEnd"/>
      <w:r w:rsidRPr="00D05EBD">
        <w:rPr>
          <w:rFonts w:cs="Times New Roman"/>
          <w:sz w:val="24"/>
          <w:szCs w:val="24"/>
        </w:rPr>
        <w:t xml:space="preserve">, </w:t>
      </w:r>
      <w:proofErr w:type="spellStart"/>
      <w:r w:rsidRPr="00D05EBD">
        <w:rPr>
          <w:rFonts w:cs="Times New Roman"/>
          <w:sz w:val="24"/>
          <w:szCs w:val="24"/>
        </w:rPr>
        <w:t>DRNEt</w:t>
      </w:r>
      <w:proofErr w:type="spellEnd"/>
      <w:r w:rsidRPr="00D05EBD">
        <w:rPr>
          <w:rFonts w:cs="Times New Roman"/>
          <w:sz w:val="24"/>
          <w:szCs w:val="24"/>
        </w:rPr>
        <w:t xml:space="preserve"> and </w:t>
      </w:r>
      <w:proofErr w:type="spellStart"/>
      <w:r w:rsidRPr="00D05EBD">
        <w:rPr>
          <w:rFonts w:cs="Times New Roman"/>
          <w:sz w:val="24"/>
          <w:szCs w:val="24"/>
        </w:rPr>
        <w:t>DRNEa</w:t>
      </w:r>
      <w:proofErr w:type="spellEnd"/>
      <w:r w:rsidRPr="00D05EBD">
        <w:rPr>
          <w:rFonts w:cs="Times New Roman"/>
          <w:sz w:val="24"/>
          <w:szCs w:val="24"/>
        </w:rPr>
        <w:t xml:space="preserve">) and the condition (experimental and control) </w:t>
      </w:r>
      <w:r w:rsidRPr="00D05EBD">
        <w:rPr>
          <w:rFonts w:cs="Times New Roman"/>
          <w:sz w:val="24"/>
          <w:szCs w:val="24"/>
        </w:rPr>
        <w:lastRenderedPageBreak/>
        <w:t xml:space="preserve">to which participants belonged </w:t>
      </w:r>
      <w:r w:rsidRPr="00D05EBD">
        <w:rPr>
          <w:rFonts w:cs="Times New Roman"/>
          <w:i/>
          <w:sz w:val="24"/>
          <w:szCs w:val="24"/>
        </w:rPr>
        <w:t xml:space="preserve">F </w:t>
      </w:r>
      <w:r w:rsidR="00886568">
        <w:rPr>
          <w:rFonts w:cs="Times New Roman"/>
          <w:sz w:val="24"/>
          <w:szCs w:val="24"/>
        </w:rPr>
        <w:t>(1.56,65.52</w:t>
      </w:r>
      <w:r w:rsidRPr="00D05EBD">
        <w:rPr>
          <w:rFonts w:cs="Times New Roman"/>
          <w:sz w:val="24"/>
          <w:szCs w:val="24"/>
        </w:rPr>
        <w:t xml:space="preserve">) = 6.36, </w:t>
      </w:r>
      <w:r w:rsidRPr="00D05EBD">
        <w:rPr>
          <w:rFonts w:cs="Times New Roman"/>
          <w:i/>
          <w:sz w:val="24"/>
          <w:szCs w:val="24"/>
        </w:rPr>
        <w:t xml:space="preserve">p ˂ </w:t>
      </w:r>
      <w:r w:rsidRPr="00D05EBD">
        <w:rPr>
          <w:rFonts w:cs="Times New Roman"/>
          <w:sz w:val="24"/>
          <w:szCs w:val="24"/>
        </w:rPr>
        <w:t xml:space="preserve">.01, </w:t>
      </w:r>
      <w:r w:rsidRPr="00D05EBD">
        <w:rPr>
          <w:rFonts w:cs="Times New Roman"/>
          <w:i/>
          <w:sz w:val="24"/>
          <w:szCs w:val="24"/>
        </w:rPr>
        <w:t xml:space="preserve">d </w:t>
      </w:r>
      <w:r w:rsidRPr="00D05EBD">
        <w:rPr>
          <w:rFonts w:cs="Times New Roman"/>
          <w:sz w:val="24"/>
          <w:szCs w:val="24"/>
        </w:rPr>
        <w:t>= 0.77.</w:t>
      </w:r>
      <w:r w:rsidR="00B26722">
        <w:rPr>
          <w:rStyle w:val="Refdenotaalpie"/>
          <w:rFonts w:cs="Times New Roman"/>
          <w:sz w:val="24"/>
          <w:szCs w:val="24"/>
        </w:rPr>
        <w:footnoteReference w:id="22"/>
      </w:r>
      <w:r w:rsidRPr="00D05EBD">
        <w:rPr>
          <w:rFonts w:cs="Times New Roman"/>
          <w:sz w:val="24"/>
          <w:szCs w:val="24"/>
        </w:rPr>
        <w:t xml:space="preserve"> This indicates that the condition to which participants belonged had different effects on the type of IER behaviours participants used. The score participants got for social desirability did not affect their results</w:t>
      </w:r>
      <w:r w:rsidR="00886568">
        <w:rPr>
          <w:rFonts w:cs="Times New Roman"/>
          <w:sz w:val="24"/>
          <w:szCs w:val="24"/>
        </w:rPr>
        <w:t xml:space="preserve"> </w:t>
      </w:r>
      <w:r w:rsidR="00886568">
        <w:rPr>
          <w:rFonts w:cs="Times New Roman"/>
          <w:i/>
          <w:sz w:val="24"/>
          <w:szCs w:val="24"/>
        </w:rPr>
        <w:t xml:space="preserve">F </w:t>
      </w:r>
      <w:r w:rsidR="00886568">
        <w:rPr>
          <w:rFonts w:cs="Times New Roman"/>
          <w:sz w:val="24"/>
          <w:szCs w:val="24"/>
        </w:rPr>
        <w:t xml:space="preserve">(1.56, 65.52) = 0.05, </w:t>
      </w:r>
      <w:r w:rsidR="00886568">
        <w:rPr>
          <w:rFonts w:cs="Times New Roman"/>
          <w:i/>
          <w:sz w:val="24"/>
          <w:szCs w:val="24"/>
        </w:rPr>
        <w:t>p</w:t>
      </w:r>
      <w:r w:rsidR="00886568">
        <w:rPr>
          <w:rFonts w:cs="Times New Roman"/>
          <w:sz w:val="24"/>
          <w:szCs w:val="24"/>
        </w:rPr>
        <w:t xml:space="preserve"> = .91</w:t>
      </w:r>
      <w:r w:rsidRPr="00D05EBD">
        <w:rPr>
          <w:rFonts w:cs="Times New Roman"/>
          <w:sz w:val="24"/>
          <w:szCs w:val="24"/>
        </w:rPr>
        <w:t xml:space="preserve">. </w:t>
      </w:r>
      <w:r w:rsidR="00667ED1">
        <w:rPr>
          <w:rFonts w:cs="Times New Roman"/>
          <w:sz w:val="24"/>
          <w:szCs w:val="24"/>
        </w:rPr>
        <w:t>Table III.3 presents the means and standard deviations</w:t>
      </w:r>
      <w:r w:rsidR="00421A5C">
        <w:rPr>
          <w:rFonts w:cs="Times New Roman"/>
          <w:sz w:val="24"/>
          <w:szCs w:val="24"/>
        </w:rPr>
        <w:t xml:space="preserve"> for each of the dependant variables.</w:t>
      </w: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t>The mixed-design ANOVA showed an interaction effect between the condition participants belonged to and the type of regulation. These general results do not explain though which types of regulation differed between the two conditions. To look for these differences three separate one-way between groups ANOVAs were used for each of the IER behaviours (</w:t>
      </w:r>
      <w:proofErr w:type="spellStart"/>
      <w:r w:rsidRPr="00D05EBD">
        <w:rPr>
          <w:rFonts w:cs="Times New Roman"/>
          <w:sz w:val="24"/>
          <w:szCs w:val="24"/>
        </w:rPr>
        <w:t>URPEt</w:t>
      </w:r>
      <w:proofErr w:type="spellEnd"/>
      <w:r w:rsidRPr="00D05EBD">
        <w:rPr>
          <w:rFonts w:cs="Times New Roman"/>
          <w:sz w:val="24"/>
          <w:szCs w:val="24"/>
        </w:rPr>
        <w:t xml:space="preserve">, </w:t>
      </w:r>
      <w:proofErr w:type="spellStart"/>
      <w:r w:rsidRPr="00D05EBD">
        <w:rPr>
          <w:rFonts w:cs="Times New Roman"/>
          <w:sz w:val="24"/>
          <w:szCs w:val="24"/>
        </w:rPr>
        <w:t>URPEa</w:t>
      </w:r>
      <w:proofErr w:type="spellEnd"/>
      <w:r w:rsidRPr="00D05EBD">
        <w:rPr>
          <w:rFonts w:cs="Times New Roman"/>
          <w:sz w:val="24"/>
          <w:szCs w:val="24"/>
        </w:rPr>
        <w:t xml:space="preserve">, </w:t>
      </w:r>
      <w:proofErr w:type="spellStart"/>
      <w:r w:rsidRPr="00D05EBD">
        <w:rPr>
          <w:rFonts w:cs="Times New Roman"/>
          <w:sz w:val="24"/>
          <w:szCs w:val="24"/>
        </w:rPr>
        <w:t>URNEt</w:t>
      </w:r>
      <w:proofErr w:type="spellEnd"/>
      <w:r w:rsidRPr="00D05EBD">
        <w:rPr>
          <w:rFonts w:cs="Times New Roman"/>
          <w:sz w:val="24"/>
          <w:szCs w:val="24"/>
        </w:rPr>
        <w:t xml:space="preserve">, </w:t>
      </w:r>
      <w:proofErr w:type="spellStart"/>
      <w:r w:rsidRPr="00D05EBD">
        <w:rPr>
          <w:rFonts w:cs="Times New Roman"/>
          <w:sz w:val="24"/>
          <w:szCs w:val="24"/>
        </w:rPr>
        <w:t>URNEa</w:t>
      </w:r>
      <w:proofErr w:type="spellEnd"/>
      <w:r w:rsidRPr="00D05EBD">
        <w:rPr>
          <w:rFonts w:cs="Times New Roman"/>
          <w:sz w:val="24"/>
          <w:szCs w:val="24"/>
        </w:rPr>
        <w:t xml:space="preserve">, </w:t>
      </w:r>
      <w:proofErr w:type="spellStart"/>
      <w:r w:rsidRPr="00D05EBD">
        <w:rPr>
          <w:rFonts w:cs="Times New Roman"/>
          <w:sz w:val="24"/>
          <w:szCs w:val="24"/>
        </w:rPr>
        <w:t>DRNEt</w:t>
      </w:r>
      <w:proofErr w:type="spellEnd"/>
      <w:r w:rsidRPr="00D05EBD">
        <w:rPr>
          <w:rFonts w:cs="Times New Roman"/>
          <w:sz w:val="24"/>
          <w:szCs w:val="24"/>
        </w:rPr>
        <w:t xml:space="preserve"> and </w:t>
      </w:r>
      <w:proofErr w:type="spellStart"/>
      <w:r w:rsidRPr="00D05EBD">
        <w:rPr>
          <w:rFonts w:cs="Times New Roman"/>
          <w:sz w:val="24"/>
          <w:szCs w:val="24"/>
        </w:rPr>
        <w:t>DRNEa</w:t>
      </w:r>
      <w:proofErr w:type="spellEnd"/>
      <w:r w:rsidRPr="00D05EBD">
        <w:rPr>
          <w:rFonts w:cs="Times New Roman"/>
          <w:sz w:val="24"/>
          <w:szCs w:val="24"/>
        </w:rPr>
        <w:t xml:space="preserve">). </w:t>
      </w:r>
    </w:p>
    <w:p w:rsidR="00FB1389" w:rsidRPr="00D05EBD" w:rsidRDefault="00FB1389" w:rsidP="00AE640B">
      <w:pPr>
        <w:spacing w:before="240" w:line="480" w:lineRule="auto"/>
        <w:jc w:val="both"/>
        <w:rPr>
          <w:rFonts w:cs="Times New Roman"/>
          <w:sz w:val="24"/>
          <w:szCs w:val="24"/>
        </w:rPr>
      </w:pPr>
      <w:r w:rsidRPr="00D05EBD">
        <w:rPr>
          <w:rFonts w:cs="Times New Roman"/>
          <w:sz w:val="24"/>
          <w:szCs w:val="24"/>
        </w:rPr>
        <w:tab/>
        <w:t xml:space="preserve">The first one-way between subjects ANOVA was conducted to compare the effect of condition (experimental, control) on </w:t>
      </w:r>
      <w:proofErr w:type="spellStart"/>
      <w:r w:rsidRPr="00D05EBD">
        <w:rPr>
          <w:rFonts w:cs="Times New Roman"/>
          <w:sz w:val="24"/>
          <w:szCs w:val="24"/>
        </w:rPr>
        <w:t>URPEt</w:t>
      </w:r>
      <w:proofErr w:type="spellEnd"/>
      <w:r w:rsidRPr="00D05EBD">
        <w:rPr>
          <w:rFonts w:cs="Times New Roman"/>
          <w:sz w:val="24"/>
          <w:szCs w:val="24"/>
        </w:rPr>
        <w:t xml:space="preserve"> and </w:t>
      </w:r>
      <w:proofErr w:type="spellStart"/>
      <w:r w:rsidRPr="00D05EBD">
        <w:rPr>
          <w:rFonts w:cs="Times New Roman"/>
          <w:sz w:val="24"/>
          <w:szCs w:val="24"/>
        </w:rPr>
        <w:t>URPEa</w:t>
      </w:r>
      <w:proofErr w:type="spellEnd"/>
      <w:r w:rsidRPr="00D05EBD">
        <w:rPr>
          <w:rFonts w:cs="Times New Roman"/>
          <w:sz w:val="24"/>
          <w:szCs w:val="24"/>
        </w:rPr>
        <w:t xml:space="preserve">. There was a significant effect of condition on </w:t>
      </w:r>
      <w:proofErr w:type="spellStart"/>
      <w:r w:rsidRPr="00D05EBD">
        <w:rPr>
          <w:rFonts w:cs="Times New Roman"/>
          <w:sz w:val="24"/>
          <w:szCs w:val="24"/>
        </w:rPr>
        <w:t>URPEt</w:t>
      </w:r>
      <w:proofErr w:type="spellEnd"/>
      <w:r w:rsidRPr="00D05EBD">
        <w:rPr>
          <w:rFonts w:cs="Times New Roman"/>
          <w:sz w:val="24"/>
          <w:szCs w:val="24"/>
        </w:rPr>
        <w:t xml:space="preserve"> </w:t>
      </w:r>
      <w:r w:rsidRPr="00D05EBD">
        <w:rPr>
          <w:rFonts w:cs="Times New Roman"/>
          <w:i/>
          <w:sz w:val="24"/>
          <w:szCs w:val="24"/>
        </w:rPr>
        <w:t>F</w:t>
      </w:r>
      <w:r w:rsidRPr="00D05EBD">
        <w:rPr>
          <w:rFonts w:cs="Times New Roman"/>
          <w:sz w:val="24"/>
          <w:szCs w:val="24"/>
        </w:rPr>
        <w:t xml:space="preserve">(1,43) = 5.73, </w:t>
      </w:r>
      <w:r w:rsidRPr="00D05EBD">
        <w:rPr>
          <w:rFonts w:cs="Times New Roman"/>
          <w:i/>
          <w:sz w:val="24"/>
          <w:szCs w:val="24"/>
        </w:rPr>
        <w:t xml:space="preserve">p </w:t>
      </w:r>
      <w:r w:rsidRPr="00D05EBD">
        <w:rPr>
          <w:rFonts w:cs="Times New Roman"/>
          <w:sz w:val="24"/>
          <w:szCs w:val="24"/>
        </w:rPr>
        <w:t xml:space="preserve">= .05, </w:t>
      </w:r>
      <w:r w:rsidRPr="00D05EBD">
        <w:rPr>
          <w:rFonts w:cs="Times New Roman"/>
          <w:i/>
          <w:sz w:val="24"/>
          <w:szCs w:val="24"/>
        </w:rPr>
        <w:t xml:space="preserve">d </w:t>
      </w:r>
      <w:r w:rsidRPr="00D05EBD">
        <w:rPr>
          <w:rFonts w:cs="Times New Roman"/>
          <w:sz w:val="24"/>
          <w:szCs w:val="24"/>
        </w:rPr>
        <w:t xml:space="preserve">= 0.71. There was also a significant effect of condition on </w:t>
      </w:r>
      <w:proofErr w:type="spellStart"/>
      <w:r w:rsidRPr="00D05EBD">
        <w:rPr>
          <w:rFonts w:cs="Times New Roman"/>
          <w:sz w:val="24"/>
          <w:szCs w:val="24"/>
        </w:rPr>
        <w:t>URPEa</w:t>
      </w:r>
      <w:proofErr w:type="spellEnd"/>
      <w:r w:rsidRPr="00D05EBD">
        <w:rPr>
          <w:rFonts w:cs="Times New Roman"/>
          <w:sz w:val="24"/>
          <w:szCs w:val="24"/>
        </w:rPr>
        <w:t xml:space="preserve"> </w:t>
      </w:r>
      <w:r w:rsidRPr="00D05EBD">
        <w:rPr>
          <w:rFonts w:cs="Times New Roman"/>
          <w:i/>
          <w:sz w:val="24"/>
          <w:szCs w:val="24"/>
        </w:rPr>
        <w:t xml:space="preserve">F </w:t>
      </w:r>
      <w:r w:rsidRPr="00D05EBD">
        <w:rPr>
          <w:rFonts w:cs="Times New Roman"/>
          <w:sz w:val="24"/>
          <w:szCs w:val="24"/>
        </w:rPr>
        <w:t xml:space="preserve">(1,43) = 5.74, </w:t>
      </w:r>
      <w:r w:rsidRPr="00D05EBD">
        <w:rPr>
          <w:rFonts w:cs="Times New Roman"/>
          <w:i/>
          <w:sz w:val="24"/>
          <w:szCs w:val="24"/>
        </w:rPr>
        <w:t xml:space="preserve">p </w:t>
      </w:r>
      <w:r w:rsidRPr="00D05EBD">
        <w:rPr>
          <w:rFonts w:cs="Times New Roman"/>
          <w:sz w:val="24"/>
          <w:szCs w:val="24"/>
        </w:rPr>
        <w:t xml:space="preserve"> ˂ .05</w:t>
      </w:r>
      <w:r w:rsidRPr="00D05EBD">
        <w:rPr>
          <w:rFonts w:cs="Times New Roman"/>
          <w:i/>
          <w:sz w:val="24"/>
          <w:szCs w:val="24"/>
        </w:rPr>
        <w:t xml:space="preserve"> d </w:t>
      </w:r>
      <w:r w:rsidRPr="00D05EBD">
        <w:rPr>
          <w:rFonts w:cs="Times New Roman"/>
          <w:sz w:val="24"/>
          <w:szCs w:val="24"/>
        </w:rPr>
        <w:t>= 0.71.</w:t>
      </w:r>
    </w:p>
    <w:p w:rsidR="00FB1389" w:rsidRPr="00D05EBD" w:rsidRDefault="00FB1389" w:rsidP="00AE640B">
      <w:pPr>
        <w:spacing w:before="240" w:line="480" w:lineRule="auto"/>
        <w:ind w:firstLine="720"/>
        <w:jc w:val="both"/>
        <w:rPr>
          <w:rFonts w:cs="Times New Roman"/>
          <w:sz w:val="24"/>
          <w:szCs w:val="24"/>
        </w:rPr>
      </w:pPr>
      <w:r w:rsidRPr="00D05EBD">
        <w:rPr>
          <w:rFonts w:cs="Times New Roman"/>
          <w:sz w:val="24"/>
          <w:szCs w:val="24"/>
        </w:rPr>
        <w:t xml:space="preserve">The second one-way between subjects ANOVA examined the effect of condition (experimental, control) on </w:t>
      </w:r>
      <w:proofErr w:type="spellStart"/>
      <w:r w:rsidRPr="00D05EBD">
        <w:rPr>
          <w:rFonts w:cs="Times New Roman"/>
          <w:sz w:val="24"/>
          <w:szCs w:val="24"/>
        </w:rPr>
        <w:t>URNEa</w:t>
      </w:r>
      <w:proofErr w:type="spellEnd"/>
      <w:r w:rsidRPr="00D05EBD">
        <w:rPr>
          <w:rFonts w:cs="Times New Roman"/>
          <w:sz w:val="24"/>
          <w:szCs w:val="24"/>
        </w:rPr>
        <w:t xml:space="preserve"> and </w:t>
      </w:r>
      <w:proofErr w:type="spellStart"/>
      <w:r w:rsidRPr="00D05EBD">
        <w:rPr>
          <w:rFonts w:cs="Times New Roman"/>
          <w:sz w:val="24"/>
          <w:szCs w:val="24"/>
        </w:rPr>
        <w:t>URNEt</w:t>
      </w:r>
      <w:proofErr w:type="spellEnd"/>
      <w:r w:rsidRPr="00D05EBD">
        <w:rPr>
          <w:rFonts w:cs="Times New Roman"/>
          <w:sz w:val="24"/>
          <w:szCs w:val="24"/>
        </w:rPr>
        <w:t xml:space="preserve">. There was a significant effect of condition on </w:t>
      </w:r>
      <w:proofErr w:type="spellStart"/>
      <w:r w:rsidRPr="00D05EBD">
        <w:rPr>
          <w:rFonts w:cs="Times New Roman"/>
          <w:sz w:val="24"/>
          <w:szCs w:val="24"/>
        </w:rPr>
        <w:t>URNEt</w:t>
      </w:r>
      <w:proofErr w:type="spellEnd"/>
      <w:r w:rsidRPr="00D05EBD">
        <w:rPr>
          <w:rFonts w:cs="Times New Roman"/>
          <w:sz w:val="24"/>
          <w:szCs w:val="24"/>
        </w:rPr>
        <w:t xml:space="preserve"> </w:t>
      </w:r>
      <w:r w:rsidRPr="00D05EBD">
        <w:rPr>
          <w:rFonts w:cs="Times New Roman"/>
          <w:i/>
          <w:sz w:val="24"/>
          <w:szCs w:val="24"/>
        </w:rPr>
        <w:t xml:space="preserve">F </w:t>
      </w:r>
      <w:r w:rsidRPr="00D05EBD">
        <w:rPr>
          <w:rFonts w:cs="Times New Roman"/>
          <w:sz w:val="24"/>
          <w:szCs w:val="24"/>
        </w:rPr>
        <w:t xml:space="preserve">(1,43) = 4.48, </w:t>
      </w:r>
      <w:r w:rsidR="00887EE3">
        <w:rPr>
          <w:rFonts w:cs="Times New Roman"/>
          <w:i/>
          <w:sz w:val="24"/>
          <w:szCs w:val="24"/>
        </w:rPr>
        <w:t>p</w:t>
      </w:r>
      <w:r w:rsidRPr="00D05EBD">
        <w:rPr>
          <w:rFonts w:cs="Times New Roman"/>
          <w:sz w:val="24"/>
          <w:szCs w:val="24"/>
        </w:rPr>
        <w:t xml:space="preserve"> ˂ .05, </w:t>
      </w:r>
      <w:r w:rsidRPr="00D05EBD">
        <w:rPr>
          <w:rFonts w:cs="Times New Roman"/>
          <w:i/>
          <w:sz w:val="24"/>
          <w:szCs w:val="24"/>
        </w:rPr>
        <w:t xml:space="preserve">d </w:t>
      </w:r>
      <w:r w:rsidR="00DC0DD8">
        <w:rPr>
          <w:rFonts w:cs="Times New Roman"/>
          <w:sz w:val="24"/>
          <w:szCs w:val="24"/>
        </w:rPr>
        <w:t>= -0.63</w:t>
      </w:r>
      <w:r w:rsidRPr="00D05EBD">
        <w:rPr>
          <w:rFonts w:cs="Times New Roman"/>
          <w:sz w:val="24"/>
          <w:szCs w:val="24"/>
        </w:rPr>
        <w:t xml:space="preserve">. There was also a significant effect of condition on </w:t>
      </w:r>
      <w:proofErr w:type="spellStart"/>
      <w:r w:rsidRPr="00D05EBD">
        <w:rPr>
          <w:rFonts w:cs="Times New Roman"/>
          <w:sz w:val="24"/>
          <w:szCs w:val="24"/>
        </w:rPr>
        <w:t>URNEa</w:t>
      </w:r>
      <w:proofErr w:type="spellEnd"/>
      <w:r w:rsidRPr="00D05EBD">
        <w:rPr>
          <w:rFonts w:cs="Times New Roman"/>
          <w:sz w:val="24"/>
          <w:szCs w:val="24"/>
        </w:rPr>
        <w:t xml:space="preserve"> </w:t>
      </w:r>
      <w:r w:rsidRPr="00D05EBD">
        <w:rPr>
          <w:rFonts w:cs="Times New Roman"/>
          <w:i/>
          <w:sz w:val="24"/>
          <w:szCs w:val="24"/>
        </w:rPr>
        <w:t xml:space="preserve">F </w:t>
      </w:r>
      <w:r w:rsidRPr="00D05EBD">
        <w:rPr>
          <w:rFonts w:cs="Times New Roman"/>
          <w:sz w:val="24"/>
          <w:szCs w:val="24"/>
        </w:rPr>
        <w:t xml:space="preserve">(1,43) = 6.47, </w:t>
      </w:r>
      <w:r w:rsidRPr="00D05EBD">
        <w:rPr>
          <w:rFonts w:cs="Times New Roman"/>
          <w:i/>
          <w:sz w:val="24"/>
          <w:szCs w:val="24"/>
        </w:rPr>
        <w:t xml:space="preserve">p </w:t>
      </w:r>
      <w:r w:rsidR="001C5CFC">
        <w:rPr>
          <w:rFonts w:cs="Times New Roman"/>
          <w:sz w:val="24"/>
          <w:szCs w:val="24"/>
        </w:rPr>
        <w:t xml:space="preserve"> </w:t>
      </w:r>
      <w:r w:rsidRPr="00D05EBD">
        <w:rPr>
          <w:rFonts w:cs="Times New Roman"/>
          <w:sz w:val="24"/>
          <w:szCs w:val="24"/>
        </w:rPr>
        <w:t xml:space="preserve"> ˂ .05, </w:t>
      </w:r>
      <w:r w:rsidRPr="00D05EBD">
        <w:rPr>
          <w:rFonts w:cs="Times New Roman"/>
          <w:i/>
          <w:sz w:val="24"/>
          <w:szCs w:val="24"/>
        </w:rPr>
        <w:t xml:space="preserve">d </w:t>
      </w:r>
      <w:r w:rsidRPr="00D05EBD">
        <w:rPr>
          <w:rFonts w:cs="Times New Roman"/>
          <w:sz w:val="24"/>
          <w:szCs w:val="24"/>
        </w:rPr>
        <w:t>= -0.76.</w:t>
      </w:r>
    </w:p>
    <w:p w:rsidR="00FB1389" w:rsidRPr="00D05EBD" w:rsidRDefault="00FB1389" w:rsidP="00AE640B">
      <w:pPr>
        <w:spacing w:line="480" w:lineRule="auto"/>
        <w:jc w:val="both"/>
        <w:rPr>
          <w:rFonts w:cs="Times New Roman"/>
          <w:sz w:val="24"/>
          <w:szCs w:val="24"/>
        </w:rPr>
      </w:pPr>
      <w:r w:rsidRPr="00D05EBD">
        <w:rPr>
          <w:rFonts w:cs="Times New Roman"/>
          <w:sz w:val="24"/>
          <w:szCs w:val="24"/>
        </w:rPr>
        <w:lastRenderedPageBreak/>
        <w:tab/>
      </w:r>
      <w:r w:rsidRPr="00023887">
        <w:rPr>
          <w:rFonts w:cs="Times New Roman"/>
          <w:sz w:val="24"/>
          <w:szCs w:val="24"/>
        </w:rPr>
        <w:t xml:space="preserve">The third one-way between subjects ANOVA examined the effect of condition on </w:t>
      </w:r>
      <w:proofErr w:type="spellStart"/>
      <w:r w:rsidRPr="00023887">
        <w:rPr>
          <w:rFonts w:cs="Times New Roman"/>
          <w:sz w:val="24"/>
          <w:szCs w:val="24"/>
        </w:rPr>
        <w:t>DRNEa</w:t>
      </w:r>
      <w:proofErr w:type="spellEnd"/>
      <w:r w:rsidRPr="00023887">
        <w:rPr>
          <w:rFonts w:cs="Times New Roman"/>
          <w:sz w:val="24"/>
          <w:szCs w:val="24"/>
        </w:rPr>
        <w:t xml:space="preserve"> and </w:t>
      </w:r>
      <w:proofErr w:type="spellStart"/>
      <w:r w:rsidRPr="00023887">
        <w:rPr>
          <w:rFonts w:cs="Times New Roman"/>
          <w:sz w:val="24"/>
          <w:szCs w:val="24"/>
        </w:rPr>
        <w:t>DRNEt</w:t>
      </w:r>
      <w:proofErr w:type="spellEnd"/>
      <w:r w:rsidRPr="00023887">
        <w:rPr>
          <w:rFonts w:cs="Times New Roman"/>
          <w:sz w:val="24"/>
          <w:szCs w:val="24"/>
        </w:rPr>
        <w:t xml:space="preserve">. No significant effect of condition on </w:t>
      </w:r>
      <w:proofErr w:type="spellStart"/>
      <w:r w:rsidRPr="00023887">
        <w:rPr>
          <w:rFonts w:cs="Times New Roman"/>
          <w:sz w:val="24"/>
          <w:szCs w:val="24"/>
        </w:rPr>
        <w:t>DRNEa</w:t>
      </w:r>
      <w:proofErr w:type="spellEnd"/>
      <w:r w:rsidRPr="00023887">
        <w:rPr>
          <w:rFonts w:cs="Times New Roman"/>
          <w:sz w:val="24"/>
          <w:szCs w:val="24"/>
        </w:rPr>
        <w:t xml:space="preserve"> </w:t>
      </w:r>
      <w:r w:rsidR="00DC0DD8" w:rsidRPr="00023887">
        <w:rPr>
          <w:rFonts w:cs="Times New Roman"/>
          <w:i/>
          <w:sz w:val="24"/>
          <w:szCs w:val="24"/>
        </w:rPr>
        <w:t xml:space="preserve">F </w:t>
      </w:r>
      <w:r w:rsidR="00DC0DD8" w:rsidRPr="00023887">
        <w:rPr>
          <w:rFonts w:cs="Times New Roman"/>
          <w:sz w:val="24"/>
          <w:szCs w:val="24"/>
        </w:rPr>
        <w:t xml:space="preserve">(1,43) = 1.95, </w:t>
      </w:r>
      <w:r w:rsidR="00DC0DD8" w:rsidRPr="00023887">
        <w:rPr>
          <w:rFonts w:cs="Times New Roman"/>
          <w:i/>
          <w:sz w:val="24"/>
          <w:szCs w:val="24"/>
        </w:rPr>
        <w:t xml:space="preserve">p </w:t>
      </w:r>
      <w:r w:rsidR="00DC0DD8" w:rsidRPr="00023887">
        <w:rPr>
          <w:rFonts w:cs="Times New Roman"/>
          <w:sz w:val="24"/>
          <w:szCs w:val="24"/>
        </w:rPr>
        <w:t xml:space="preserve">=  .17, </w:t>
      </w:r>
      <w:r w:rsidR="00DC0DD8" w:rsidRPr="00023887">
        <w:rPr>
          <w:rFonts w:cs="Times New Roman"/>
          <w:i/>
          <w:sz w:val="24"/>
          <w:szCs w:val="24"/>
        </w:rPr>
        <w:t xml:space="preserve">d </w:t>
      </w:r>
      <w:r w:rsidR="00023887" w:rsidRPr="00023887">
        <w:rPr>
          <w:rFonts w:cs="Times New Roman"/>
          <w:sz w:val="24"/>
          <w:szCs w:val="24"/>
        </w:rPr>
        <w:t xml:space="preserve">= </w:t>
      </w:r>
      <w:r w:rsidR="00DC0DD8" w:rsidRPr="00023887">
        <w:rPr>
          <w:rFonts w:cs="Times New Roman"/>
          <w:sz w:val="24"/>
          <w:szCs w:val="24"/>
        </w:rPr>
        <w:t>0.</w:t>
      </w:r>
      <w:r w:rsidR="00023887" w:rsidRPr="00023887">
        <w:rPr>
          <w:rFonts w:cs="Times New Roman"/>
          <w:sz w:val="24"/>
          <w:szCs w:val="24"/>
        </w:rPr>
        <w:t>42</w:t>
      </w:r>
      <w:r w:rsidR="00DC0DD8" w:rsidRPr="00023887">
        <w:rPr>
          <w:rFonts w:cs="Times New Roman"/>
          <w:sz w:val="24"/>
          <w:szCs w:val="24"/>
        </w:rPr>
        <w:t xml:space="preserve"> </w:t>
      </w:r>
      <w:r w:rsidRPr="00023887">
        <w:rPr>
          <w:rFonts w:cs="Times New Roman"/>
          <w:sz w:val="24"/>
          <w:szCs w:val="24"/>
        </w:rPr>
        <w:t xml:space="preserve">nor on </w:t>
      </w:r>
      <w:proofErr w:type="spellStart"/>
      <w:r w:rsidRPr="00023887">
        <w:rPr>
          <w:rFonts w:cs="Times New Roman"/>
          <w:sz w:val="24"/>
          <w:szCs w:val="24"/>
        </w:rPr>
        <w:t>DRNEt</w:t>
      </w:r>
      <w:proofErr w:type="spellEnd"/>
      <w:r w:rsidRPr="00023887">
        <w:rPr>
          <w:rFonts w:cs="Times New Roman"/>
          <w:sz w:val="24"/>
          <w:szCs w:val="24"/>
        </w:rPr>
        <w:t xml:space="preserve"> </w:t>
      </w:r>
      <w:r w:rsidR="00DC0DD8" w:rsidRPr="00023887">
        <w:rPr>
          <w:rFonts w:cs="Times New Roman"/>
          <w:i/>
          <w:sz w:val="24"/>
          <w:szCs w:val="24"/>
        </w:rPr>
        <w:t xml:space="preserve">F </w:t>
      </w:r>
      <w:r w:rsidR="00DC0DD8" w:rsidRPr="00023887">
        <w:rPr>
          <w:rFonts w:cs="Times New Roman"/>
          <w:sz w:val="24"/>
          <w:szCs w:val="24"/>
        </w:rPr>
        <w:t xml:space="preserve">(1,43) = .001, </w:t>
      </w:r>
      <w:r w:rsidR="00DC0DD8" w:rsidRPr="00023887">
        <w:rPr>
          <w:rFonts w:cs="Times New Roman"/>
          <w:i/>
          <w:sz w:val="24"/>
          <w:szCs w:val="24"/>
        </w:rPr>
        <w:t xml:space="preserve">p </w:t>
      </w:r>
      <w:r w:rsidR="00DC0DD8" w:rsidRPr="00023887">
        <w:rPr>
          <w:rFonts w:cs="Times New Roman"/>
          <w:sz w:val="24"/>
          <w:szCs w:val="24"/>
        </w:rPr>
        <w:t xml:space="preserve">=  .98, </w:t>
      </w:r>
      <w:r w:rsidR="00DC0DD8" w:rsidRPr="00023887">
        <w:rPr>
          <w:rFonts w:cs="Times New Roman"/>
          <w:i/>
          <w:sz w:val="24"/>
          <w:szCs w:val="24"/>
        </w:rPr>
        <w:t xml:space="preserve">d </w:t>
      </w:r>
      <w:r w:rsidR="00DC0DD8" w:rsidRPr="00023887">
        <w:rPr>
          <w:rFonts w:cs="Times New Roman"/>
          <w:sz w:val="24"/>
          <w:szCs w:val="24"/>
        </w:rPr>
        <w:t xml:space="preserve">= 0 </w:t>
      </w:r>
      <w:r w:rsidRPr="00023887">
        <w:rPr>
          <w:rFonts w:cs="Times New Roman"/>
          <w:sz w:val="24"/>
          <w:szCs w:val="24"/>
        </w:rPr>
        <w:t>was found</w:t>
      </w:r>
      <w:r w:rsidR="00CE0BAC">
        <w:rPr>
          <w:rStyle w:val="Refdenotaalpie"/>
          <w:rFonts w:cs="Times New Roman"/>
          <w:sz w:val="24"/>
          <w:szCs w:val="24"/>
        </w:rPr>
        <w:footnoteReference w:id="23"/>
      </w:r>
      <w:r w:rsidRPr="00023887">
        <w:rPr>
          <w:rFonts w:cs="Times New Roman"/>
          <w:sz w:val="24"/>
          <w:szCs w:val="24"/>
        </w:rPr>
        <w:t>.</w:t>
      </w:r>
      <w:r w:rsidRPr="00D05EBD">
        <w:rPr>
          <w:rFonts w:cs="Times New Roman"/>
          <w:sz w:val="24"/>
          <w:szCs w:val="24"/>
        </w:rPr>
        <w:t xml:space="preserve"> </w:t>
      </w:r>
    </w:p>
    <w:p w:rsidR="00FB1389" w:rsidRPr="00D05EBD" w:rsidRDefault="00FB1389" w:rsidP="00AE640B">
      <w:pPr>
        <w:spacing w:line="480" w:lineRule="auto"/>
        <w:jc w:val="both"/>
        <w:rPr>
          <w:rFonts w:cs="Times New Roman"/>
          <w:sz w:val="24"/>
          <w:szCs w:val="24"/>
        </w:rPr>
      </w:pPr>
      <w:r w:rsidRPr="00D05EBD">
        <w:rPr>
          <w:rFonts w:cs="Times New Roman"/>
          <w:sz w:val="24"/>
          <w:szCs w:val="24"/>
        </w:rPr>
        <w:tab/>
        <w:t>Figure 3.1 illustrates these effects. It can be observed that participants in the priming condition exhibited more worsening IER behaviours</w:t>
      </w:r>
      <w:r w:rsidR="009E6E4A">
        <w:rPr>
          <w:rFonts w:cs="Times New Roman"/>
          <w:sz w:val="24"/>
          <w:szCs w:val="24"/>
        </w:rPr>
        <w:t xml:space="preserve"> (</w:t>
      </w:r>
      <w:proofErr w:type="spellStart"/>
      <w:r w:rsidR="009E6E4A">
        <w:rPr>
          <w:rFonts w:cs="Times New Roman"/>
          <w:sz w:val="24"/>
          <w:szCs w:val="24"/>
        </w:rPr>
        <w:t>URNEa</w:t>
      </w:r>
      <w:proofErr w:type="spellEnd"/>
      <w:r w:rsidR="009E6E4A">
        <w:rPr>
          <w:rFonts w:cs="Times New Roman"/>
          <w:sz w:val="24"/>
          <w:szCs w:val="24"/>
        </w:rPr>
        <w:t xml:space="preserve"> and </w:t>
      </w:r>
      <w:proofErr w:type="spellStart"/>
      <w:r w:rsidR="009E6E4A">
        <w:rPr>
          <w:rFonts w:cs="Times New Roman"/>
          <w:sz w:val="24"/>
          <w:szCs w:val="24"/>
        </w:rPr>
        <w:t>URNEt</w:t>
      </w:r>
      <w:proofErr w:type="spellEnd"/>
      <w:r w:rsidR="009E6E4A">
        <w:rPr>
          <w:rFonts w:cs="Times New Roman"/>
          <w:sz w:val="24"/>
          <w:szCs w:val="24"/>
        </w:rPr>
        <w:t>)</w:t>
      </w:r>
      <w:r w:rsidRPr="00D05EBD">
        <w:rPr>
          <w:rFonts w:cs="Times New Roman"/>
          <w:sz w:val="24"/>
          <w:szCs w:val="24"/>
        </w:rPr>
        <w:t xml:space="preserve"> than participants in the control condition. It can also be observed that participants in the priming condition used less strategies to make someone else feel good (</w:t>
      </w:r>
      <w:proofErr w:type="spellStart"/>
      <w:r w:rsidRPr="00D05EBD">
        <w:rPr>
          <w:rFonts w:cs="Times New Roman"/>
          <w:sz w:val="24"/>
          <w:szCs w:val="24"/>
        </w:rPr>
        <w:t>URPEa</w:t>
      </w:r>
      <w:proofErr w:type="spellEnd"/>
      <w:r w:rsidRPr="00D05EBD">
        <w:rPr>
          <w:rFonts w:cs="Times New Roman"/>
          <w:sz w:val="24"/>
          <w:szCs w:val="24"/>
        </w:rPr>
        <w:t xml:space="preserve"> and </w:t>
      </w:r>
      <w:proofErr w:type="spellStart"/>
      <w:r w:rsidRPr="00D05EBD">
        <w:rPr>
          <w:rFonts w:cs="Times New Roman"/>
          <w:sz w:val="24"/>
          <w:szCs w:val="24"/>
        </w:rPr>
        <w:t>URPEt</w:t>
      </w:r>
      <w:proofErr w:type="spellEnd"/>
      <w:r w:rsidRPr="00D05EBD">
        <w:rPr>
          <w:rFonts w:cs="Times New Roman"/>
          <w:sz w:val="24"/>
          <w:szCs w:val="24"/>
        </w:rPr>
        <w:t xml:space="preserve">) than participants in the control condition. </w:t>
      </w:r>
    </w:p>
    <w:p w:rsidR="00FB1389" w:rsidRPr="00D05EBD" w:rsidRDefault="00FB1389" w:rsidP="00AE640B">
      <w:pPr>
        <w:spacing w:line="480" w:lineRule="auto"/>
        <w:jc w:val="both"/>
        <w:rPr>
          <w:rFonts w:cs="Times New Roman"/>
          <w:sz w:val="24"/>
          <w:szCs w:val="24"/>
        </w:rPr>
      </w:pPr>
      <w:r w:rsidRPr="00D05EBD">
        <w:rPr>
          <w:rFonts w:cs="Times New Roman"/>
          <w:noProof/>
          <w:sz w:val="24"/>
          <w:szCs w:val="24"/>
          <w:lang w:eastAsia="en-GB"/>
        </w:rPr>
        <w:drawing>
          <wp:inline distT="0" distB="0" distL="0" distR="0">
            <wp:extent cx="4777237" cy="3666226"/>
            <wp:effectExtent l="19050" t="0" r="23363" b="0"/>
            <wp:docPr id="1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D05EBD">
        <w:rPr>
          <w:rFonts w:cs="Times New Roman"/>
          <w:sz w:val="24"/>
          <w:szCs w:val="24"/>
        </w:rPr>
        <w:t xml:space="preserve"> </w:t>
      </w: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lastRenderedPageBreak/>
        <w:t>To test whether the type of goal selected (improving or worsening the target’s emotion) was affected by the condition participants were assigned to, a Chi Square test was conducted. There was a statistically significant difference in the frequency with which the two goal types were selected, X</w:t>
      </w:r>
      <w:r w:rsidRPr="00D05EBD">
        <w:rPr>
          <w:rFonts w:cs="Times New Roman"/>
          <w:sz w:val="24"/>
          <w:szCs w:val="24"/>
          <w:vertAlign w:val="superscript"/>
        </w:rPr>
        <w:t>2</w:t>
      </w:r>
      <w:r w:rsidRPr="00D05EBD">
        <w:rPr>
          <w:rFonts w:cs="Times New Roman"/>
          <w:sz w:val="24"/>
          <w:szCs w:val="24"/>
        </w:rPr>
        <w:t xml:space="preserve">(1) = 6.8, </w:t>
      </w:r>
      <w:r w:rsidRPr="00D05EBD">
        <w:rPr>
          <w:rFonts w:cs="Times New Roman"/>
          <w:i/>
          <w:sz w:val="24"/>
          <w:szCs w:val="24"/>
        </w:rPr>
        <w:t>p</w:t>
      </w:r>
      <w:r w:rsidRPr="00D05EBD">
        <w:rPr>
          <w:rFonts w:cs="Times New Roman"/>
          <w:sz w:val="24"/>
          <w:szCs w:val="24"/>
        </w:rPr>
        <w:t xml:space="preserve"> ˂ .05, depending on whether the participants belonged to the primed or the control group. This seems to represent the fact that, based on the odds ratio, the odds of participants choosing to make the target character feel bad were 0.77 times higher when they were in the experimental group than when they were in the control group. Table 3.4 illustrates this effect, more participants in the experimental group chose the goal to make the target character feel bad (10 participants) than participants in the control group (2 participants). These results support the second hypothesis of this study, suggesting that participants in the priming condition were more likely to choose to make the other character in the script feel bad than in the control condition. </w:t>
      </w:r>
    </w:p>
    <w:tbl>
      <w:tblPr>
        <w:tblW w:w="5000" w:type="pct"/>
        <w:tblLook w:val="04A0"/>
      </w:tblPr>
      <w:tblGrid>
        <w:gridCol w:w="1777"/>
        <w:gridCol w:w="1778"/>
        <w:gridCol w:w="1776"/>
        <w:gridCol w:w="1776"/>
        <w:gridCol w:w="1775"/>
      </w:tblGrid>
      <w:tr w:rsidR="00FB1389" w:rsidRPr="007E30D7" w:rsidTr="00D05EBD">
        <w:trPr>
          <w:trHeight w:val="945"/>
        </w:trPr>
        <w:tc>
          <w:tcPr>
            <w:tcW w:w="5000" w:type="pct"/>
            <w:gridSpan w:val="5"/>
            <w:tcBorders>
              <w:top w:val="nil"/>
              <w:left w:val="nil"/>
              <w:bottom w:val="single" w:sz="8" w:space="0" w:color="auto"/>
              <w:right w:val="nil"/>
            </w:tcBorders>
            <w:shd w:val="clear" w:color="auto" w:fill="auto"/>
            <w:vAlign w:val="center"/>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lang w:val="en-US"/>
              </w:rPr>
              <w:t>Table</w:t>
            </w:r>
            <w:r w:rsidR="007E30D7">
              <w:rPr>
                <w:rFonts w:eastAsia="Times New Roman" w:cs="Times New Roman"/>
                <w:color w:val="000000"/>
                <w:lang w:val="en-US"/>
              </w:rPr>
              <w:t xml:space="preserve"> III</w:t>
            </w:r>
            <w:r w:rsidRPr="007E30D7">
              <w:rPr>
                <w:rFonts w:eastAsia="Times New Roman" w:cs="Times New Roman"/>
                <w:color w:val="000000"/>
                <w:lang w:val="en-US"/>
              </w:rPr>
              <w:t xml:space="preserve">.4 Participant's goal choice to make the person feel better or make the person feel worse according to condition </w:t>
            </w:r>
          </w:p>
        </w:tc>
      </w:tr>
      <w:tr w:rsidR="00FB1389" w:rsidRPr="007E30D7" w:rsidTr="00D05EBD">
        <w:trPr>
          <w:trHeight w:val="315"/>
        </w:trPr>
        <w:tc>
          <w:tcPr>
            <w:tcW w:w="5000" w:type="pct"/>
            <w:gridSpan w:val="5"/>
            <w:tcBorders>
              <w:top w:val="single" w:sz="8" w:space="0" w:color="auto"/>
              <w:left w:val="nil"/>
              <w:bottom w:val="nil"/>
              <w:right w:val="nil"/>
            </w:tcBorders>
            <w:shd w:val="clear" w:color="auto" w:fill="auto"/>
            <w:vAlign w:val="center"/>
            <w:hideMark/>
          </w:tcPr>
          <w:p w:rsidR="00FB1389" w:rsidRPr="007E30D7" w:rsidRDefault="00FB1389" w:rsidP="007E30D7">
            <w:pPr>
              <w:spacing w:after="0" w:line="240" w:lineRule="auto"/>
              <w:jc w:val="both"/>
              <w:rPr>
                <w:rFonts w:eastAsia="Times New Roman" w:cs="Times New Roman"/>
                <w:b/>
                <w:bCs/>
                <w:color w:val="000000"/>
              </w:rPr>
            </w:pPr>
            <w:proofErr w:type="spellStart"/>
            <w:r w:rsidRPr="007E30D7">
              <w:rPr>
                <w:rFonts w:eastAsia="Times New Roman" w:cs="Times New Roman"/>
                <w:b/>
                <w:bCs/>
                <w:color w:val="000000"/>
              </w:rPr>
              <w:t>Crosstabulation</w:t>
            </w:r>
            <w:proofErr w:type="spellEnd"/>
            <w:r w:rsidRPr="007E30D7">
              <w:rPr>
                <w:rFonts w:eastAsia="Times New Roman" w:cs="Times New Roman"/>
                <w:b/>
                <w:bCs/>
                <w:color w:val="000000"/>
              </w:rPr>
              <w:t xml:space="preserve"> of Condition and Goal</w:t>
            </w:r>
          </w:p>
        </w:tc>
      </w:tr>
      <w:tr w:rsidR="00FB1389" w:rsidRPr="007E30D7" w:rsidTr="00D05EBD">
        <w:trPr>
          <w:trHeight w:val="330"/>
        </w:trPr>
        <w:tc>
          <w:tcPr>
            <w:tcW w:w="2001" w:type="pct"/>
            <w:gridSpan w:val="2"/>
            <w:vMerge w:val="restart"/>
            <w:tcBorders>
              <w:top w:val="single" w:sz="8" w:space="0" w:color="000000"/>
              <w:bottom w:val="single" w:sz="8" w:space="0" w:color="000000"/>
              <w:right w:val="single" w:sz="8" w:space="0" w:color="000000"/>
            </w:tcBorders>
            <w:shd w:val="clear" w:color="auto" w:fill="auto"/>
            <w:vAlign w:val="center"/>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 xml:space="preserve"> </w:t>
            </w:r>
          </w:p>
        </w:tc>
        <w:tc>
          <w:tcPr>
            <w:tcW w:w="2000" w:type="pct"/>
            <w:gridSpan w:val="2"/>
            <w:tcBorders>
              <w:top w:val="single" w:sz="8" w:space="0" w:color="000000"/>
              <w:left w:val="nil"/>
              <w:bottom w:val="single" w:sz="8" w:space="0" w:color="000000"/>
              <w:right w:val="single" w:sz="8" w:space="0" w:color="000000"/>
            </w:tcBorders>
            <w:shd w:val="clear" w:color="auto" w:fill="auto"/>
            <w:vAlign w:val="center"/>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Goal</w:t>
            </w:r>
          </w:p>
        </w:tc>
        <w:tc>
          <w:tcPr>
            <w:tcW w:w="1000" w:type="pct"/>
            <w:vMerge w:val="restart"/>
            <w:tcBorders>
              <w:top w:val="single" w:sz="8" w:space="0" w:color="000000"/>
              <w:left w:val="single" w:sz="8" w:space="0" w:color="000000"/>
              <w:bottom w:val="single" w:sz="8" w:space="0" w:color="000000"/>
            </w:tcBorders>
            <w:shd w:val="clear" w:color="auto" w:fill="auto"/>
            <w:vAlign w:val="center"/>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Total</w:t>
            </w:r>
          </w:p>
        </w:tc>
      </w:tr>
      <w:tr w:rsidR="00FB1389" w:rsidRPr="007E30D7" w:rsidTr="00D05EBD">
        <w:trPr>
          <w:trHeight w:val="330"/>
        </w:trPr>
        <w:tc>
          <w:tcPr>
            <w:tcW w:w="2001" w:type="pct"/>
            <w:gridSpan w:val="2"/>
            <w:vMerge/>
            <w:tcBorders>
              <w:top w:val="single" w:sz="8" w:space="0" w:color="000000"/>
              <w:bottom w:val="single" w:sz="8" w:space="0" w:color="000000"/>
              <w:right w:val="single" w:sz="8" w:space="0" w:color="000000"/>
            </w:tcBorders>
            <w:vAlign w:val="center"/>
            <w:hideMark/>
          </w:tcPr>
          <w:p w:rsidR="00FB1389" w:rsidRPr="007E30D7" w:rsidRDefault="00FB1389" w:rsidP="007E30D7">
            <w:pPr>
              <w:spacing w:after="0" w:line="240" w:lineRule="auto"/>
              <w:jc w:val="both"/>
              <w:rPr>
                <w:rFonts w:eastAsia="Times New Roman" w:cs="Times New Roman"/>
                <w:color w:val="000000"/>
              </w:rPr>
            </w:pPr>
          </w:p>
        </w:tc>
        <w:tc>
          <w:tcPr>
            <w:tcW w:w="1000" w:type="pct"/>
            <w:tcBorders>
              <w:top w:val="nil"/>
              <w:left w:val="nil"/>
              <w:bottom w:val="single" w:sz="8" w:space="0" w:color="000000"/>
              <w:right w:val="single" w:sz="8" w:space="0" w:color="000000"/>
            </w:tcBorders>
            <w:shd w:val="clear" w:color="auto" w:fill="auto"/>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Better</w:t>
            </w:r>
          </w:p>
        </w:tc>
        <w:tc>
          <w:tcPr>
            <w:tcW w:w="1000" w:type="pct"/>
            <w:tcBorders>
              <w:top w:val="nil"/>
              <w:left w:val="nil"/>
              <w:bottom w:val="single" w:sz="8" w:space="0" w:color="000000"/>
              <w:right w:val="single" w:sz="8" w:space="0" w:color="000000"/>
            </w:tcBorders>
            <w:shd w:val="clear" w:color="auto" w:fill="auto"/>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Worse</w:t>
            </w:r>
          </w:p>
        </w:tc>
        <w:tc>
          <w:tcPr>
            <w:tcW w:w="1000" w:type="pct"/>
            <w:vMerge/>
            <w:tcBorders>
              <w:top w:val="single" w:sz="8" w:space="0" w:color="000000"/>
              <w:left w:val="single" w:sz="8" w:space="0" w:color="000000"/>
              <w:bottom w:val="single" w:sz="8" w:space="0" w:color="000000"/>
            </w:tcBorders>
            <w:vAlign w:val="center"/>
            <w:hideMark/>
          </w:tcPr>
          <w:p w:rsidR="00FB1389" w:rsidRPr="007E30D7" w:rsidRDefault="00FB1389" w:rsidP="007E30D7">
            <w:pPr>
              <w:spacing w:after="0" w:line="240" w:lineRule="auto"/>
              <w:jc w:val="both"/>
              <w:rPr>
                <w:rFonts w:eastAsia="Times New Roman" w:cs="Times New Roman"/>
                <w:color w:val="000000"/>
              </w:rPr>
            </w:pPr>
          </w:p>
        </w:tc>
      </w:tr>
      <w:tr w:rsidR="00FB1389" w:rsidRPr="007E30D7" w:rsidTr="00D05EBD">
        <w:trPr>
          <w:trHeight w:val="315"/>
        </w:trPr>
        <w:tc>
          <w:tcPr>
            <w:tcW w:w="1000" w:type="pct"/>
            <w:vMerge w:val="restart"/>
            <w:tcBorders>
              <w:top w:val="nil"/>
              <w:bottom w:val="nil"/>
              <w:right w:val="nil"/>
            </w:tcBorders>
            <w:shd w:val="clear" w:color="auto" w:fill="auto"/>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Condition</w:t>
            </w:r>
          </w:p>
        </w:tc>
        <w:tc>
          <w:tcPr>
            <w:tcW w:w="1000" w:type="pct"/>
            <w:tcBorders>
              <w:top w:val="nil"/>
              <w:left w:val="nil"/>
              <w:bottom w:val="nil"/>
              <w:right w:val="single" w:sz="8" w:space="0" w:color="000000"/>
            </w:tcBorders>
            <w:shd w:val="clear" w:color="auto" w:fill="auto"/>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Control</w:t>
            </w:r>
          </w:p>
        </w:tc>
        <w:tc>
          <w:tcPr>
            <w:tcW w:w="1000" w:type="pct"/>
            <w:tcBorders>
              <w:top w:val="nil"/>
              <w:left w:val="nil"/>
              <w:bottom w:val="nil"/>
              <w:right w:val="single" w:sz="8" w:space="0" w:color="000000"/>
            </w:tcBorders>
            <w:shd w:val="clear" w:color="auto" w:fill="auto"/>
            <w:noWrap/>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20</w:t>
            </w:r>
          </w:p>
        </w:tc>
        <w:tc>
          <w:tcPr>
            <w:tcW w:w="1000" w:type="pct"/>
            <w:tcBorders>
              <w:top w:val="nil"/>
              <w:left w:val="nil"/>
              <w:bottom w:val="nil"/>
              <w:right w:val="single" w:sz="8" w:space="0" w:color="000000"/>
            </w:tcBorders>
            <w:shd w:val="clear" w:color="auto" w:fill="auto"/>
            <w:noWrap/>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2</w:t>
            </w:r>
          </w:p>
        </w:tc>
        <w:tc>
          <w:tcPr>
            <w:tcW w:w="1000" w:type="pct"/>
            <w:tcBorders>
              <w:top w:val="nil"/>
              <w:left w:val="nil"/>
              <w:bottom w:val="nil"/>
            </w:tcBorders>
            <w:shd w:val="clear" w:color="auto" w:fill="auto"/>
            <w:noWrap/>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22</w:t>
            </w:r>
          </w:p>
        </w:tc>
      </w:tr>
      <w:tr w:rsidR="00FB1389" w:rsidRPr="007E30D7" w:rsidTr="00D05EBD">
        <w:trPr>
          <w:trHeight w:val="315"/>
        </w:trPr>
        <w:tc>
          <w:tcPr>
            <w:tcW w:w="1000" w:type="pct"/>
            <w:vMerge/>
            <w:tcBorders>
              <w:top w:val="nil"/>
              <w:bottom w:val="nil"/>
              <w:right w:val="nil"/>
            </w:tcBorders>
            <w:vAlign w:val="center"/>
            <w:hideMark/>
          </w:tcPr>
          <w:p w:rsidR="00FB1389" w:rsidRPr="007E30D7" w:rsidRDefault="00FB1389" w:rsidP="007E30D7">
            <w:pPr>
              <w:spacing w:after="0" w:line="240" w:lineRule="auto"/>
              <w:jc w:val="both"/>
              <w:rPr>
                <w:rFonts w:eastAsia="Times New Roman" w:cs="Times New Roman"/>
                <w:color w:val="000000"/>
              </w:rPr>
            </w:pPr>
          </w:p>
        </w:tc>
        <w:tc>
          <w:tcPr>
            <w:tcW w:w="1000" w:type="pct"/>
            <w:tcBorders>
              <w:top w:val="nil"/>
              <w:left w:val="nil"/>
              <w:bottom w:val="nil"/>
              <w:right w:val="single" w:sz="8" w:space="0" w:color="000000"/>
            </w:tcBorders>
            <w:shd w:val="clear" w:color="auto" w:fill="auto"/>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Experimental</w:t>
            </w:r>
          </w:p>
        </w:tc>
        <w:tc>
          <w:tcPr>
            <w:tcW w:w="1000" w:type="pct"/>
            <w:tcBorders>
              <w:top w:val="nil"/>
              <w:left w:val="nil"/>
              <w:bottom w:val="nil"/>
              <w:right w:val="single" w:sz="8" w:space="0" w:color="000000"/>
            </w:tcBorders>
            <w:shd w:val="clear" w:color="auto" w:fill="auto"/>
            <w:noWrap/>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13</w:t>
            </w:r>
          </w:p>
        </w:tc>
        <w:tc>
          <w:tcPr>
            <w:tcW w:w="1000" w:type="pct"/>
            <w:tcBorders>
              <w:top w:val="nil"/>
              <w:left w:val="nil"/>
              <w:bottom w:val="nil"/>
              <w:right w:val="single" w:sz="8" w:space="0" w:color="000000"/>
            </w:tcBorders>
            <w:shd w:val="clear" w:color="auto" w:fill="auto"/>
            <w:noWrap/>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10</w:t>
            </w:r>
          </w:p>
        </w:tc>
        <w:tc>
          <w:tcPr>
            <w:tcW w:w="1000" w:type="pct"/>
            <w:tcBorders>
              <w:top w:val="nil"/>
              <w:left w:val="nil"/>
              <w:bottom w:val="nil"/>
            </w:tcBorders>
            <w:shd w:val="clear" w:color="auto" w:fill="auto"/>
            <w:noWrap/>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23</w:t>
            </w:r>
          </w:p>
        </w:tc>
      </w:tr>
      <w:tr w:rsidR="00FB1389" w:rsidRPr="007E30D7" w:rsidTr="00D05EBD">
        <w:trPr>
          <w:trHeight w:val="330"/>
        </w:trPr>
        <w:tc>
          <w:tcPr>
            <w:tcW w:w="2001" w:type="pct"/>
            <w:gridSpan w:val="2"/>
            <w:tcBorders>
              <w:top w:val="nil"/>
              <w:bottom w:val="double" w:sz="6" w:space="0" w:color="000000"/>
              <w:right w:val="single" w:sz="8" w:space="0" w:color="000000"/>
            </w:tcBorders>
            <w:shd w:val="clear" w:color="auto" w:fill="auto"/>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Total</w:t>
            </w:r>
          </w:p>
        </w:tc>
        <w:tc>
          <w:tcPr>
            <w:tcW w:w="1000" w:type="pct"/>
            <w:tcBorders>
              <w:top w:val="nil"/>
              <w:left w:val="nil"/>
              <w:bottom w:val="double" w:sz="6" w:space="0" w:color="000000"/>
              <w:right w:val="single" w:sz="8" w:space="0" w:color="000000"/>
            </w:tcBorders>
            <w:shd w:val="clear" w:color="auto" w:fill="auto"/>
            <w:noWrap/>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33</w:t>
            </w:r>
          </w:p>
        </w:tc>
        <w:tc>
          <w:tcPr>
            <w:tcW w:w="1000" w:type="pct"/>
            <w:tcBorders>
              <w:top w:val="nil"/>
              <w:left w:val="nil"/>
              <w:bottom w:val="double" w:sz="6" w:space="0" w:color="000000"/>
              <w:right w:val="single" w:sz="8" w:space="0" w:color="000000"/>
            </w:tcBorders>
            <w:shd w:val="clear" w:color="auto" w:fill="auto"/>
            <w:noWrap/>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rPr>
              <w:t>1</w:t>
            </w:r>
            <w:r w:rsidRPr="007E30D7">
              <w:rPr>
                <w:rFonts w:eastAsia="Times New Roman" w:cs="Times New Roman"/>
                <w:color w:val="000000"/>
                <w:lang w:val="es-ES"/>
              </w:rPr>
              <w:t>2</w:t>
            </w:r>
          </w:p>
        </w:tc>
        <w:tc>
          <w:tcPr>
            <w:tcW w:w="1000" w:type="pct"/>
            <w:tcBorders>
              <w:top w:val="nil"/>
              <w:left w:val="nil"/>
              <w:bottom w:val="double" w:sz="6" w:space="0" w:color="000000"/>
            </w:tcBorders>
            <w:shd w:val="clear" w:color="auto" w:fill="auto"/>
            <w:noWrap/>
            <w:hideMark/>
          </w:tcPr>
          <w:p w:rsidR="00FB1389" w:rsidRPr="007E30D7" w:rsidRDefault="00FB1389" w:rsidP="007E30D7">
            <w:pPr>
              <w:spacing w:after="0" w:line="240" w:lineRule="auto"/>
              <w:jc w:val="both"/>
              <w:rPr>
                <w:rFonts w:eastAsia="Times New Roman" w:cs="Times New Roman"/>
                <w:color w:val="000000"/>
              </w:rPr>
            </w:pPr>
            <w:r w:rsidRPr="007E30D7">
              <w:rPr>
                <w:rFonts w:eastAsia="Times New Roman" w:cs="Times New Roman"/>
                <w:color w:val="000000"/>
                <w:lang w:val="es-ES"/>
              </w:rPr>
              <w:t>45</w:t>
            </w:r>
          </w:p>
        </w:tc>
      </w:tr>
    </w:tbl>
    <w:p w:rsidR="00FB1389" w:rsidRPr="00D05EBD" w:rsidRDefault="00FB1389" w:rsidP="00AE640B">
      <w:pPr>
        <w:spacing w:line="480" w:lineRule="auto"/>
        <w:jc w:val="both"/>
        <w:rPr>
          <w:rFonts w:cs="Times New Roman"/>
          <w:sz w:val="24"/>
          <w:szCs w:val="24"/>
        </w:rPr>
      </w:pPr>
    </w:p>
    <w:p w:rsidR="00FB1389" w:rsidRPr="00D05EBD" w:rsidRDefault="00FB1389" w:rsidP="00AE640B">
      <w:pPr>
        <w:spacing w:line="480" w:lineRule="auto"/>
        <w:jc w:val="both"/>
        <w:rPr>
          <w:rFonts w:cs="Times New Roman"/>
          <w:sz w:val="24"/>
          <w:szCs w:val="24"/>
        </w:rPr>
      </w:pPr>
      <w:r w:rsidRPr="00D05EBD">
        <w:rPr>
          <w:rFonts w:cs="Times New Roman"/>
          <w:b/>
          <w:sz w:val="24"/>
          <w:szCs w:val="24"/>
        </w:rPr>
        <w:tab/>
      </w:r>
      <w:r w:rsidRPr="00D05EBD">
        <w:rPr>
          <w:rFonts w:cs="Times New Roman"/>
          <w:b/>
          <w:sz w:val="24"/>
          <w:szCs w:val="24"/>
        </w:rPr>
        <w:tab/>
        <w:t>3.</w:t>
      </w:r>
      <w:r w:rsidR="00093982">
        <w:rPr>
          <w:rFonts w:cs="Times New Roman"/>
          <w:b/>
          <w:sz w:val="24"/>
          <w:szCs w:val="24"/>
        </w:rPr>
        <w:t>3</w:t>
      </w:r>
      <w:r w:rsidRPr="00D05EBD">
        <w:rPr>
          <w:rFonts w:cs="Times New Roman"/>
          <w:b/>
          <w:sz w:val="24"/>
          <w:szCs w:val="24"/>
        </w:rPr>
        <w:t>.1.3 Discussion</w:t>
      </w:r>
    </w:p>
    <w:p w:rsidR="00FB1389" w:rsidRPr="00D05EBD" w:rsidRDefault="00FB1389" w:rsidP="00AE640B">
      <w:pPr>
        <w:spacing w:line="480" w:lineRule="auto"/>
        <w:jc w:val="both"/>
        <w:rPr>
          <w:rFonts w:cs="Times New Roman"/>
          <w:sz w:val="24"/>
          <w:szCs w:val="24"/>
        </w:rPr>
      </w:pPr>
      <w:r w:rsidRPr="00D05EBD">
        <w:rPr>
          <w:rFonts w:cs="Times New Roman"/>
          <w:sz w:val="24"/>
          <w:szCs w:val="24"/>
        </w:rPr>
        <w:tab/>
        <w:t xml:space="preserve">The results of Study 2a suggest that it is possible to prime worsening IER behaviours via the SST. The results confirmed both hypotheses of this study: </w:t>
      </w:r>
      <w:proofErr w:type="spellStart"/>
      <w:r w:rsidRPr="00D05EBD">
        <w:rPr>
          <w:rFonts w:cs="Times New Roman"/>
          <w:sz w:val="24"/>
          <w:szCs w:val="24"/>
        </w:rPr>
        <w:t>i</w:t>
      </w:r>
      <w:proofErr w:type="spellEnd"/>
      <w:r w:rsidRPr="00D05EBD">
        <w:rPr>
          <w:rFonts w:cs="Times New Roman"/>
          <w:sz w:val="24"/>
          <w:szCs w:val="24"/>
        </w:rPr>
        <w:t xml:space="preserve">) participants primed to worsen the emotions of someone else exhibited more worsening </w:t>
      </w:r>
      <w:r w:rsidRPr="00D05EBD">
        <w:rPr>
          <w:rFonts w:cs="Times New Roman"/>
          <w:sz w:val="24"/>
          <w:szCs w:val="24"/>
        </w:rPr>
        <w:lastRenderedPageBreak/>
        <w:t xml:space="preserve">IER behaviours as reflected in a script they wrote with two fictional characters from which they played the part of one of these characters, ii) more participants in the priming condition selected a goal to make the other character in the script feel bad, in comparison to participants in the control condition. The results of these studies match the results of other research that has demonstrated that it is possible to prime behaviours using the SST </w:t>
      </w:r>
      <w:r w:rsidR="00B06E70">
        <w:rPr>
          <w:rFonts w:cs="Times New Roman"/>
          <w:sz w:val="24"/>
          <w:szCs w:val="24"/>
        </w:rPr>
        <w:fldChar w:fldCharType="begin" w:fldLock="1"/>
      </w:r>
      <w:r w:rsidR="00A5797A">
        <w:rPr>
          <w:rFonts w:cs="Times New Roman"/>
          <w:sz w:val="24"/>
          <w:szCs w:val="24"/>
        </w:rPr>
        <w:instrText>ADDIN CSL_CITATION { "citationItems" : [ { "id" : "ITEM-1", "itemData" : { "DOI" : "10.1037/0022-3514.71.2.230", "ISBN" : "0022-3514\\n1939-1315", "ISSN" : "0022-3514", "PMID" : "8765481", "abstract" : "Previous research has shown that trait concepts and stereotype become active automatically in the presence of relevant behavior or stereotyped-group features. Through the use of the same priming procedures as in previous impression formation research, Experiment 1 showed that participants whose concept of rudeness was printed interrupted the experimenter more quickly and frequently than did participants primed with polite-related stimuli. In Experiment 2, participants for whom an elderly stereotype was primed walked more slowly down the hallway when leaving the experiment than did control participants, consistent with the content of that stereotype. In Experiment 3, participants for whom the African American stereotype was primed subliminally reacted with more hostility to a vexatious request of the experimenter. Implications of this automatic behavior priming effect for self-fulfilling prophecies are discussed, as is whether social behavior is necessarily mediated by conscious choice processes.", "author" : [ { "dropping-particle" : "", "family" : "Bargh", "given" : "John A.", "non-dropping-particle" : "", "parse-names" : false, "suffix" : "" }, { "dropping-particle" : "", "family" : "Chen", "given" : "Mark", "non-dropping-particle" : "", "parse-names" : false, "suffix" : "" }, { "dropping-particle" : "", "family" : "Burrows", "given" : "Lara", "non-dropping-particle" : "", "parse-names" : false, "suffix" : "" } ], "container-title" : "Journal of personality and social psychology", "id" : "ITEM-1", "issue" : "2", "issued" : { "date-parts" : [ [ "1996" ] ] }, "page" : "230-244", "title" : "Automaticity of social behavior: Direct effects of trait construct and stereotype-activation on action.", "type" : "article-journal", "volume" : "71" }, "uris" : [ "http://www.mendeley.com/documents/?uuid=55a5884c-98c2-3691-95f6-50a23fe9c58c" ] }, { "id" : "ITEM-2", "itemData" : { "DOI" : "10.1037/a0017745", "ISBN" : "1931-1516 (Electronic)\\n1528-3542 (Linking)", "ISSN" : "1528-3542", "PMID" : "20001127", "abstract" : "People often encounter difficulty when making conscious attempts to regulate their emotions. We propose that nonconscious self-regulatory processes may be of help in these difficult circumstances because nonconscious processes are not subject to the same set of limitations as are conscious processes. Two experiments examined the effects of nonconsciously operating goals on people\u2019s emotion regulatory success. In Experiment 1, participants engaged in an anxiety-eliciting task. Participants who had a reappraisal emotion control goal primed and operating nonconsciously achieved the same decrease in physiological reactivity as those explicitly instructed to reappraise. In Experiment 2, the effect of nonconscious reappraisal priming on physiological reactivity was shown to be most pronounced for those who do not habitually use reappraisal strategies. The findings highlight the potential importance of nonconscious goals for facilitating emotional control in complex real-world environments and have implications for contemporary models of emotion regulation. (PsycINFO Database Record (c) 2013 APA, all rights reserved). (journal abstract)", "author" : [ { "dropping-particle" : "", "family" : "Williams", "given" : "Lawrence E", "non-dropping-particle" : "", "parse-names" : false, "suffix" : "" }, { "dropping-particle" : "", "family" : "Bargh", "given" : "John A", "non-dropping-particle" : "", "parse-names" : false, "suffix" : "" }, { "dropping-particle" : "", "family" : "Nocera", "given" : "Christopher C", "non-dropping-particle" : "", "parse-names" : false, "suffix" : "" }, { "dropping-particle" : "", "family" : "Gray", "given" : "Jeremy R", "non-dropping-particle" : "", "parse-names" : false, "suffix" : "" } ], "container-title" : "Emotion", "id" : "ITEM-2", "issue" : "6", "issued" : { "date-parts" : [ [ "2009" ] ] }, "page" : "847-854", "title" : "The unconscious regulation of emotion: Nonconscious reappraisal goals modulate emotional reactivity.", "type" : "article-journal", "volume" : "9" }, "uris" : [ "http://www.mendeley.com/documents/?uuid=9e8eb5d9-0eec-37a9-9082-4a601649d12d" ] } ], "mendeley" : { "formattedCitation" : "(J. A. Bargh et al., 1996; Williams et al., 2009)", "manualFormatting" : "(Bargh et al., 1996; Williams et al., 2009)", "plainTextFormattedCitation" : "(J. A. Bargh et al., 1996; Williams et al., 2009)", "previouslyFormattedCitation" : "(J. A. Bargh et al., 1996; Williams et al., 2009)" }, "properties" : { "noteIndex" : 0 }, "schema" : "https://github.com/citation-style-language/schema/raw/master/csl-citation.json" }</w:instrText>
      </w:r>
      <w:r w:rsidR="00B06E70">
        <w:rPr>
          <w:rFonts w:cs="Times New Roman"/>
          <w:sz w:val="24"/>
          <w:szCs w:val="24"/>
        </w:rPr>
        <w:fldChar w:fldCharType="separate"/>
      </w:r>
      <w:r w:rsidR="007E30D7">
        <w:rPr>
          <w:rFonts w:cs="Times New Roman"/>
          <w:noProof/>
          <w:sz w:val="24"/>
          <w:szCs w:val="24"/>
        </w:rPr>
        <w:t>(</w:t>
      </w:r>
      <w:r w:rsidR="007E30D7" w:rsidRPr="007E30D7">
        <w:rPr>
          <w:rFonts w:cs="Times New Roman"/>
          <w:noProof/>
          <w:sz w:val="24"/>
          <w:szCs w:val="24"/>
        </w:rPr>
        <w:t>Bargh et al., 1996; Williams et al., 2009)</w:t>
      </w:r>
      <w:r w:rsidR="00B06E70">
        <w:rPr>
          <w:rFonts w:cs="Times New Roman"/>
          <w:sz w:val="24"/>
          <w:szCs w:val="24"/>
        </w:rPr>
        <w:fldChar w:fldCharType="end"/>
      </w:r>
      <w:r w:rsidRPr="00D05EBD">
        <w:rPr>
          <w:rFonts w:cs="Times New Roman"/>
          <w:bCs/>
          <w:iCs/>
          <w:sz w:val="24"/>
          <w:szCs w:val="24"/>
        </w:rPr>
        <w:t>.</w:t>
      </w:r>
      <w:r w:rsidRPr="00D05EBD">
        <w:rPr>
          <w:rFonts w:cs="Times New Roman"/>
          <w:sz w:val="24"/>
          <w:szCs w:val="24"/>
        </w:rPr>
        <w:t xml:space="preserve"> Furthermore</w:t>
      </w:r>
      <w:r w:rsidR="0009506C">
        <w:rPr>
          <w:rFonts w:cs="Times New Roman"/>
          <w:sz w:val="24"/>
          <w:szCs w:val="24"/>
        </w:rPr>
        <w:t>,</w:t>
      </w:r>
      <w:r w:rsidRPr="00D05EBD">
        <w:rPr>
          <w:rFonts w:cs="Times New Roman"/>
          <w:sz w:val="24"/>
          <w:szCs w:val="24"/>
        </w:rPr>
        <w:t xml:space="preserve"> Study 2a indicates that the SST can be used to prime IER behaviour, specifically, making another person feel worse. To investigate whether the effect of the prime would remain significant in the absence of an IER goal (to improve or worsen </w:t>
      </w:r>
      <w:r w:rsidR="00B46EF6">
        <w:rPr>
          <w:rFonts w:cs="Times New Roman"/>
          <w:sz w:val="24"/>
          <w:szCs w:val="24"/>
        </w:rPr>
        <w:t>the emotions of someone else), S</w:t>
      </w:r>
      <w:r w:rsidRPr="00D05EBD">
        <w:rPr>
          <w:rFonts w:cs="Times New Roman"/>
          <w:sz w:val="24"/>
          <w:szCs w:val="24"/>
        </w:rPr>
        <w:t xml:space="preserve">tudy 2b was designed. Study 2b </w:t>
      </w:r>
      <w:r w:rsidR="00B46EF6">
        <w:rPr>
          <w:rFonts w:cs="Times New Roman"/>
          <w:sz w:val="24"/>
          <w:szCs w:val="24"/>
        </w:rPr>
        <w:t>followed the same procedure as S</w:t>
      </w:r>
      <w:r w:rsidRPr="00D05EBD">
        <w:rPr>
          <w:rFonts w:cs="Times New Roman"/>
          <w:sz w:val="24"/>
          <w:szCs w:val="24"/>
        </w:rPr>
        <w:t>tudy 2a with the only exception that the IER goal choice was removed from the task (the script).</w:t>
      </w:r>
    </w:p>
    <w:p w:rsidR="00FB1389" w:rsidRPr="00D05EBD" w:rsidRDefault="00093982" w:rsidP="00AE640B">
      <w:pPr>
        <w:spacing w:line="480" w:lineRule="auto"/>
        <w:jc w:val="both"/>
        <w:rPr>
          <w:rFonts w:cs="Times New Roman"/>
          <w:b/>
          <w:sz w:val="24"/>
          <w:szCs w:val="24"/>
        </w:rPr>
      </w:pPr>
      <w:r>
        <w:rPr>
          <w:rFonts w:cs="Times New Roman"/>
          <w:b/>
          <w:sz w:val="24"/>
          <w:szCs w:val="24"/>
        </w:rPr>
        <w:tab/>
        <w:t>3.3</w:t>
      </w:r>
      <w:r w:rsidR="00FB1389" w:rsidRPr="00D05EBD">
        <w:rPr>
          <w:rFonts w:cs="Times New Roman"/>
          <w:b/>
          <w:sz w:val="24"/>
          <w:szCs w:val="24"/>
        </w:rPr>
        <w:t>.2 Study 2b</w:t>
      </w:r>
    </w:p>
    <w:p w:rsidR="00D04317" w:rsidRPr="00D05EBD" w:rsidRDefault="00FB1389" w:rsidP="00886568">
      <w:pPr>
        <w:spacing w:line="480" w:lineRule="auto"/>
        <w:ind w:firstLine="720"/>
        <w:jc w:val="both"/>
        <w:rPr>
          <w:rFonts w:cs="Times New Roman"/>
          <w:sz w:val="24"/>
          <w:szCs w:val="24"/>
        </w:rPr>
      </w:pPr>
      <w:r w:rsidRPr="00D05EBD">
        <w:rPr>
          <w:rFonts w:cs="Times New Roman"/>
          <w:sz w:val="24"/>
          <w:szCs w:val="24"/>
        </w:rPr>
        <w:t>Study 2a showed that it is possible to prime people to worsen the emotions of someone else and that this priming made participants more prone to choose a worsening IER goal. The goal choice to worsen the emotion of someone else could have affected the effect of the prime over the IER behaviours of the participants. Thus, receiving worsening IER priming may have made participants more likely to choose the worsening IER goal, that then could have activated the IER worsening behaviours (as expressed in participant's scripts). Some researchers argue that automatic behaviours cannot happen without the presence of a goal that then causes the behaviour</w:t>
      </w:r>
      <w:r w:rsidR="00A30342">
        <w:rPr>
          <w:rFonts w:cs="Times New Roman"/>
          <w:sz w:val="24"/>
          <w:szCs w:val="24"/>
        </w:rPr>
        <w:t xml:space="preserve"> </w:t>
      </w:r>
      <w:r w:rsidR="00B06E70">
        <w:rPr>
          <w:rFonts w:cs="Times New Roman"/>
          <w:sz w:val="24"/>
          <w:szCs w:val="24"/>
        </w:rPr>
        <w:fldChar w:fldCharType="begin" w:fldLock="1"/>
      </w:r>
      <w:r w:rsidR="00A30342">
        <w:rPr>
          <w:rFonts w:cs="Times New Roman"/>
          <w:sz w:val="24"/>
          <w:szCs w:val="24"/>
        </w:rPr>
        <w:instrText>ADDIN CSL_CITATION { "citationItems" : [ { "id" : "ITEM-1", "itemData" : { "DOI" : "10.1037//0022-3514.78.1.53", "ISBN" : "0022-3514\\r1939-1315", "ISSN" : "0022-3514", "PMID" : "10653505", "abstract" : "This study tested the idea of habits as a form of goal-directed automatic behavior. Expanding on the idea that habits are mentally represented as associations between goals and actions, it was proposed that goals are capable of activating the habitual action. More specific, when habits are established (e.g., frequent cycling to the university), the very activation of the goal to act (e.g., having to attend lectures at the university) automatically evokes the habitual response (e.g., bicycle). Indeed, it was tested and confirmed that, when behavior is habitual, behavioral responses are activated automatically. In addition, the results of 3 experiments indicated that (a) the automaticity in habits is conditional on the presence of an active goal (cf. goal-dependent automaticity; J. A. Bargh, 1989), supporting the idea that habits are mentally represented as goal-action links, and (b) the formation of implementation intentions (i.e., the creation of a strong mental link between a goal and action) may simulate goal-directed automaticity in habits.", "author" : [ { "dropping-particle" : "", "family" : "Aarts", "given" : "Henk", "non-dropping-particle" : "", "parse-names" : false, "suffix" : "" }, { "dropping-particle" : "", "family" : "Dijksterhuis", "given" : "Ap", "non-dropping-particle" : "", "parse-names" : false, "suffix" : "" } ], "container-title" : "Journal of Personality and Social Psychology", "id" : "ITEM-1", "issue" : "1", "issued" : { "date-parts" : [ [ "2000" ] ] }, "page" : "53-63", "title" : "Habits as Knowledge Structures: Automaticity in Goal-Directed Behavior", "type" : "article-journal", "volume" : "78" }, "uris" : [ "http://www.mendeley.com/documents/?uuid=52c71436-a722-4ba8-a0cc-63121a0b7093" ] } ], "mendeley" : { "formattedCitation" : "(Aarts &amp; Dijksterhuis, 2000)", "plainTextFormattedCitation" : "(Aarts &amp; Dijksterhuis, 2000)", "previouslyFormattedCitation" : "(Aarts &amp; Dijksterhuis, 2000)" }, "properties" : { "noteIndex" : 0 }, "schema" : "https://github.com/citation-style-language/schema/raw/master/csl-citation.json" }</w:instrText>
      </w:r>
      <w:r w:rsidR="00B06E70">
        <w:rPr>
          <w:rFonts w:cs="Times New Roman"/>
          <w:sz w:val="24"/>
          <w:szCs w:val="24"/>
        </w:rPr>
        <w:fldChar w:fldCharType="separate"/>
      </w:r>
      <w:r w:rsidR="00A30342" w:rsidRPr="00A30342">
        <w:rPr>
          <w:rFonts w:cs="Times New Roman"/>
          <w:noProof/>
          <w:sz w:val="24"/>
          <w:szCs w:val="24"/>
        </w:rPr>
        <w:t>(Aarts &amp; Dijksterhuis, 2000)</w:t>
      </w:r>
      <w:r w:rsidR="00B06E70">
        <w:rPr>
          <w:rFonts w:cs="Times New Roman"/>
          <w:sz w:val="24"/>
          <w:szCs w:val="24"/>
        </w:rPr>
        <w:fldChar w:fldCharType="end"/>
      </w:r>
      <w:r w:rsidRPr="00D05EBD">
        <w:rPr>
          <w:rFonts w:cs="Times New Roman"/>
          <w:sz w:val="24"/>
          <w:szCs w:val="24"/>
        </w:rPr>
        <w:t xml:space="preserve">, even if this goal is implicit </w:t>
      </w:r>
      <w:r w:rsidR="00B06E70">
        <w:rPr>
          <w:rFonts w:cs="Times New Roman"/>
          <w:sz w:val="24"/>
          <w:szCs w:val="24"/>
        </w:rPr>
        <w:fldChar w:fldCharType="begin" w:fldLock="1"/>
      </w:r>
      <w:r w:rsidR="00A30342">
        <w:rPr>
          <w:rFonts w:cs="Times New Roman"/>
          <w:sz w:val="24"/>
          <w:szCs w:val="24"/>
        </w:rPr>
        <w:instrText>ADDIN CSL_CITATION { "citationItems" : [ { "id" : "ITEM-1", "itemData" : { "DOI" : "10.1037//0022-3514.78.1.53", "ISBN" : "0022-3514\\r1939-1315", "ISSN" : "0022-3514", "PMID" : "10653505", "abstract" : "This study tested the idea of habits as a form of goal-directed automatic behavior. Expanding on the idea that habits are mentally represented as associations between goals and actions, it was proposed that goals are capable of activating the habitual action. More specific, when habits are established (e.g., frequent cycling to the university), the very activation of the goal to act (e.g., having to attend lectures at the university) automatically evokes the habitual response (e.g., bicycle). Indeed, it was tested and confirmed that, when behavior is habitual, behavioral responses are activated automatically. In addition, the results of 3 experiments indicated that (a) the automaticity in habits is conditional on the presence of an active goal (cf. goal-dependent automaticity; J. A. Bargh, 1989), supporting the idea that habits are mentally represented as goal-action links, and (b) the formation of implementation intentions (i.e., the creation of a strong mental link between a goal and action) may simulate goal-directed automaticity in habits.", "author" : [ { "dropping-particle" : "", "family" : "Aarts", "given" : "Henk", "non-dropping-particle" : "", "parse-names" : false, "suffix" : "" }, { "dropping-particle" : "", "family" : "Dijksterhuis", "given" : "Ap", "non-dropping-particle" : "", "parse-names" : false, "suffix" : "" } ], "container-title" : "Journal of Personality and Social Psychology", "id" : "ITEM-1", "issue" : "1", "issued" : { "date-parts" : [ [ "2000" ] ] }, "page" : "53-63", "title" : "Habits as Knowledge Structures: Automaticity in Goal-Directed Behavior", "type" : "article-journal", "volume" : "78" }, "uris" : [ "http://www.mendeley.com/documents/?uuid=52c71436-a722-4ba8-a0cc-63121a0b7093" ] }, { "id" : "ITEM-2", "itemData" : { "DOI" : "10.1016/j.jesp.2012.11.009", "ISBN" : "0022-1031", "ISSN" : "00221031", "abstract" : "Goals can determine what people want to feel (e.g., Tamir et al., 2008), but can they do so even when they are primed outside of conscious awareness? In two studies, participants wanted to feel significantly less angry after they were implicitly primed with a collaboration goal, compared to a neutral prime. These effects were found with different implicit priming manipulations, direct and indirect measures of emotional preferences, and when controlling for concurrent emotional experiences. The effects were obtained in social contexts in which the potential for collaboration was relatively higher (Study 1) and lower (Study 2). Also, similar effects were found when collaboration was activated nonconsciously (Studies 1-2) and consciously (Study 2). By showing that nonconscious goals can shape emotional preferences, we demonstrate that what people want to feel can be determined by factors they are unaware of. ?? 2012 Elsevier Inc.", "author" : [ { "dropping-particle" : "", "family" : "Tamir", "given" : "Maya", "non-dropping-particle" : "", "parse-names" : false, "suffix" : "" }, { "dropping-particle" : "", "family" : "Ford", "given" : "Brett Q.", "non-dropping-particle" : "", "parse-names" : false, "suffix" : "" }, { "dropping-particle" : "", "family" : "Ryan", "given" : "Erin", "non-dropping-particle" : "", "parse-names" : false, "suffix" : "" } ], "container-title" : "Journal of Experimental Social Psychology", "id" : "ITEM-2", "issue" : "2", "issued" : { "date-parts" : [ [ "2013" ] ] }, "page" : "292-297", "title" : "Nonconscious goals can shape what people want to feel", "type" : "article-journal", "volume" : "49" }, "uris" : [ "http://www.mendeley.com/documents/?uuid=603dee57-c18a-3f48-88cd-bc5ba8422c49" ] } ], "mendeley" : { "formattedCitation" : "(Aarts &amp; Dijksterhuis, 2000; Tamir, Ford, &amp; Ryan, 2013)", "plainTextFormattedCitation" : "(Aarts &amp; Dijksterhuis, 2000; Tamir, Ford, &amp; Ryan, 2013)", "previouslyFormattedCitation" : "(Aarts &amp; Dijksterhuis, 2000; Tamir, Ford, &amp; Ryan, 2013)" }, "properties" : { "noteIndex" : 0 }, "schema" : "https://github.com/citation-style-language/schema/raw/master/csl-citation.json" }</w:instrText>
      </w:r>
      <w:r w:rsidR="00B06E70">
        <w:rPr>
          <w:rFonts w:cs="Times New Roman"/>
          <w:sz w:val="24"/>
          <w:szCs w:val="24"/>
        </w:rPr>
        <w:fldChar w:fldCharType="separate"/>
      </w:r>
      <w:r w:rsidR="00A30342" w:rsidRPr="00A30342">
        <w:rPr>
          <w:rFonts w:cs="Times New Roman"/>
          <w:noProof/>
          <w:sz w:val="24"/>
          <w:szCs w:val="24"/>
        </w:rPr>
        <w:t>(Aarts &amp; Dijksterhuis, 2000; Tamir, Ford, &amp; Ryan, 2013)</w:t>
      </w:r>
      <w:r w:rsidR="00B06E70">
        <w:rPr>
          <w:rFonts w:cs="Times New Roman"/>
          <w:sz w:val="24"/>
          <w:szCs w:val="24"/>
        </w:rPr>
        <w:fldChar w:fldCharType="end"/>
      </w:r>
      <w:r w:rsidRPr="00D05EBD">
        <w:rPr>
          <w:rFonts w:cs="Times New Roman"/>
          <w:sz w:val="24"/>
          <w:szCs w:val="24"/>
        </w:rPr>
        <w:t xml:space="preserve">. Study 2b was conducted to explore whether the effect of the prime on the behaviour of the participants would remain when participants are not asked to adopt an </w:t>
      </w:r>
      <w:r w:rsidRPr="00D05EBD">
        <w:rPr>
          <w:rFonts w:cs="Times New Roman"/>
          <w:sz w:val="24"/>
          <w:szCs w:val="24"/>
        </w:rPr>
        <w:lastRenderedPageBreak/>
        <w:t xml:space="preserve">IER goal and make it explicit. Study 2b investigated whether priming worsening IER would activate worsening IER behaviours by simply presenting participants with an interpersonal context (the script) in which there was an opportunity for the behaviour to occur, without the need of adopting an explicit IER goal. </w:t>
      </w:r>
    </w:p>
    <w:p w:rsidR="00FB1389" w:rsidRPr="00D05EBD" w:rsidRDefault="00093982" w:rsidP="00AE640B">
      <w:pPr>
        <w:spacing w:line="480" w:lineRule="auto"/>
        <w:ind w:firstLine="720"/>
        <w:jc w:val="both"/>
        <w:rPr>
          <w:rFonts w:cs="Times New Roman"/>
          <w:b/>
          <w:sz w:val="24"/>
          <w:szCs w:val="24"/>
        </w:rPr>
      </w:pPr>
      <w:r>
        <w:rPr>
          <w:rFonts w:cs="Times New Roman"/>
          <w:b/>
          <w:sz w:val="24"/>
          <w:szCs w:val="24"/>
        </w:rPr>
        <w:tab/>
        <w:t>3.3</w:t>
      </w:r>
      <w:r w:rsidR="00FB1389" w:rsidRPr="00D05EBD">
        <w:rPr>
          <w:rFonts w:cs="Times New Roman"/>
          <w:b/>
          <w:sz w:val="24"/>
          <w:szCs w:val="24"/>
        </w:rPr>
        <w:t>.2.1 Method</w:t>
      </w:r>
    </w:p>
    <w:p w:rsidR="00FB1389" w:rsidRPr="00D05EBD" w:rsidRDefault="00FB1389" w:rsidP="00AE640B">
      <w:pPr>
        <w:spacing w:line="480" w:lineRule="auto"/>
        <w:ind w:firstLine="720"/>
        <w:jc w:val="both"/>
        <w:rPr>
          <w:rFonts w:cs="Times New Roman"/>
          <w:i/>
          <w:sz w:val="24"/>
          <w:szCs w:val="24"/>
        </w:rPr>
      </w:pPr>
      <w:r w:rsidRPr="00D05EBD">
        <w:rPr>
          <w:rFonts w:cs="Times New Roman"/>
          <w:b/>
          <w:sz w:val="24"/>
          <w:szCs w:val="24"/>
        </w:rPr>
        <w:tab/>
      </w:r>
      <w:r w:rsidRPr="00D05EBD">
        <w:rPr>
          <w:rFonts w:cs="Times New Roman"/>
          <w:b/>
          <w:sz w:val="24"/>
          <w:szCs w:val="24"/>
        </w:rPr>
        <w:tab/>
      </w:r>
      <w:r w:rsidR="00093982">
        <w:rPr>
          <w:rFonts w:cs="Times New Roman"/>
          <w:i/>
          <w:sz w:val="24"/>
          <w:szCs w:val="24"/>
        </w:rPr>
        <w:t>3.3</w:t>
      </w:r>
      <w:r w:rsidRPr="00D05EBD">
        <w:rPr>
          <w:rFonts w:cs="Times New Roman"/>
          <w:i/>
          <w:sz w:val="24"/>
          <w:szCs w:val="24"/>
        </w:rPr>
        <w:t>.2.1.1 Participants</w:t>
      </w: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t>18 volunteers</w:t>
      </w:r>
      <w:r w:rsidRPr="00973AEB">
        <w:rPr>
          <w:rStyle w:val="Refdenotaalpie"/>
        </w:rPr>
        <w:footnoteReference w:id="24"/>
      </w:r>
      <w:r w:rsidRPr="00D05EBD">
        <w:rPr>
          <w:rFonts w:cs="Times New Roman"/>
          <w:sz w:val="24"/>
          <w:szCs w:val="24"/>
        </w:rPr>
        <w:t xml:space="preserve"> took part in Study 2b (10 men). Ages ranged from 19 to 64 (</w:t>
      </w:r>
      <w:r w:rsidRPr="00D05EBD">
        <w:rPr>
          <w:rFonts w:cs="Times New Roman"/>
          <w:i/>
          <w:sz w:val="24"/>
          <w:szCs w:val="24"/>
        </w:rPr>
        <w:t xml:space="preserve">M </w:t>
      </w:r>
      <w:r w:rsidRPr="00D05EBD">
        <w:rPr>
          <w:rFonts w:cs="Times New Roman"/>
          <w:sz w:val="24"/>
          <w:szCs w:val="24"/>
        </w:rPr>
        <w:t>= 33.72</w:t>
      </w:r>
      <w:r w:rsidR="00634BBA">
        <w:rPr>
          <w:rFonts w:cs="Times New Roman"/>
          <w:sz w:val="24"/>
          <w:szCs w:val="24"/>
        </w:rPr>
        <w:t xml:space="preserve"> yr</w:t>
      </w:r>
      <w:r w:rsidRPr="00D05EBD">
        <w:rPr>
          <w:rFonts w:cs="Times New Roman"/>
          <w:sz w:val="24"/>
          <w:szCs w:val="24"/>
        </w:rPr>
        <w:t xml:space="preserve">; </w:t>
      </w:r>
      <w:r w:rsidRPr="00D05EBD">
        <w:rPr>
          <w:rFonts w:cs="Times New Roman"/>
          <w:i/>
          <w:sz w:val="24"/>
          <w:szCs w:val="24"/>
        </w:rPr>
        <w:t>SD</w:t>
      </w:r>
      <w:r w:rsidRPr="00D05EBD">
        <w:rPr>
          <w:rFonts w:cs="Times New Roman"/>
          <w:sz w:val="24"/>
          <w:szCs w:val="24"/>
        </w:rPr>
        <w:t xml:space="preserve"> = 13.28). Participants were randomly assigned to one of two conditions: a) experimental condition (primed to worsen the emotions of someone else) and, b) control condition. </w:t>
      </w:r>
    </w:p>
    <w:p w:rsidR="00FB1389" w:rsidRPr="00D05EBD" w:rsidRDefault="00FB1389" w:rsidP="00AE640B">
      <w:pPr>
        <w:spacing w:line="480" w:lineRule="auto"/>
        <w:ind w:firstLine="720"/>
        <w:jc w:val="both"/>
        <w:rPr>
          <w:rFonts w:cs="Times New Roman"/>
          <w:i/>
          <w:sz w:val="24"/>
          <w:szCs w:val="24"/>
        </w:rPr>
      </w:pPr>
      <w:r w:rsidRPr="00D05EBD">
        <w:rPr>
          <w:rFonts w:cs="Times New Roman"/>
          <w:sz w:val="24"/>
          <w:szCs w:val="24"/>
        </w:rPr>
        <w:tab/>
      </w:r>
      <w:r w:rsidRPr="00D05EBD">
        <w:rPr>
          <w:rFonts w:cs="Times New Roman"/>
          <w:sz w:val="24"/>
          <w:szCs w:val="24"/>
        </w:rPr>
        <w:tab/>
      </w:r>
      <w:r w:rsidR="00093982">
        <w:rPr>
          <w:rFonts w:cs="Times New Roman"/>
          <w:i/>
          <w:sz w:val="24"/>
          <w:szCs w:val="24"/>
        </w:rPr>
        <w:t>3.3</w:t>
      </w:r>
      <w:r w:rsidRPr="00D05EBD">
        <w:rPr>
          <w:rFonts w:cs="Times New Roman"/>
          <w:i/>
          <w:sz w:val="24"/>
          <w:szCs w:val="24"/>
        </w:rPr>
        <w:t>.2.1.2 Procedure</w:t>
      </w: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t>Participants were recruited through personal contacts and through the volunteers list from the University of Sheffield.  To take part in the study, participants were required to be native English speakers. The materials and procedure were the same as in Study 2a. Participants were invited via email to take part in a study allegedly aimed at</w:t>
      </w:r>
      <w:r w:rsidRPr="00D05EBD">
        <w:rPr>
          <w:sz w:val="24"/>
          <w:szCs w:val="24"/>
        </w:rPr>
        <w:t xml:space="preserve"> investigating the use of English language on native English speakers</w:t>
      </w:r>
      <w:r w:rsidRPr="00D05EBD">
        <w:rPr>
          <w:rFonts w:cs="Times New Roman"/>
          <w:sz w:val="24"/>
          <w:szCs w:val="24"/>
        </w:rPr>
        <w:t xml:space="preserve">. Once they agreed to take part they came to the department of Psychology at the University of Sheffield. Participants read the information sheet and signed the consent form. As in Study 2a, participants </w:t>
      </w:r>
      <w:r w:rsidRPr="00D05EBD">
        <w:rPr>
          <w:sz w:val="24"/>
          <w:szCs w:val="24"/>
        </w:rPr>
        <w:t xml:space="preserve">were informed their answers would be anonymous and that the study had received ethical approval from the Research Ethics Committee in the </w:t>
      </w:r>
      <w:r w:rsidRPr="00D05EBD">
        <w:rPr>
          <w:sz w:val="24"/>
          <w:szCs w:val="24"/>
        </w:rPr>
        <w:lastRenderedPageBreak/>
        <w:t xml:space="preserve">Department of Psychology at the University of Sheffield. </w:t>
      </w:r>
      <w:r w:rsidRPr="00D05EBD">
        <w:rPr>
          <w:rFonts w:cs="Times New Roman"/>
          <w:sz w:val="24"/>
          <w:szCs w:val="24"/>
        </w:rPr>
        <w:t>After signing the cons</w:t>
      </w:r>
      <w:r w:rsidR="00634BBA">
        <w:rPr>
          <w:rFonts w:cs="Times New Roman"/>
          <w:sz w:val="24"/>
          <w:szCs w:val="24"/>
        </w:rPr>
        <w:t>ent form, participants solved</w:t>
      </w:r>
      <w:r w:rsidRPr="00D05EBD">
        <w:rPr>
          <w:rFonts w:cs="Times New Roman"/>
          <w:sz w:val="24"/>
          <w:szCs w:val="24"/>
        </w:rPr>
        <w:t xml:space="preserve"> the SST and then the script task. The script task was the same as the one used in Study 2a with the only difference that the IER goal option was removed. The instructions were as follows: </w:t>
      </w:r>
      <w:r w:rsidRPr="00D05EBD">
        <w:rPr>
          <w:rFonts w:cs="Times New Roman"/>
          <w:i/>
          <w:sz w:val="24"/>
          <w:szCs w:val="24"/>
        </w:rPr>
        <w:t xml:space="preserve"> </w:t>
      </w:r>
      <w:r w:rsidRPr="00D05EBD">
        <w:rPr>
          <w:i/>
          <w:sz w:val="24"/>
          <w:szCs w:val="24"/>
          <w:lang w:val="en-US"/>
        </w:rPr>
        <w:t>This task involves writing a script. There are just two characters in the play, a 32-year-old woman and a 25-year-old man. You will play one of the characters. Your play must also involve an object, and a situation. Please choose which character you would like to play, along with an object and a situation below. Then please write a short script (one A4 page) in the form of a dialogue between the two characters. Try to write as much as possible. Don’t forget to include your chosen object and situation.</w:t>
      </w:r>
      <w:r w:rsidRPr="00D05EBD">
        <w:rPr>
          <w:sz w:val="24"/>
          <w:szCs w:val="24"/>
          <w:lang w:val="en-US"/>
        </w:rPr>
        <w:t xml:space="preserve"> The</w:t>
      </w:r>
      <w:r w:rsidRPr="00D05EBD">
        <w:rPr>
          <w:rFonts w:cs="Times New Roman"/>
          <w:sz w:val="24"/>
          <w:szCs w:val="24"/>
        </w:rPr>
        <w:t xml:space="preserve"> sections on the script task were the same as the sections in Study 2a: </w:t>
      </w:r>
      <w:proofErr w:type="spellStart"/>
      <w:r w:rsidRPr="00D05EBD">
        <w:rPr>
          <w:rFonts w:cs="Times New Roman"/>
          <w:sz w:val="24"/>
          <w:szCs w:val="24"/>
        </w:rPr>
        <w:t>i</w:t>
      </w:r>
      <w:proofErr w:type="spellEnd"/>
      <w:r w:rsidRPr="00D05EBD">
        <w:rPr>
          <w:rFonts w:cs="Times New Roman"/>
          <w:sz w:val="24"/>
          <w:szCs w:val="24"/>
        </w:rPr>
        <w:t xml:space="preserve">) the instructions of the script, ii) the section where participants had to choose the character, an object, and a situation, and iii) blank space for participants to write the script. After, participants completed the Social-Desirability Short Scale and were funnel debriefed. </w:t>
      </w:r>
      <w:r w:rsidR="00886568">
        <w:rPr>
          <w:rFonts w:cs="Times New Roman"/>
          <w:sz w:val="24"/>
          <w:szCs w:val="24"/>
        </w:rPr>
        <w:t>Using the same debrief procedure as in study 2a, it was found that n</w:t>
      </w:r>
      <w:r w:rsidRPr="00D05EBD">
        <w:rPr>
          <w:rFonts w:cs="Times New Roman"/>
          <w:sz w:val="24"/>
          <w:szCs w:val="24"/>
        </w:rPr>
        <w:t>o participant showed any awareness with respect to the purpose of the experiment. Finally, the purpose of the experiment was explained to participants.</w:t>
      </w:r>
    </w:p>
    <w:p w:rsidR="00FB1389" w:rsidRPr="00D05EBD" w:rsidRDefault="00093982" w:rsidP="00AE640B">
      <w:pPr>
        <w:spacing w:line="480" w:lineRule="auto"/>
        <w:ind w:left="1440" w:firstLine="720"/>
        <w:jc w:val="both"/>
        <w:rPr>
          <w:rFonts w:cs="Times New Roman"/>
          <w:i/>
          <w:sz w:val="24"/>
          <w:szCs w:val="24"/>
        </w:rPr>
      </w:pPr>
      <w:r>
        <w:rPr>
          <w:rFonts w:cs="Times New Roman"/>
          <w:i/>
          <w:sz w:val="24"/>
          <w:szCs w:val="24"/>
        </w:rPr>
        <w:t>3.3</w:t>
      </w:r>
      <w:r w:rsidR="00FB1389" w:rsidRPr="00D05EBD">
        <w:rPr>
          <w:rFonts w:cs="Times New Roman"/>
          <w:i/>
          <w:sz w:val="24"/>
          <w:szCs w:val="24"/>
        </w:rPr>
        <w:t>.2.1.3 Coding strategy</w:t>
      </w:r>
    </w:p>
    <w:p w:rsidR="00D04317" w:rsidRPr="00D05EBD" w:rsidRDefault="00FB1389" w:rsidP="00886568">
      <w:pPr>
        <w:spacing w:line="480" w:lineRule="auto"/>
        <w:ind w:firstLine="720"/>
        <w:jc w:val="both"/>
        <w:rPr>
          <w:rFonts w:cs="Times New Roman"/>
          <w:sz w:val="24"/>
          <w:szCs w:val="24"/>
        </w:rPr>
      </w:pPr>
      <w:r w:rsidRPr="00D05EBD">
        <w:rPr>
          <w:rFonts w:cs="Times New Roman"/>
          <w:sz w:val="24"/>
          <w:szCs w:val="24"/>
        </w:rPr>
        <w:t>The strategy for coding the scripts of Study 2b was the same as the strategy used in Study 2a. The scripts were first coded by the experimenter and then second coded by a person who was blind to the purpose of this study. Importantly, the second coder was different from the coder in Study 2a. Both coders looked for instances of IER in the script using Quantitative Content Analysis as the method. The coders assigned each instance of IER into one of the 6 IER categories (</w:t>
      </w:r>
      <w:proofErr w:type="spellStart"/>
      <w:r w:rsidRPr="00D05EBD">
        <w:rPr>
          <w:rFonts w:cs="Times New Roman"/>
          <w:sz w:val="24"/>
          <w:szCs w:val="24"/>
        </w:rPr>
        <w:t>URPEa</w:t>
      </w:r>
      <w:proofErr w:type="spellEnd"/>
      <w:r w:rsidRPr="00D05EBD">
        <w:rPr>
          <w:rFonts w:cs="Times New Roman"/>
          <w:sz w:val="24"/>
          <w:szCs w:val="24"/>
        </w:rPr>
        <w:t xml:space="preserve">, </w:t>
      </w:r>
      <w:proofErr w:type="spellStart"/>
      <w:r w:rsidRPr="00D05EBD">
        <w:rPr>
          <w:rFonts w:cs="Times New Roman"/>
          <w:sz w:val="24"/>
          <w:szCs w:val="24"/>
        </w:rPr>
        <w:t>URPEt</w:t>
      </w:r>
      <w:proofErr w:type="spellEnd"/>
      <w:r w:rsidRPr="00D05EBD">
        <w:rPr>
          <w:rFonts w:cs="Times New Roman"/>
          <w:sz w:val="24"/>
          <w:szCs w:val="24"/>
        </w:rPr>
        <w:t xml:space="preserve">, </w:t>
      </w:r>
      <w:proofErr w:type="spellStart"/>
      <w:r w:rsidRPr="00D05EBD">
        <w:rPr>
          <w:rFonts w:cs="Times New Roman"/>
          <w:sz w:val="24"/>
          <w:szCs w:val="24"/>
        </w:rPr>
        <w:t>URNEa</w:t>
      </w:r>
      <w:proofErr w:type="spellEnd"/>
      <w:r w:rsidRPr="00D05EBD">
        <w:rPr>
          <w:rFonts w:cs="Times New Roman"/>
          <w:sz w:val="24"/>
          <w:szCs w:val="24"/>
        </w:rPr>
        <w:t xml:space="preserve">, </w:t>
      </w:r>
      <w:proofErr w:type="spellStart"/>
      <w:r w:rsidRPr="00D05EBD">
        <w:rPr>
          <w:rFonts w:cs="Times New Roman"/>
          <w:sz w:val="24"/>
          <w:szCs w:val="24"/>
        </w:rPr>
        <w:t>URNEt</w:t>
      </w:r>
      <w:proofErr w:type="spellEnd"/>
      <w:r w:rsidRPr="00D05EBD">
        <w:rPr>
          <w:rFonts w:cs="Times New Roman"/>
          <w:sz w:val="24"/>
          <w:szCs w:val="24"/>
        </w:rPr>
        <w:t xml:space="preserve">, </w:t>
      </w:r>
      <w:proofErr w:type="spellStart"/>
      <w:r w:rsidRPr="00D05EBD">
        <w:rPr>
          <w:rFonts w:cs="Times New Roman"/>
          <w:sz w:val="24"/>
          <w:szCs w:val="24"/>
        </w:rPr>
        <w:t>DRNEa</w:t>
      </w:r>
      <w:proofErr w:type="spellEnd"/>
      <w:r w:rsidRPr="00D05EBD">
        <w:rPr>
          <w:rFonts w:cs="Times New Roman"/>
          <w:sz w:val="24"/>
          <w:szCs w:val="24"/>
        </w:rPr>
        <w:t xml:space="preserve">, </w:t>
      </w:r>
      <w:proofErr w:type="spellStart"/>
      <w:r w:rsidRPr="00D05EBD">
        <w:rPr>
          <w:rFonts w:cs="Times New Roman"/>
          <w:sz w:val="24"/>
          <w:szCs w:val="24"/>
        </w:rPr>
        <w:t>DRNEt</w:t>
      </w:r>
      <w:proofErr w:type="spellEnd"/>
      <w:r w:rsidRPr="00D05EBD">
        <w:rPr>
          <w:rFonts w:cs="Times New Roman"/>
          <w:sz w:val="24"/>
          <w:szCs w:val="24"/>
        </w:rPr>
        <w:t xml:space="preserve">. The </w:t>
      </w:r>
      <w:proofErr w:type="spellStart"/>
      <w:r w:rsidRPr="00D05EBD">
        <w:rPr>
          <w:rFonts w:cs="Times New Roman"/>
          <w:sz w:val="24"/>
          <w:szCs w:val="24"/>
        </w:rPr>
        <w:lastRenderedPageBreak/>
        <w:t>Intraclass</w:t>
      </w:r>
      <w:proofErr w:type="spellEnd"/>
      <w:r w:rsidRPr="00D05EBD">
        <w:rPr>
          <w:rFonts w:cs="Times New Roman"/>
          <w:sz w:val="24"/>
          <w:szCs w:val="24"/>
        </w:rPr>
        <w:t xml:space="preserve"> Correlation Coefficient (ICC) values ranged from strong to almost perfect, reflecting both coders classified the IER on the scripts in a very similar way. The I</w:t>
      </w:r>
      <w:r w:rsidR="003C532B">
        <w:rPr>
          <w:rFonts w:cs="Times New Roman"/>
          <w:sz w:val="24"/>
          <w:szCs w:val="24"/>
        </w:rPr>
        <w:t>CC values can be seen in Table III</w:t>
      </w:r>
      <w:r w:rsidRPr="00D05EBD">
        <w:rPr>
          <w:rFonts w:cs="Times New Roman"/>
          <w:sz w:val="24"/>
          <w:szCs w:val="24"/>
        </w:rPr>
        <w:t>.5.</w:t>
      </w:r>
    </w:p>
    <w:tbl>
      <w:tblPr>
        <w:tblW w:w="5000" w:type="pct"/>
        <w:tblCellMar>
          <w:left w:w="70" w:type="dxa"/>
          <w:right w:w="70" w:type="dxa"/>
        </w:tblCellMar>
        <w:tblLook w:val="04A0"/>
      </w:tblPr>
      <w:tblGrid>
        <w:gridCol w:w="1593"/>
        <w:gridCol w:w="1201"/>
        <w:gridCol w:w="1201"/>
        <w:gridCol w:w="1201"/>
        <w:gridCol w:w="1201"/>
        <w:gridCol w:w="1203"/>
        <w:gridCol w:w="1206"/>
      </w:tblGrid>
      <w:tr w:rsidR="00FB1389" w:rsidRPr="003C532B" w:rsidTr="00D05EBD">
        <w:trPr>
          <w:trHeight w:val="390"/>
        </w:trPr>
        <w:tc>
          <w:tcPr>
            <w:tcW w:w="5000" w:type="pct"/>
            <w:gridSpan w:val="7"/>
            <w:tcBorders>
              <w:top w:val="nil"/>
              <w:left w:val="nil"/>
              <w:bottom w:val="single" w:sz="4" w:space="0" w:color="auto"/>
              <w:right w:val="nil"/>
            </w:tcBorders>
            <w:shd w:val="clear" w:color="auto" w:fill="auto"/>
            <w:vAlign w:val="bottom"/>
            <w:hideMark/>
          </w:tcPr>
          <w:p w:rsidR="00FB1389" w:rsidRPr="003C532B" w:rsidRDefault="003C532B" w:rsidP="003C532B">
            <w:pPr>
              <w:spacing w:after="0" w:line="240" w:lineRule="auto"/>
              <w:jc w:val="both"/>
              <w:rPr>
                <w:rFonts w:eastAsia="Times New Roman" w:cs="Times New Roman"/>
                <w:color w:val="000000"/>
                <w:lang w:eastAsia="es-ES"/>
              </w:rPr>
            </w:pPr>
            <w:r>
              <w:rPr>
                <w:rFonts w:eastAsia="Times New Roman" w:cs="Times New Roman"/>
                <w:color w:val="000000"/>
                <w:lang w:eastAsia="es-ES"/>
              </w:rPr>
              <w:t>Table III</w:t>
            </w:r>
            <w:r w:rsidR="00FB1389" w:rsidRPr="003C532B">
              <w:rPr>
                <w:rFonts w:eastAsia="Times New Roman" w:cs="Times New Roman"/>
                <w:color w:val="000000"/>
                <w:lang w:eastAsia="es-ES"/>
              </w:rPr>
              <w:t>.5 ICC values</w:t>
            </w:r>
          </w:p>
        </w:tc>
      </w:tr>
      <w:tr w:rsidR="00FB1389" w:rsidRPr="003C532B" w:rsidTr="00D05EBD">
        <w:trPr>
          <w:trHeight w:val="345"/>
        </w:trPr>
        <w:tc>
          <w:tcPr>
            <w:tcW w:w="904" w:type="pct"/>
            <w:tcBorders>
              <w:top w:val="nil"/>
              <w:left w:val="nil"/>
              <w:bottom w:val="single" w:sz="4" w:space="0" w:color="auto"/>
              <w:right w:val="nil"/>
            </w:tcBorders>
            <w:shd w:val="clear" w:color="auto" w:fill="auto"/>
            <w:noWrap/>
            <w:vAlign w:val="bottom"/>
            <w:hideMark/>
          </w:tcPr>
          <w:p w:rsidR="00FB1389" w:rsidRPr="003C532B" w:rsidRDefault="00FB1389" w:rsidP="003C532B">
            <w:pPr>
              <w:spacing w:after="0" w:line="240" w:lineRule="auto"/>
              <w:jc w:val="both"/>
              <w:rPr>
                <w:rFonts w:eastAsia="Times New Roman" w:cs="Times New Roman"/>
                <w:color w:val="000000"/>
                <w:lang w:eastAsia="es-ES"/>
              </w:rPr>
            </w:pPr>
            <w:r w:rsidRPr="003C532B">
              <w:rPr>
                <w:rFonts w:eastAsia="Times New Roman" w:cs="Times New Roman"/>
                <w:color w:val="000000"/>
                <w:lang w:eastAsia="es-ES"/>
              </w:rPr>
              <w:t> </w:t>
            </w:r>
          </w:p>
        </w:tc>
        <w:tc>
          <w:tcPr>
            <w:tcW w:w="682" w:type="pct"/>
            <w:tcBorders>
              <w:top w:val="nil"/>
              <w:left w:val="nil"/>
              <w:bottom w:val="single" w:sz="4" w:space="0" w:color="auto"/>
              <w:right w:val="nil"/>
            </w:tcBorders>
            <w:shd w:val="clear" w:color="auto" w:fill="auto"/>
            <w:vAlign w:val="center"/>
            <w:hideMark/>
          </w:tcPr>
          <w:p w:rsidR="00FB1389" w:rsidRPr="003C532B" w:rsidRDefault="00FB1389" w:rsidP="003C532B">
            <w:pPr>
              <w:spacing w:after="0" w:line="240" w:lineRule="auto"/>
              <w:jc w:val="both"/>
              <w:rPr>
                <w:rFonts w:eastAsia="Times New Roman" w:cs="Times New Roman"/>
                <w:color w:val="000000"/>
                <w:lang w:eastAsia="es-ES"/>
              </w:rPr>
            </w:pPr>
            <w:proofErr w:type="spellStart"/>
            <w:r w:rsidRPr="003C532B">
              <w:rPr>
                <w:rFonts w:eastAsia="Times New Roman" w:cs="Times New Roman"/>
                <w:color w:val="000000"/>
                <w:lang w:eastAsia="es-ES"/>
              </w:rPr>
              <w:t>URPEt</w:t>
            </w:r>
            <w:proofErr w:type="spellEnd"/>
          </w:p>
        </w:tc>
        <w:tc>
          <w:tcPr>
            <w:tcW w:w="682" w:type="pct"/>
            <w:tcBorders>
              <w:top w:val="nil"/>
              <w:left w:val="nil"/>
              <w:bottom w:val="single" w:sz="4" w:space="0" w:color="auto"/>
              <w:right w:val="nil"/>
            </w:tcBorders>
            <w:shd w:val="clear" w:color="auto" w:fill="auto"/>
            <w:vAlign w:val="center"/>
            <w:hideMark/>
          </w:tcPr>
          <w:p w:rsidR="00FB1389" w:rsidRPr="003C532B" w:rsidRDefault="00FB1389" w:rsidP="003C532B">
            <w:pPr>
              <w:spacing w:after="0" w:line="240" w:lineRule="auto"/>
              <w:jc w:val="both"/>
              <w:rPr>
                <w:rFonts w:eastAsia="Times New Roman" w:cs="Times New Roman"/>
                <w:color w:val="000000"/>
                <w:lang w:eastAsia="es-ES"/>
              </w:rPr>
            </w:pPr>
            <w:proofErr w:type="spellStart"/>
            <w:r w:rsidRPr="003C532B">
              <w:rPr>
                <w:rFonts w:eastAsia="Times New Roman" w:cs="Times New Roman"/>
                <w:color w:val="000000"/>
                <w:lang w:eastAsia="es-ES"/>
              </w:rPr>
              <w:t>URPEa</w:t>
            </w:r>
            <w:proofErr w:type="spellEnd"/>
          </w:p>
        </w:tc>
        <w:tc>
          <w:tcPr>
            <w:tcW w:w="682" w:type="pct"/>
            <w:tcBorders>
              <w:top w:val="nil"/>
              <w:left w:val="nil"/>
              <w:bottom w:val="single" w:sz="4" w:space="0" w:color="auto"/>
              <w:right w:val="nil"/>
            </w:tcBorders>
            <w:shd w:val="clear" w:color="auto" w:fill="auto"/>
            <w:vAlign w:val="center"/>
            <w:hideMark/>
          </w:tcPr>
          <w:p w:rsidR="00FB1389" w:rsidRPr="003C532B" w:rsidRDefault="00FB1389" w:rsidP="003C532B">
            <w:pPr>
              <w:spacing w:after="0" w:line="240" w:lineRule="auto"/>
              <w:jc w:val="both"/>
              <w:rPr>
                <w:rFonts w:eastAsia="Times New Roman" w:cs="Times New Roman"/>
                <w:color w:val="000000"/>
                <w:lang w:eastAsia="es-ES"/>
              </w:rPr>
            </w:pPr>
            <w:proofErr w:type="spellStart"/>
            <w:r w:rsidRPr="003C532B">
              <w:rPr>
                <w:rFonts w:eastAsia="Times New Roman" w:cs="Times New Roman"/>
                <w:color w:val="000000"/>
                <w:lang w:eastAsia="es-ES"/>
              </w:rPr>
              <w:t>URNEt</w:t>
            </w:r>
            <w:proofErr w:type="spellEnd"/>
          </w:p>
        </w:tc>
        <w:tc>
          <w:tcPr>
            <w:tcW w:w="682" w:type="pct"/>
            <w:tcBorders>
              <w:top w:val="nil"/>
              <w:left w:val="nil"/>
              <w:bottom w:val="single" w:sz="4" w:space="0" w:color="auto"/>
              <w:right w:val="nil"/>
            </w:tcBorders>
            <w:shd w:val="clear" w:color="auto" w:fill="auto"/>
            <w:vAlign w:val="center"/>
            <w:hideMark/>
          </w:tcPr>
          <w:p w:rsidR="00FB1389" w:rsidRPr="003C532B" w:rsidRDefault="00FB1389" w:rsidP="003C532B">
            <w:pPr>
              <w:spacing w:after="0" w:line="240" w:lineRule="auto"/>
              <w:jc w:val="both"/>
              <w:rPr>
                <w:rFonts w:eastAsia="Times New Roman" w:cs="Times New Roman"/>
                <w:color w:val="000000"/>
                <w:lang w:eastAsia="es-ES"/>
              </w:rPr>
            </w:pPr>
            <w:proofErr w:type="spellStart"/>
            <w:r w:rsidRPr="003C532B">
              <w:rPr>
                <w:rFonts w:eastAsia="Times New Roman" w:cs="Times New Roman"/>
                <w:color w:val="000000"/>
                <w:lang w:eastAsia="es-ES"/>
              </w:rPr>
              <w:t>URNEa</w:t>
            </w:r>
            <w:proofErr w:type="spellEnd"/>
          </w:p>
        </w:tc>
        <w:tc>
          <w:tcPr>
            <w:tcW w:w="683" w:type="pct"/>
            <w:tcBorders>
              <w:top w:val="nil"/>
              <w:left w:val="nil"/>
              <w:bottom w:val="single" w:sz="4" w:space="0" w:color="auto"/>
              <w:right w:val="nil"/>
            </w:tcBorders>
            <w:shd w:val="clear" w:color="auto" w:fill="auto"/>
            <w:vAlign w:val="center"/>
            <w:hideMark/>
          </w:tcPr>
          <w:p w:rsidR="00FB1389" w:rsidRPr="003C532B" w:rsidRDefault="00FB1389" w:rsidP="003C532B">
            <w:pPr>
              <w:spacing w:after="0" w:line="240" w:lineRule="auto"/>
              <w:jc w:val="both"/>
              <w:rPr>
                <w:rFonts w:eastAsia="Times New Roman" w:cs="Times New Roman"/>
                <w:color w:val="000000"/>
                <w:lang w:eastAsia="es-ES"/>
              </w:rPr>
            </w:pPr>
            <w:proofErr w:type="spellStart"/>
            <w:r w:rsidRPr="003C532B">
              <w:rPr>
                <w:rFonts w:eastAsia="Times New Roman" w:cs="Times New Roman"/>
                <w:color w:val="000000"/>
                <w:lang w:eastAsia="es-ES"/>
              </w:rPr>
              <w:t>DRNEt</w:t>
            </w:r>
            <w:proofErr w:type="spellEnd"/>
          </w:p>
        </w:tc>
        <w:tc>
          <w:tcPr>
            <w:tcW w:w="686" w:type="pct"/>
            <w:tcBorders>
              <w:top w:val="nil"/>
              <w:left w:val="nil"/>
              <w:bottom w:val="single" w:sz="4" w:space="0" w:color="auto"/>
              <w:right w:val="nil"/>
            </w:tcBorders>
            <w:shd w:val="clear" w:color="auto" w:fill="auto"/>
            <w:vAlign w:val="center"/>
            <w:hideMark/>
          </w:tcPr>
          <w:p w:rsidR="00FB1389" w:rsidRPr="003C532B" w:rsidRDefault="00FB1389" w:rsidP="003C532B">
            <w:pPr>
              <w:spacing w:after="0" w:line="240" w:lineRule="auto"/>
              <w:jc w:val="both"/>
              <w:rPr>
                <w:rFonts w:eastAsia="Times New Roman" w:cs="Times New Roman"/>
                <w:color w:val="000000"/>
                <w:lang w:eastAsia="es-ES"/>
              </w:rPr>
            </w:pPr>
            <w:proofErr w:type="spellStart"/>
            <w:r w:rsidRPr="003C532B">
              <w:rPr>
                <w:rFonts w:eastAsia="Times New Roman" w:cs="Times New Roman"/>
                <w:color w:val="000000"/>
                <w:lang w:eastAsia="es-ES"/>
              </w:rPr>
              <w:t>DRNEa</w:t>
            </w:r>
            <w:proofErr w:type="spellEnd"/>
          </w:p>
        </w:tc>
      </w:tr>
      <w:tr w:rsidR="00FB1389" w:rsidRPr="003C532B" w:rsidTr="00D05EBD">
        <w:trPr>
          <w:trHeight w:val="600"/>
        </w:trPr>
        <w:tc>
          <w:tcPr>
            <w:tcW w:w="904" w:type="pct"/>
            <w:tcBorders>
              <w:top w:val="nil"/>
              <w:left w:val="nil"/>
              <w:bottom w:val="nil"/>
              <w:right w:val="nil"/>
            </w:tcBorders>
            <w:shd w:val="clear" w:color="auto" w:fill="auto"/>
            <w:vAlign w:val="center"/>
            <w:hideMark/>
          </w:tcPr>
          <w:p w:rsidR="00FB1389" w:rsidRPr="003C532B" w:rsidRDefault="00FB1389" w:rsidP="003C532B">
            <w:pPr>
              <w:spacing w:after="0" w:line="240" w:lineRule="auto"/>
              <w:jc w:val="both"/>
              <w:rPr>
                <w:rFonts w:eastAsia="Times New Roman" w:cs="Times New Roman"/>
                <w:color w:val="000000"/>
                <w:lang w:eastAsia="es-ES"/>
              </w:rPr>
            </w:pPr>
            <w:r w:rsidRPr="003C532B">
              <w:rPr>
                <w:rFonts w:eastAsia="Times New Roman" w:cs="Times New Roman"/>
                <w:color w:val="000000"/>
                <w:lang w:eastAsia="es-ES"/>
              </w:rPr>
              <w:t>Absolute agreement</w:t>
            </w:r>
          </w:p>
        </w:tc>
        <w:tc>
          <w:tcPr>
            <w:tcW w:w="682" w:type="pct"/>
            <w:tcBorders>
              <w:top w:val="nil"/>
              <w:left w:val="nil"/>
              <w:bottom w:val="nil"/>
              <w:right w:val="nil"/>
            </w:tcBorders>
            <w:shd w:val="clear" w:color="auto" w:fill="auto"/>
            <w:noWrap/>
            <w:vAlign w:val="center"/>
            <w:hideMark/>
          </w:tcPr>
          <w:p w:rsidR="00FB1389" w:rsidRPr="003C532B" w:rsidRDefault="00FB1389" w:rsidP="003C532B">
            <w:pPr>
              <w:spacing w:after="0" w:line="240" w:lineRule="auto"/>
              <w:jc w:val="both"/>
              <w:rPr>
                <w:rFonts w:eastAsia="Times New Roman" w:cs="Times New Roman"/>
                <w:color w:val="000000"/>
                <w:lang w:eastAsia="es-ES"/>
              </w:rPr>
            </w:pPr>
            <w:r w:rsidRPr="003C532B">
              <w:rPr>
                <w:rFonts w:eastAsia="Times New Roman" w:cs="Times New Roman"/>
                <w:color w:val="000000"/>
                <w:lang w:eastAsia="es-ES"/>
              </w:rPr>
              <w:t>0.87</w:t>
            </w:r>
          </w:p>
        </w:tc>
        <w:tc>
          <w:tcPr>
            <w:tcW w:w="682" w:type="pct"/>
            <w:tcBorders>
              <w:top w:val="nil"/>
              <w:left w:val="nil"/>
              <w:bottom w:val="nil"/>
              <w:right w:val="nil"/>
            </w:tcBorders>
            <w:shd w:val="clear" w:color="auto" w:fill="auto"/>
            <w:noWrap/>
            <w:vAlign w:val="center"/>
            <w:hideMark/>
          </w:tcPr>
          <w:p w:rsidR="00FB1389" w:rsidRPr="003C532B" w:rsidRDefault="00FB1389" w:rsidP="003C532B">
            <w:pPr>
              <w:spacing w:after="0" w:line="240" w:lineRule="auto"/>
              <w:jc w:val="both"/>
              <w:rPr>
                <w:rFonts w:eastAsia="Times New Roman" w:cs="Times New Roman"/>
                <w:color w:val="000000"/>
                <w:lang w:eastAsia="es-ES"/>
              </w:rPr>
            </w:pPr>
            <w:r w:rsidRPr="003C532B">
              <w:rPr>
                <w:rFonts w:eastAsia="Times New Roman" w:cs="Times New Roman"/>
                <w:color w:val="000000"/>
                <w:lang w:eastAsia="es-ES"/>
              </w:rPr>
              <w:t>0.85</w:t>
            </w:r>
          </w:p>
        </w:tc>
        <w:tc>
          <w:tcPr>
            <w:tcW w:w="682" w:type="pct"/>
            <w:tcBorders>
              <w:top w:val="nil"/>
              <w:left w:val="nil"/>
              <w:bottom w:val="nil"/>
              <w:right w:val="nil"/>
            </w:tcBorders>
            <w:shd w:val="clear" w:color="auto" w:fill="auto"/>
            <w:noWrap/>
            <w:vAlign w:val="center"/>
            <w:hideMark/>
          </w:tcPr>
          <w:p w:rsidR="00FB1389" w:rsidRPr="003C532B" w:rsidRDefault="00FB1389" w:rsidP="003C532B">
            <w:pPr>
              <w:spacing w:after="0" w:line="240" w:lineRule="auto"/>
              <w:jc w:val="both"/>
              <w:rPr>
                <w:rFonts w:eastAsia="Times New Roman" w:cs="Times New Roman"/>
                <w:color w:val="000000"/>
                <w:lang w:eastAsia="es-ES"/>
              </w:rPr>
            </w:pPr>
            <w:r w:rsidRPr="003C532B">
              <w:rPr>
                <w:rFonts w:eastAsia="Times New Roman" w:cs="Times New Roman"/>
                <w:color w:val="000000"/>
                <w:lang w:eastAsia="es-ES"/>
              </w:rPr>
              <w:t>0.99</w:t>
            </w:r>
          </w:p>
        </w:tc>
        <w:tc>
          <w:tcPr>
            <w:tcW w:w="682" w:type="pct"/>
            <w:tcBorders>
              <w:top w:val="nil"/>
              <w:left w:val="nil"/>
              <w:bottom w:val="nil"/>
              <w:right w:val="nil"/>
            </w:tcBorders>
            <w:shd w:val="clear" w:color="auto" w:fill="auto"/>
            <w:noWrap/>
            <w:vAlign w:val="center"/>
            <w:hideMark/>
          </w:tcPr>
          <w:p w:rsidR="00FB1389" w:rsidRPr="003C532B" w:rsidRDefault="00FB1389" w:rsidP="003C532B">
            <w:pPr>
              <w:spacing w:after="0" w:line="240" w:lineRule="auto"/>
              <w:jc w:val="both"/>
              <w:rPr>
                <w:rFonts w:eastAsia="Times New Roman" w:cs="Times New Roman"/>
                <w:color w:val="000000"/>
                <w:lang w:eastAsia="es-ES"/>
              </w:rPr>
            </w:pPr>
            <w:r w:rsidRPr="003C532B">
              <w:rPr>
                <w:rFonts w:eastAsia="Times New Roman" w:cs="Times New Roman"/>
                <w:color w:val="000000"/>
                <w:lang w:eastAsia="es-ES"/>
              </w:rPr>
              <w:t>0.97</w:t>
            </w:r>
          </w:p>
        </w:tc>
        <w:tc>
          <w:tcPr>
            <w:tcW w:w="683" w:type="pct"/>
            <w:tcBorders>
              <w:top w:val="nil"/>
              <w:left w:val="nil"/>
              <w:bottom w:val="nil"/>
              <w:right w:val="nil"/>
            </w:tcBorders>
            <w:shd w:val="clear" w:color="auto" w:fill="auto"/>
            <w:noWrap/>
            <w:vAlign w:val="center"/>
            <w:hideMark/>
          </w:tcPr>
          <w:p w:rsidR="00FB1389" w:rsidRPr="003C532B" w:rsidRDefault="00FB1389" w:rsidP="003C532B">
            <w:pPr>
              <w:spacing w:after="0" w:line="240" w:lineRule="auto"/>
              <w:jc w:val="both"/>
              <w:rPr>
                <w:rFonts w:eastAsia="Times New Roman" w:cs="Times New Roman"/>
                <w:color w:val="000000"/>
                <w:lang w:eastAsia="es-ES"/>
              </w:rPr>
            </w:pPr>
            <w:r w:rsidRPr="003C532B">
              <w:rPr>
                <w:rFonts w:eastAsia="Times New Roman" w:cs="Times New Roman"/>
                <w:color w:val="000000"/>
                <w:lang w:eastAsia="es-ES"/>
              </w:rPr>
              <w:t>0.96</w:t>
            </w:r>
          </w:p>
        </w:tc>
        <w:tc>
          <w:tcPr>
            <w:tcW w:w="686" w:type="pct"/>
            <w:tcBorders>
              <w:top w:val="nil"/>
              <w:left w:val="nil"/>
              <w:bottom w:val="nil"/>
              <w:right w:val="nil"/>
            </w:tcBorders>
            <w:shd w:val="clear" w:color="auto" w:fill="auto"/>
            <w:noWrap/>
            <w:vAlign w:val="center"/>
            <w:hideMark/>
          </w:tcPr>
          <w:p w:rsidR="00FB1389" w:rsidRPr="003C532B" w:rsidRDefault="00FB1389" w:rsidP="003C532B">
            <w:pPr>
              <w:spacing w:after="0" w:line="240" w:lineRule="auto"/>
              <w:jc w:val="both"/>
              <w:rPr>
                <w:rFonts w:eastAsia="Times New Roman" w:cs="Times New Roman"/>
                <w:color w:val="000000"/>
                <w:lang w:eastAsia="es-ES"/>
              </w:rPr>
            </w:pPr>
            <w:r w:rsidRPr="003C532B">
              <w:rPr>
                <w:rFonts w:eastAsia="Times New Roman" w:cs="Times New Roman"/>
                <w:color w:val="000000"/>
                <w:lang w:eastAsia="es-ES"/>
              </w:rPr>
              <w:t>0.79</w:t>
            </w:r>
          </w:p>
        </w:tc>
      </w:tr>
      <w:tr w:rsidR="00FB1389" w:rsidRPr="003C532B" w:rsidTr="00D05EBD">
        <w:trPr>
          <w:trHeight w:val="615"/>
        </w:trPr>
        <w:tc>
          <w:tcPr>
            <w:tcW w:w="904" w:type="pct"/>
            <w:tcBorders>
              <w:top w:val="nil"/>
              <w:left w:val="nil"/>
              <w:bottom w:val="double" w:sz="6" w:space="0" w:color="auto"/>
              <w:right w:val="nil"/>
            </w:tcBorders>
            <w:shd w:val="clear" w:color="auto" w:fill="auto"/>
            <w:vAlign w:val="center"/>
            <w:hideMark/>
          </w:tcPr>
          <w:p w:rsidR="00FB1389" w:rsidRPr="003C532B" w:rsidRDefault="00FB1389" w:rsidP="003C532B">
            <w:pPr>
              <w:spacing w:after="0" w:line="240" w:lineRule="auto"/>
              <w:jc w:val="both"/>
              <w:rPr>
                <w:rFonts w:eastAsia="Times New Roman" w:cs="Times New Roman"/>
                <w:color w:val="000000"/>
                <w:lang w:eastAsia="es-ES"/>
              </w:rPr>
            </w:pPr>
            <w:r w:rsidRPr="003C532B">
              <w:rPr>
                <w:rFonts w:eastAsia="Times New Roman" w:cs="Times New Roman"/>
                <w:color w:val="000000"/>
                <w:lang w:eastAsia="es-ES"/>
              </w:rPr>
              <w:t>Consistency (alpha)</w:t>
            </w:r>
          </w:p>
        </w:tc>
        <w:tc>
          <w:tcPr>
            <w:tcW w:w="682" w:type="pct"/>
            <w:tcBorders>
              <w:top w:val="nil"/>
              <w:left w:val="nil"/>
              <w:bottom w:val="double" w:sz="6" w:space="0" w:color="auto"/>
              <w:right w:val="nil"/>
            </w:tcBorders>
            <w:shd w:val="clear" w:color="auto" w:fill="auto"/>
            <w:noWrap/>
            <w:vAlign w:val="center"/>
            <w:hideMark/>
          </w:tcPr>
          <w:p w:rsidR="00FB1389" w:rsidRPr="003C532B" w:rsidRDefault="00FB1389" w:rsidP="003C532B">
            <w:pPr>
              <w:spacing w:after="0" w:line="240" w:lineRule="auto"/>
              <w:jc w:val="both"/>
              <w:rPr>
                <w:rFonts w:eastAsia="Times New Roman" w:cs="Times New Roman"/>
                <w:color w:val="000000"/>
                <w:lang w:eastAsia="es-ES"/>
              </w:rPr>
            </w:pPr>
            <w:r w:rsidRPr="003C532B">
              <w:rPr>
                <w:rFonts w:eastAsia="Times New Roman" w:cs="Times New Roman"/>
                <w:color w:val="000000"/>
                <w:lang w:eastAsia="es-ES"/>
              </w:rPr>
              <w:t>0.87</w:t>
            </w:r>
          </w:p>
        </w:tc>
        <w:tc>
          <w:tcPr>
            <w:tcW w:w="682" w:type="pct"/>
            <w:tcBorders>
              <w:top w:val="nil"/>
              <w:left w:val="nil"/>
              <w:bottom w:val="double" w:sz="6" w:space="0" w:color="auto"/>
              <w:right w:val="nil"/>
            </w:tcBorders>
            <w:shd w:val="clear" w:color="auto" w:fill="auto"/>
            <w:noWrap/>
            <w:vAlign w:val="center"/>
            <w:hideMark/>
          </w:tcPr>
          <w:p w:rsidR="00FB1389" w:rsidRPr="003C532B" w:rsidRDefault="00FB1389" w:rsidP="003C532B">
            <w:pPr>
              <w:spacing w:after="0" w:line="240" w:lineRule="auto"/>
              <w:jc w:val="both"/>
              <w:rPr>
                <w:rFonts w:eastAsia="Times New Roman" w:cs="Times New Roman"/>
                <w:color w:val="000000"/>
                <w:lang w:eastAsia="es-ES"/>
              </w:rPr>
            </w:pPr>
            <w:r w:rsidRPr="003C532B">
              <w:rPr>
                <w:rFonts w:eastAsia="Times New Roman" w:cs="Times New Roman"/>
                <w:color w:val="000000"/>
                <w:lang w:eastAsia="es-ES"/>
              </w:rPr>
              <w:t>0.85</w:t>
            </w:r>
          </w:p>
        </w:tc>
        <w:tc>
          <w:tcPr>
            <w:tcW w:w="682" w:type="pct"/>
            <w:tcBorders>
              <w:top w:val="nil"/>
              <w:left w:val="nil"/>
              <w:bottom w:val="double" w:sz="6" w:space="0" w:color="auto"/>
              <w:right w:val="nil"/>
            </w:tcBorders>
            <w:shd w:val="clear" w:color="auto" w:fill="auto"/>
            <w:noWrap/>
            <w:vAlign w:val="center"/>
            <w:hideMark/>
          </w:tcPr>
          <w:p w:rsidR="00FB1389" w:rsidRPr="003C532B" w:rsidRDefault="00FB1389" w:rsidP="003C532B">
            <w:pPr>
              <w:spacing w:after="0" w:line="240" w:lineRule="auto"/>
              <w:jc w:val="both"/>
              <w:rPr>
                <w:rFonts w:eastAsia="Times New Roman" w:cs="Times New Roman"/>
                <w:color w:val="000000"/>
                <w:lang w:eastAsia="es-ES"/>
              </w:rPr>
            </w:pPr>
            <w:r w:rsidRPr="003C532B">
              <w:rPr>
                <w:rFonts w:eastAsia="Times New Roman" w:cs="Times New Roman"/>
                <w:color w:val="000000"/>
                <w:lang w:eastAsia="es-ES"/>
              </w:rPr>
              <w:t>0.99</w:t>
            </w:r>
          </w:p>
        </w:tc>
        <w:tc>
          <w:tcPr>
            <w:tcW w:w="682" w:type="pct"/>
            <w:tcBorders>
              <w:top w:val="nil"/>
              <w:left w:val="nil"/>
              <w:bottom w:val="double" w:sz="6" w:space="0" w:color="auto"/>
              <w:right w:val="nil"/>
            </w:tcBorders>
            <w:shd w:val="clear" w:color="auto" w:fill="auto"/>
            <w:noWrap/>
            <w:vAlign w:val="center"/>
            <w:hideMark/>
          </w:tcPr>
          <w:p w:rsidR="00FB1389" w:rsidRPr="003C532B" w:rsidRDefault="00FB1389" w:rsidP="003C532B">
            <w:pPr>
              <w:spacing w:after="0" w:line="240" w:lineRule="auto"/>
              <w:jc w:val="both"/>
              <w:rPr>
                <w:rFonts w:eastAsia="Times New Roman" w:cs="Times New Roman"/>
                <w:color w:val="000000"/>
                <w:lang w:eastAsia="es-ES"/>
              </w:rPr>
            </w:pPr>
            <w:r w:rsidRPr="003C532B">
              <w:rPr>
                <w:rFonts w:eastAsia="Times New Roman" w:cs="Times New Roman"/>
                <w:color w:val="000000"/>
                <w:lang w:eastAsia="es-ES"/>
              </w:rPr>
              <w:t>0.97</w:t>
            </w:r>
          </w:p>
        </w:tc>
        <w:tc>
          <w:tcPr>
            <w:tcW w:w="683" w:type="pct"/>
            <w:tcBorders>
              <w:top w:val="nil"/>
              <w:left w:val="nil"/>
              <w:bottom w:val="double" w:sz="6" w:space="0" w:color="auto"/>
              <w:right w:val="nil"/>
            </w:tcBorders>
            <w:shd w:val="clear" w:color="auto" w:fill="auto"/>
            <w:noWrap/>
            <w:vAlign w:val="center"/>
            <w:hideMark/>
          </w:tcPr>
          <w:p w:rsidR="00FB1389" w:rsidRPr="003C532B" w:rsidRDefault="00FB1389" w:rsidP="003C532B">
            <w:pPr>
              <w:spacing w:after="0" w:line="240" w:lineRule="auto"/>
              <w:jc w:val="both"/>
              <w:rPr>
                <w:rFonts w:eastAsia="Times New Roman" w:cs="Times New Roman"/>
                <w:color w:val="000000"/>
                <w:lang w:eastAsia="es-ES"/>
              </w:rPr>
            </w:pPr>
            <w:r w:rsidRPr="003C532B">
              <w:rPr>
                <w:rFonts w:eastAsia="Times New Roman" w:cs="Times New Roman"/>
                <w:color w:val="000000"/>
                <w:lang w:eastAsia="es-ES"/>
              </w:rPr>
              <w:t>0.95</w:t>
            </w:r>
          </w:p>
        </w:tc>
        <w:tc>
          <w:tcPr>
            <w:tcW w:w="686" w:type="pct"/>
            <w:tcBorders>
              <w:top w:val="nil"/>
              <w:left w:val="nil"/>
              <w:bottom w:val="double" w:sz="6" w:space="0" w:color="auto"/>
              <w:right w:val="nil"/>
            </w:tcBorders>
            <w:shd w:val="clear" w:color="auto" w:fill="auto"/>
            <w:noWrap/>
            <w:vAlign w:val="center"/>
            <w:hideMark/>
          </w:tcPr>
          <w:p w:rsidR="00FB1389" w:rsidRPr="003C532B" w:rsidRDefault="00FB1389" w:rsidP="003C532B">
            <w:pPr>
              <w:spacing w:after="0" w:line="240" w:lineRule="auto"/>
              <w:jc w:val="both"/>
              <w:rPr>
                <w:rFonts w:eastAsia="Times New Roman" w:cs="Times New Roman"/>
                <w:color w:val="000000"/>
                <w:lang w:eastAsia="es-ES"/>
              </w:rPr>
            </w:pPr>
            <w:r w:rsidRPr="003C532B">
              <w:rPr>
                <w:rFonts w:eastAsia="Times New Roman" w:cs="Times New Roman"/>
                <w:color w:val="000000"/>
                <w:lang w:eastAsia="es-ES"/>
              </w:rPr>
              <w:t>0.79</w:t>
            </w:r>
          </w:p>
        </w:tc>
      </w:tr>
    </w:tbl>
    <w:p w:rsidR="00D04317" w:rsidRDefault="00D04317" w:rsidP="003C532B">
      <w:pPr>
        <w:spacing w:line="480" w:lineRule="auto"/>
        <w:ind w:firstLine="720"/>
        <w:jc w:val="both"/>
        <w:rPr>
          <w:rFonts w:cs="Times New Roman"/>
          <w:b/>
          <w:sz w:val="24"/>
          <w:szCs w:val="24"/>
        </w:rPr>
      </w:pPr>
    </w:p>
    <w:p w:rsidR="00FB1389" w:rsidRPr="00D05EBD" w:rsidRDefault="00093982" w:rsidP="003C532B">
      <w:pPr>
        <w:spacing w:line="480" w:lineRule="auto"/>
        <w:ind w:firstLine="720"/>
        <w:jc w:val="both"/>
        <w:rPr>
          <w:rFonts w:cs="Times New Roman"/>
          <w:b/>
          <w:sz w:val="24"/>
          <w:szCs w:val="24"/>
        </w:rPr>
      </w:pPr>
      <w:r>
        <w:rPr>
          <w:rFonts w:cs="Times New Roman"/>
          <w:b/>
          <w:sz w:val="24"/>
          <w:szCs w:val="24"/>
        </w:rPr>
        <w:t>3.3</w:t>
      </w:r>
      <w:r w:rsidR="00FB1389" w:rsidRPr="00D05EBD">
        <w:rPr>
          <w:rFonts w:cs="Times New Roman"/>
          <w:b/>
          <w:sz w:val="24"/>
          <w:szCs w:val="24"/>
        </w:rPr>
        <w:t>.2.2 Results</w:t>
      </w:r>
    </w:p>
    <w:p w:rsidR="00FB1389" w:rsidRDefault="00FB1389" w:rsidP="00AE640B">
      <w:pPr>
        <w:spacing w:line="480" w:lineRule="auto"/>
        <w:ind w:firstLine="720"/>
        <w:jc w:val="both"/>
        <w:rPr>
          <w:rFonts w:cs="Times New Roman"/>
          <w:sz w:val="24"/>
          <w:szCs w:val="24"/>
        </w:rPr>
      </w:pPr>
      <w:r w:rsidRPr="00D05EBD">
        <w:rPr>
          <w:rFonts w:eastAsia="Times New Roman" w:cs="Times New Roman"/>
          <w:sz w:val="24"/>
          <w:szCs w:val="24"/>
        </w:rPr>
        <w:t>The 6 dependent variables (</w:t>
      </w:r>
      <w:proofErr w:type="spellStart"/>
      <w:r w:rsidRPr="00D05EBD">
        <w:rPr>
          <w:rFonts w:cs="Times New Roman"/>
          <w:sz w:val="24"/>
          <w:szCs w:val="24"/>
        </w:rPr>
        <w:t>URPEt</w:t>
      </w:r>
      <w:proofErr w:type="spellEnd"/>
      <w:r w:rsidRPr="00D05EBD">
        <w:rPr>
          <w:rFonts w:cs="Times New Roman"/>
          <w:sz w:val="24"/>
          <w:szCs w:val="24"/>
        </w:rPr>
        <w:t xml:space="preserve">, </w:t>
      </w:r>
      <w:proofErr w:type="spellStart"/>
      <w:r w:rsidRPr="00D05EBD">
        <w:rPr>
          <w:rFonts w:cs="Times New Roman"/>
          <w:sz w:val="24"/>
          <w:szCs w:val="24"/>
        </w:rPr>
        <w:t>URPEa</w:t>
      </w:r>
      <w:proofErr w:type="spellEnd"/>
      <w:r w:rsidRPr="00D05EBD">
        <w:rPr>
          <w:rFonts w:cs="Times New Roman"/>
          <w:sz w:val="24"/>
          <w:szCs w:val="24"/>
        </w:rPr>
        <w:t xml:space="preserve">, </w:t>
      </w:r>
      <w:proofErr w:type="spellStart"/>
      <w:r w:rsidRPr="00D05EBD">
        <w:rPr>
          <w:rFonts w:cs="Times New Roman"/>
          <w:sz w:val="24"/>
          <w:szCs w:val="24"/>
        </w:rPr>
        <w:t>URNEt</w:t>
      </w:r>
      <w:proofErr w:type="spellEnd"/>
      <w:r w:rsidRPr="00D05EBD">
        <w:rPr>
          <w:rFonts w:cs="Times New Roman"/>
          <w:sz w:val="24"/>
          <w:szCs w:val="24"/>
        </w:rPr>
        <w:t xml:space="preserve">, </w:t>
      </w:r>
      <w:proofErr w:type="spellStart"/>
      <w:r w:rsidRPr="00D05EBD">
        <w:rPr>
          <w:rFonts w:cs="Times New Roman"/>
          <w:sz w:val="24"/>
          <w:szCs w:val="24"/>
        </w:rPr>
        <w:t>URNEa</w:t>
      </w:r>
      <w:proofErr w:type="spellEnd"/>
      <w:r w:rsidRPr="00D05EBD">
        <w:rPr>
          <w:rFonts w:cs="Times New Roman"/>
          <w:sz w:val="24"/>
          <w:szCs w:val="24"/>
        </w:rPr>
        <w:t xml:space="preserve">, </w:t>
      </w:r>
      <w:proofErr w:type="spellStart"/>
      <w:r w:rsidRPr="00D05EBD">
        <w:rPr>
          <w:rFonts w:cs="Times New Roman"/>
          <w:sz w:val="24"/>
          <w:szCs w:val="24"/>
        </w:rPr>
        <w:t>DRNEt</w:t>
      </w:r>
      <w:proofErr w:type="spellEnd"/>
      <w:r w:rsidRPr="00D05EBD">
        <w:rPr>
          <w:rFonts w:cs="Times New Roman"/>
          <w:sz w:val="24"/>
          <w:szCs w:val="24"/>
        </w:rPr>
        <w:t xml:space="preserve"> and </w:t>
      </w:r>
      <w:proofErr w:type="spellStart"/>
      <w:r w:rsidRPr="00D05EBD">
        <w:rPr>
          <w:rFonts w:cs="Times New Roman"/>
          <w:sz w:val="24"/>
          <w:szCs w:val="24"/>
        </w:rPr>
        <w:t>DRNEa</w:t>
      </w:r>
      <w:proofErr w:type="spellEnd"/>
      <w:r w:rsidRPr="00D05EBD">
        <w:rPr>
          <w:rFonts w:cs="Times New Roman"/>
          <w:sz w:val="24"/>
          <w:szCs w:val="24"/>
        </w:rPr>
        <w:t>)</w:t>
      </w:r>
      <w:r w:rsidRPr="00D05EBD">
        <w:rPr>
          <w:rFonts w:eastAsia="Times New Roman" w:cs="Times New Roman"/>
          <w:sz w:val="24"/>
          <w:szCs w:val="24"/>
        </w:rPr>
        <w:t xml:space="preserve"> were checked for outliers and normal distribution. </w:t>
      </w:r>
      <w:r w:rsidRPr="00D05EBD">
        <w:rPr>
          <w:sz w:val="24"/>
          <w:szCs w:val="24"/>
        </w:rPr>
        <w:t>Histograms and the Shapiro-</w:t>
      </w:r>
      <w:proofErr w:type="spellStart"/>
      <w:r w:rsidRPr="00D05EBD">
        <w:rPr>
          <w:sz w:val="24"/>
          <w:szCs w:val="24"/>
        </w:rPr>
        <w:t>Wilks</w:t>
      </w:r>
      <w:proofErr w:type="spellEnd"/>
      <w:r w:rsidRPr="00D05EBD">
        <w:rPr>
          <w:sz w:val="24"/>
          <w:szCs w:val="24"/>
        </w:rPr>
        <w:t xml:space="preserve"> test for the six DVs by condition (experimental, control), indicated that the data were statistically normal in the control condition for </w:t>
      </w:r>
      <w:proofErr w:type="spellStart"/>
      <w:r w:rsidRPr="00D05EBD">
        <w:rPr>
          <w:sz w:val="24"/>
          <w:szCs w:val="24"/>
        </w:rPr>
        <w:t>URPEa</w:t>
      </w:r>
      <w:proofErr w:type="spellEnd"/>
      <w:r w:rsidRPr="00D05EBD">
        <w:rPr>
          <w:sz w:val="24"/>
          <w:szCs w:val="24"/>
        </w:rPr>
        <w:t xml:space="preserve"> </w:t>
      </w:r>
      <w:r w:rsidRPr="00D05EBD">
        <w:rPr>
          <w:i/>
          <w:sz w:val="24"/>
          <w:szCs w:val="24"/>
        </w:rPr>
        <w:t>W</w:t>
      </w:r>
      <w:r w:rsidRPr="00D05EBD">
        <w:rPr>
          <w:sz w:val="24"/>
          <w:szCs w:val="24"/>
        </w:rPr>
        <w:t xml:space="preserve">(8) = .9, in the experimental condition for </w:t>
      </w:r>
      <w:proofErr w:type="spellStart"/>
      <w:r w:rsidRPr="00D05EBD">
        <w:rPr>
          <w:sz w:val="24"/>
          <w:szCs w:val="24"/>
        </w:rPr>
        <w:t>URPEa</w:t>
      </w:r>
      <w:proofErr w:type="spellEnd"/>
      <w:r w:rsidRPr="00D05EBD">
        <w:rPr>
          <w:sz w:val="24"/>
          <w:szCs w:val="24"/>
        </w:rPr>
        <w:t xml:space="preserve"> </w:t>
      </w:r>
      <w:r w:rsidRPr="00D05EBD">
        <w:rPr>
          <w:i/>
          <w:sz w:val="24"/>
          <w:szCs w:val="24"/>
        </w:rPr>
        <w:t>W</w:t>
      </w:r>
      <w:r w:rsidRPr="00D05EBD">
        <w:rPr>
          <w:sz w:val="24"/>
          <w:szCs w:val="24"/>
        </w:rPr>
        <w:t xml:space="preserve">(10) = .9 </w:t>
      </w:r>
      <w:r w:rsidRPr="00D05EBD">
        <w:rPr>
          <w:i/>
          <w:sz w:val="24"/>
          <w:szCs w:val="24"/>
        </w:rPr>
        <w:t xml:space="preserve">p </w:t>
      </w:r>
      <w:r w:rsidRPr="00D05EBD">
        <w:rPr>
          <w:sz w:val="24"/>
          <w:szCs w:val="24"/>
        </w:rPr>
        <w:t xml:space="preserve">&gt; .05 and, in the control condition for </w:t>
      </w:r>
      <w:proofErr w:type="spellStart"/>
      <w:r w:rsidRPr="00D05EBD">
        <w:rPr>
          <w:sz w:val="24"/>
          <w:szCs w:val="24"/>
        </w:rPr>
        <w:t>URPEt</w:t>
      </w:r>
      <w:proofErr w:type="spellEnd"/>
      <w:r w:rsidRPr="00D05EBD">
        <w:rPr>
          <w:sz w:val="24"/>
          <w:szCs w:val="24"/>
        </w:rPr>
        <w:t xml:space="preserve"> </w:t>
      </w:r>
      <w:r w:rsidRPr="00D05EBD">
        <w:rPr>
          <w:i/>
          <w:sz w:val="24"/>
          <w:szCs w:val="24"/>
        </w:rPr>
        <w:t>W</w:t>
      </w:r>
      <w:r w:rsidRPr="00D05EBD">
        <w:rPr>
          <w:sz w:val="24"/>
          <w:szCs w:val="24"/>
        </w:rPr>
        <w:t xml:space="preserve">(8) = .87, </w:t>
      </w:r>
      <w:r w:rsidRPr="00D05EBD">
        <w:rPr>
          <w:i/>
          <w:sz w:val="24"/>
          <w:szCs w:val="24"/>
        </w:rPr>
        <w:t xml:space="preserve">p </w:t>
      </w:r>
      <w:r w:rsidRPr="00D05EBD">
        <w:rPr>
          <w:sz w:val="24"/>
          <w:szCs w:val="24"/>
        </w:rPr>
        <w:t>&gt; .05. As in Study 2a, to improve the distribution of the data and comply with the requirements to run a mixed-design ANOVA all DVs were transformed into their square roots</w:t>
      </w:r>
      <w:r w:rsidR="009618FB">
        <w:rPr>
          <w:sz w:val="24"/>
          <w:szCs w:val="24"/>
        </w:rPr>
        <w:t xml:space="preserve"> and the</w:t>
      </w:r>
      <w:r w:rsidRPr="00D05EBD">
        <w:rPr>
          <w:sz w:val="24"/>
          <w:szCs w:val="24"/>
        </w:rPr>
        <w:t xml:space="preserve"> outliers were transformed </w:t>
      </w:r>
      <w:r w:rsidR="009618FB">
        <w:rPr>
          <w:sz w:val="24"/>
          <w:szCs w:val="24"/>
        </w:rPr>
        <w:t>using the same method as in Study 2a (</w:t>
      </w:r>
      <w:r w:rsidRPr="00D05EBD">
        <w:rPr>
          <w:sz w:val="24"/>
          <w:szCs w:val="24"/>
        </w:rPr>
        <w:t>replacing them to the next higher score plus one</w:t>
      </w:r>
      <w:r w:rsidR="009618FB">
        <w:rPr>
          <w:sz w:val="24"/>
          <w:szCs w:val="24"/>
        </w:rPr>
        <w:t>)</w:t>
      </w:r>
      <w:r w:rsidRPr="00D05EBD">
        <w:rPr>
          <w:sz w:val="24"/>
          <w:szCs w:val="24"/>
        </w:rPr>
        <w:t>.</w:t>
      </w:r>
      <w:r w:rsidRPr="00D05EBD">
        <w:rPr>
          <w:rFonts w:cs="Times New Roman"/>
          <w:sz w:val="24"/>
          <w:szCs w:val="24"/>
        </w:rPr>
        <w:tab/>
      </w:r>
    </w:p>
    <w:p w:rsidR="00C47817" w:rsidRPr="00D05EBD" w:rsidRDefault="00C47817" w:rsidP="00AE640B">
      <w:pPr>
        <w:spacing w:line="480" w:lineRule="auto"/>
        <w:ind w:firstLine="720"/>
        <w:jc w:val="both"/>
        <w:rPr>
          <w:rFonts w:cs="Times New Roman"/>
          <w:sz w:val="24"/>
          <w:szCs w:val="24"/>
        </w:rPr>
      </w:pPr>
      <w:r>
        <w:rPr>
          <w:rFonts w:cs="Times New Roman"/>
          <w:sz w:val="24"/>
          <w:szCs w:val="24"/>
        </w:rPr>
        <w:t>As in Study 2a, t</w:t>
      </w:r>
      <w:r w:rsidRPr="00D05EBD">
        <w:rPr>
          <w:rFonts w:cs="Times New Roman"/>
          <w:sz w:val="24"/>
          <w:szCs w:val="24"/>
        </w:rPr>
        <w:t>o check that the frequencies of IER strategies were not affected by how much participants wrote in each condition (number of words participants wrote in their scripts) an independent-samples t-test was conducted. There was no significant difference in the scores for length of the script of participants in the priming condition (</w:t>
      </w:r>
      <w:r w:rsidRPr="00D05EBD">
        <w:rPr>
          <w:rFonts w:cs="Times New Roman"/>
          <w:i/>
          <w:sz w:val="24"/>
          <w:szCs w:val="24"/>
        </w:rPr>
        <w:t>M</w:t>
      </w:r>
      <w:r w:rsidRPr="00D05EBD">
        <w:rPr>
          <w:rFonts w:cs="Times New Roman"/>
          <w:sz w:val="24"/>
          <w:szCs w:val="24"/>
        </w:rPr>
        <w:t xml:space="preserve"> = </w:t>
      </w:r>
      <w:r w:rsidR="00483443">
        <w:rPr>
          <w:rFonts w:cs="Times New Roman"/>
          <w:sz w:val="24"/>
          <w:szCs w:val="24"/>
        </w:rPr>
        <w:t>262.60</w:t>
      </w:r>
      <w:r w:rsidRPr="00D05EBD">
        <w:rPr>
          <w:rFonts w:cs="Times New Roman"/>
          <w:sz w:val="24"/>
          <w:szCs w:val="24"/>
        </w:rPr>
        <w:t xml:space="preserve">, </w:t>
      </w:r>
      <w:r w:rsidRPr="00D05EBD">
        <w:rPr>
          <w:rFonts w:cs="Times New Roman"/>
          <w:i/>
          <w:sz w:val="24"/>
          <w:szCs w:val="24"/>
        </w:rPr>
        <w:t xml:space="preserve">SD </w:t>
      </w:r>
      <w:r w:rsidRPr="00D05EBD">
        <w:rPr>
          <w:rFonts w:cs="Times New Roman"/>
          <w:sz w:val="24"/>
          <w:szCs w:val="24"/>
        </w:rPr>
        <w:t xml:space="preserve">= </w:t>
      </w:r>
      <w:r w:rsidR="00483443">
        <w:rPr>
          <w:rFonts w:cs="Times New Roman"/>
          <w:sz w:val="24"/>
          <w:szCs w:val="24"/>
        </w:rPr>
        <w:t>92.09</w:t>
      </w:r>
      <w:r w:rsidRPr="00D05EBD">
        <w:rPr>
          <w:rFonts w:cs="Times New Roman"/>
          <w:sz w:val="24"/>
          <w:szCs w:val="24"/>
        </w:rPr>
        <w:t xml:space="preserve">) and of participants in the control condition </w:t>
      </w:r>
      <w:r w:rsidRPr="00D05EBD">
        <w:rPr>
          <w:rFonts w:cs="Times New Roman"/>
          <w:i/>
          <w:sz w:val="24"/>
          <w:szCs w:val="24"/>
        </w:rPr>
        <w:t xml:space="preserve">(M </w:t>
      </w:r>
      <w:r w:rsidRPr="00D05EBD">
        <w:rPr>
          <w:rFonts w:cs="Times New Roman"/>
          <w:sz w:val="24"/>
          <w:szCs w:val="24"/>
        </w:rPr>
        <w:t xml:space="preserve">= </w:t>
      </w:r>
      <w:r w:rsidR="00483443">
        <w:rPr>
          <w:rFonts w:cs="Times New Roman"/>
          <w:sz w:val="24"/>
          <w:szCs w:val="24"/>
        </w:rPr>
        <w:t>316</w:t>
      </w:r>
      <w:r w:rsidRPr="00D05EBD">
        <w:rPr>
          <w:rFonts w:cs="Times New Roman"/>
          <w:sz w:val="24"/>
          <w:szCs w:val="24"/>
        </w:rPr>
        <w:t xml:space="preserve">, </w:t>
      </w:r>
      <w:r w:rsidRPr="00D05EBD">
        <w:rPr>
          <w:rFonts w:cs="Times New Roman"/>
          <w:i/>
          <w:sz w:val="24"/>
          <w:szCs w:val="24"/>
        </w:rPr>
        <w:t xml:space="preserve">SD </w:t>
      </w:r>
      <w:r w:rsidRPr="00D05EBD">
        <w:rPr>
          <w:rFonts w:cs="Times New Roman"/>
          <w:sz w:val="24"/>
          <w:szCs w:val="24"/>
        </w:rPr>
        <w:t xml:space="preserve">= </w:t>
      </w:r>
      <w:r w:rsidR="00483443">
        <w:rPr>
          <w:rFonts w:cs="Times New Roman"/>
          <w:sz w:val="24"/>
          <w:szCs w:val="24"/>
        </w:rPr>
        <w:lastRenderedPageBreak/>
        <w:t>141.40</w:t>
      </w:r>
      <w:r w:rsidRPr="00D05EBD">
        <w:rPr>
          <w:rFonts w:cs="Times New Roman"/>
          <w:sz w:val="24"/>
          <w:szCs w:val="24"/>
        </w:rPr>
        <w:t xml:space="preserve">); </w:t>
      </w:r>
      <w:r w:rsidRPr="00D05EBD">
        <w:rPr>
          <w:rFonts w:cs="Times New Roman"/>
          <w:i/>
          <w:sz w:val="24"/>
          <w:szCs w:val="24"/>
        </w:rPr>
        <w:t>t</w:t>
      </w:r>
      <w:r w:rsidRPr="00D05EBD">
        <w:rPr>
          <w:rFonts w:cs="Times New Roman"/>
          <w:sz w:val="24"/>
          <w:szCs w:val="24"/>
        </w:rPr>
        <w:t>(</w:t>
      </w:r>
      <w:r w:rsidR="00483443">
        <w:rPr>
          <w:rFonts w:cs="Times New Roman"/>
          <w:sz w:val="24"/>
          <w:szCs w:val="24"/>
        </w:rPr>
        <w:t>16</w:t>
      </w:r>
      <w:r w:rsidRPr="00D05EBD">
        <w:rPr>
          <w:rFonts w:cs="Times New Roman"/>
          <w:sz w:val="24"/>
          <w:szCs w:val="24"/>
        </w:rPr>
        <w:t>) = 0</w:t>
      </w:r>
      <w:r w:rsidR="00483443">
        <w:rPr>
          <w:rFonts w:cs="Times New Roman"/>
          <w:sz w:val="24"/>
          <w:szCs w:val="24"/>
        </w:rPr>
        <w:t>.97</w:t>
      </w:r>
      <w:r w:rsidRPr="00D05EBD">
        <w:rPr>
          <w:rFonts w:cs="Times New Roman"/>
          <w:sz w:val="24"/>
          <w:szCs w:val="24"/>
        </w:rPr>
        <w:t xml:space="preserve"> , </w:t>
      </w:r>
      <w:r w:rsidRPr="00D05EBD">
        <w:rPr>
          <w:rFonts w:cs="Times New Roman"/>
          <w:i/>
          <w:sz w:val="24"/>
          <w:szCs w:val="24"/>
        </w:rPr>
        <w:t xml:space="preserve">p </w:t>
      </w:r>
      <w:r w:rsidRPr="00D05EBD">
        <w:rPr>
          <w:rFonts w:cs="Times New Roman"/>
          <w:sz w:val="24"/>
          <w:szCs w:val="24"/>
        </w:rPr>
        <w:t>= .</w:t>
      </w:r>
      <w:r w:rsidR="00483443">
        <w:rPr>
          <w:rFonts w:cs="Times New Roman"/>
          <w:sz w:val="24"/>
          <w:szCs w:val="24"/>
        </w:rPr>
        <w:t>35</w:t>
      </w:r>
      <w:r w:rsidRPr="00D05EBD">
        <w:rPr>
          <w:rFonts w:cs="Times New Roman"/>
          <w:sz w:val="24"/>
          <w:szCs w:val="24"/>
        </w:rPr>
        <w:t>.</w:t>
      </w:r>
      <w:r w:rsidRPr="00D05EBD">
        <w:rPr>
          <w:rFonts w:cs="Times New Roman"/>
          <w:i/>
          <w:sz w:val="24"/>
          <w:szCs w:val="24"/>
        </w:rPr>
        <w:t xml:space="preserve"> </w:t>
      </w:r>
      <w:r w:rsidRPr="00D05EBD">
        <w:rPr>
          <w:rFonts w:cs="Times New Roman"/>
          <w:sz w:val="24"/>
          <w:szCs w:val="24"/>
        </w:rPr>
        <w:t xml:space="preserve">These results </w:t>
      </w:r>
      <w:r w:rsidR="0009506C" w:rsidRPr="00D05EBD">
        <w:rPr>
          <w:rFonts w:cs="Times New Roman"/>
          <w:sz w:val="24"/>
          <w:szCs w:val="24"/>
        </w:rPr>
        <w:t>suggest</w:t>
      </w:r>
      <w:r w:rsidRPr="00D05EBD">
        <w:rPr>
          <w:rFonts w:cs="Times New Roman"/>
          <w:sz w:val="24"/>
          <w:szCs w:val="24"/>
        </w:rPr>
        <w:t xml:space="preserve"> that the frequencies of IER strategies were not affected by the length of the participant script.</w:t>
      </w: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t xml:space="preserve">It was expected that participants in the priming condition would exhibit more worsening IER behaviours in comparison with the control group. To test this hypothesis, IER responses were subjected to a </w:t>
      </w:r>
      <w:r w:rsidR="00144B25">
        <w:rPr>
          <w:rFonts w:cs="Times New Roman"/>
          <w:sz w:val="24"/>
          <w:szCs w:val="24"/>
        </w:rPr>
        <w:t>between</w:t>
      </w:r>
      <w:r w:rsidR="00D51FE7">
        <w:rPr>
          <w:rFonts w:cs="Times New Roman"/>
          <w:sz w:val="24"/>
          <w:szCs w:val="24"/>
        </w:rPr>
        <w:t>-subjec</w:t>
      </w:r>
      <w:r w:rsidR="00144B25">
        <w:rPr>
          <w:rFonts w:cs="Times New Roman"/>
          <w:sz w:val="24"/>
          <w:szCs w:val="24"/>
        </w:rPr>
        <w:t xml:space="preserve">ts </w:t>
      </w:r>
      <w:r w:rsidRPr="00D05EBD">
        <w:rPr>
          <w:rFonts w:cs="Times New Roman"/>
          <w:sz w:val="24"/>
          <w:szCs w:val="24"/>
        </w:rPr>
        <w:t xml:space="preserve">(condition: experimental, control) mixed-design ANOVA with </w:t>
      </w:r>
      <w:proofErr w:type="spellStart"/>
      <w:r w:rsidRPr="00D05EBD">
        <w:rPr>
          <w:rFonts w:cs="Times New Roman"/>
          <w:sz w:val="24"/>
          <w:szCs w:val="24"/>
        </w:rPr>
        <w:t>URPEa</w:t>
      </w:r>
      <w:proofErr w:type="spellEnd"/>
      <w:r w:rsidRPr="00D05EBD">
        <w:rPr>
          <w:rFonts w:cs="Times New Roman"/>
          <w:sz w:val="24"/>
          <w:szCs w:val="24"/>
        </w:rPr>
        <w:t xml:space="preserve">, </w:t>
      </w:r>
      <w:proofErr w:type="spellStart"/>
      <w:r w:rsidRPr="00D05EBD">
        <w:rPr>
          <w:rFonts w:cs="Times New Roman"/>
          <w:sz w:val="24"/>
          <w:szCs w:val="24"/>
        </w:rPr>
        <w:t>URPEt</w:t>
      </w:r>
      <w:proofErr w:type="spellEnd"/>
      <w:r w:rsidRPr="00D05EBD">
        <w:rPr>
          <w:rFonts w:cs="Times New Roman"/>
          <w:sz w:val="24"/>
          <w:szCs w:val="24"/>
        </w:rPr>
        <w:t xml:space="preserve">, </w:t>
      </w:r>
      <w:proofErr w:type="spellStart"/>
      <w:r w:rsidRPr="00D05EBD">
        <w:rPr>
          <w:rFonts w:cs="Times New Roman"/>
          <w:sz w:val="24"/>
          <w:szCs w:val="24"/>
        </w:rPr>
        <w:t>URNEa</w:t>
      </w:r>
      <w:proofErr w:type="spellEnd"/>
      <w:r w:rsidRPr="00D05EBD">
        <w:rPr>
          <w:rFonts w:cs="Times New Roman"/>
          <w:sz w:val="24"/>
          <w:szCs w:val="24"/>
        </w:rPr>
        <w:t xml:space="preserve">, </w:t>
      </w:r>
      <w:proofErr w:type="spellStart"/>
      <w:r w:rsidRPr="00D05EBD">
        <w:rPr>
          <w:rFonts w:cs="Times New Roman"/>
          <w:sz w:val="24"/>
          <w:szCs w:val="24"/>
        </w:rPr>
        <w:t>URNEt</w:t>
      </w:r>
      <w:proofErr w:type="spellEnd"/>
      <w:r w:rsidRPr="00D05EBD">
        <w:rPr>
          <w:rFonts w:cs="Times New Roman"/>
          <w:sz w:val="24"/>
          <w:szCs w:val="24"/>
        </w:rPr>
        <w:t xml:space="preserve">, </w:t>
      </w:r>
      <w:proofErr w:type="spellStart"/>
      <w:r w:rsidRPr="00D05EBD">
        <w:rPr>
          <w:rFonts w:cs="Times New Roman"/>
          <w:sz w:val="24"/>
          <w:szCs w:val="24"/>
        </w:rPr>
        <w:t>DRNEa</w:t>
      </w:r>
      <w:proofErr w:type="spellEnd"/>
      <w:r w:rsidRPr="00D05EBD">
        <w:rPr>
          <w:rFonts w:cs="Times New Roman"/>
          <w:sz w:val="24"/>
          <w:szCs w:val="24"/>
        </w:rPr>
        <w:t xml:space="preserve"> and </w:t>
      </w:r>
      <w:proofErr w:type="spellStart"/>
      <w:r w:rsidRPr="00D05EBD">
        <w:rPr>
          <w:rFonts w:cs="Times New Roman"/>
          <w:sz w:val="24"/>
          <w:szCs w:val="24"/>
        </w:rPr>
        <w:t>DRNEt</w:t>
      </w:r>
      <w:proofErr w:type="spellEnd"/>
      <w:r w:rsidRPr="00D05EBD">
        <w:rPr>
          <w:rFonts w:cs="Times New Roman"/>
          <w:sz w:val="24"/>
          <w:szCs w:val="24"/>
        </w:rPr>
        <w:t xml:space="preserve"> frequencies as the dependent variables and social desirability as a covariate. </w:t>
      </w:r>
    </w:p>
    <w:tbl>
      <w:tblPr>
        <w:tblW w:w="5000" w:type="pct"/>
        <w:tblLook w:val="04A0"/>
      </w:tblPr>
      <w:tblGrid>
        <w:gridCol w:w="1708"/>
        <w:gridCol w:w="1846"/>
        <w:gridCol w:w="1776"/>
        <w:gridCol w:w="1776"/>
        <w:gridCol w:w="1776"/>
      </w:tblGrid>
      <w:tr w:rsidR="00FB1389" w:rsidRPr="00D42AD1" w:rsidTr="00D51FE7">
        <w:trPr>
          <w:trHeight w:val="300"/>
        </w:trPr>
        <w:tc>
          <w:tcPr>
            <w:tcW w:w="5000" w:type="pct"/>
            <w:gridSpan w:val="5"/>
            <w:tcBorders>
              <w:top w:val="nil"/>
              <w:left w:val="nil"/>
              <w:bottom w:val="single" w:sz="4" w:space="0" w:color="auto"/>
              <w:right w:val="nil"/>
            </w:tcBorders>
            <w:shd w:val="clear" w:color="auto" w:fill="auto"/>
            <w:vAlign w:val="center"/>
            <w:hideMark/>
          </w:tcPr>
          <w:p w:rsidR="00FB1389" w:rsidRPr="00D42AD1" w:rsidRDefault="00D42AD1" w:rsidP="00D42AD1">
            <w:pPr>
              <w:spacing w:after="0" w:line="240" w:lineRule="auto"/>
              <w:jc w:val="both"/>
              <w:rPr>
                <w:rFonts w:eastAsia="Times New Roman" w:cs="Times New Roman"/>
                <w:bCs/>
                <w:color w:val="000000"/>
              </w:rPr>
            </w:pPr>
            <w:r w:rsidRPr="00D42AD1">
              <w:rPr>
                <w:rFonts w:eastAsia="Times New Roman" w:cs="Times New Roman"/>
                <w:bCs/>
                <w:color w:val="000000"/>
              </w:rPr>
              <w:t>Table III</w:t>
            </w:r>
            <w:r w:rsidR="00FB1389" w:rsidRPr="00D42AD1">
              <w:rPr>
                <w:rFonts w:eastAsia="Times New Roman" w:cs="Times New Roman"/>
                <w:bCs/>
                <w:color w:val="000000"/>
              </w:rPr>
              <w:t>.6. Means and standard deviations of IER strategies as a function of condition</w:t>
            </w:r>
          </w:p>
        </w:tc>
      </w:tr>
      <w:tr w:rsidR="00FB1389" w:rsidRPr="00D42AD1" w:rsidTr="00D51FE7">
        <w:trPr>
          <w:trHeight w:val="495"/>
        </w:trPr>
        <w:tc>
          <w:tcPr>
            <w:tcW w:w="961" w:type="pct"/>
            <w:tcBorders>
              <w:top w:val="single" w:sz="4" w:space="0" w:color="auto"/>
              <w:left w:val="nil"/>
              <w:bottom w:val="single" w:sz="4" w:space="0" w:color="000000"/>
              <w:right w:val="single" w:sz="4" w:space="0" w:color="000000"/>
            </w:tcBorders>
            <w:shd w:val="clear" w:color="auto" w:fill="auto"/>
            <w:vAlign w:val="bottom"/>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IER strategies</w:t>
            </w:r>
          </w:p>
        </w:tc>
        <w:tc>
          <w:tcPr>
            <w:tcW w:w="1039" w:type="pct"/>
            <w:tcBorders>
              <w:top w:val="single" w:sz="4" w:space="0" w:color="auto"/>
              <w:left w:val="nil"/>
              <w:bottom w:val="single" w:sz="4" w:space="0" w:color="000000"/>
              <w:right w:val="single" w:sz="4" w:space="0" w:color="000000"/>
            </w:tcBorders>
            <w:shd w:val="clear" w:color="auto" w:fill="auto"/>
            <w:vAlign w:val="bottom"/>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 Condition</w:t>
            </w:r>
          </w:p>
        </w:tc>
        <w:tc>
          <w:tcPr>
            <w:tcW w:w="1000" w:type="pct"/>
            <w:tcBorders>
              <w:top w:val="single" w:sz="4" w:space="0" w:color="auto"/>
              <w:left w:val="nil"/>
              <w:bottom w:val="single" w:sz="4" w:space="0" w:color="000000"/>
              <w:right w:val="single" w:sz="4" w:space="0" w:color="000000"/>
            </w:tcBorders>
            <w:shd w:val="clear" w:color="auto" w:fill="auto"/>
            <w:vAlign w:val="bottom"/>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Mean</w:t>
            </w:r>
          </w:p>
        </w:tc>
        <w:tc>
          <w:tcPr>
            <w:tcW w:w="1000" w:type="pct"/>
            <w:tcBorders>
              <w:top w:val="single" w:sz="4" w:space="0" w:color="auto"/>
              <w:left w:val="nil"/>
              <w:bottom w:val="single" w:sz="4" w:space="0" w:color="000000"/>
              <w:right w:val="single" w:sz="4" w:space="0" w:color="000000"/>
            </w:tcBorders>
            <w:shd w:val="clear" w:color="auto" w:fill="auto"/>
            <w:vAlign w:val="bottom"/>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Std. Deviation</w:t>
            </w:r>
          </w:p>
        </w:tc>
        <w:tc>
          <w:tcPr>
            <w:tcW w:w="1000" w:type="pct"/>
            <w:tcBorders>
              <w:top w:val="single" w:sz="4" w:space="0" w:color="auto"/>
              <w:left w:val="nil"/>
              <w:bottom w:val="single" w:sz="4" w:space="0" w:color="000000"/>
              <w:right w:val="nil"/>
            </w:tcBorders>
            <w:shd w:val="clear" w:color="auto" w:fill="auto"/>
            <w:vAlign w:val="bottom"/>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N</w:t>
            </w:r>
          </w:p>
        </w:tc>
      </w:tr>
      <w:tr w:rsidR="00FB1389" w:rsidRPr="00D42AD1" w:rsidTr="00D05EBD">
        <w:trPr>
          <w:trHeight w:val="300"/>
        </w:trPr>
        <w:tc>
          <w:tcPr>
            <w:tcW w:w="961" w:type="pct"/>
            <w:vMerge w:val="restart"/>
            <w:tcBorders>
              <w:top w:val="nil"/>
              <w:left w:val="nil"/>
              <w:bottom w:val="single" w:sz="4" w:space="0" w:color="000000"/>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proofErr w:type="spellStart"/>
            <w:r w:rsidRPr="00D42AD1">
              <w:rPr>
                <w:rFonts w:eastAsia="Times New Roman" w:cs="Arial"/>
                <w:color w:val="000000"/>
              </w:rPr>
              <w:t>URPEa</w:t>
            </w:r>
            <w:proofErr w:type="spellEnd"/>
          </w:p>
        </w:tc>
        <w:tc>
          <w:tcPr>
            <w:tcW w:w="1039" w:type="pct"/>
            <w:tcBorders>
              <w:top w:val="nil"/>
              <w:left w:val="nil"/>
              <w:bottom w:val="nil"/>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Control</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2.10</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0.44</w:t>
            </w:r>
          </w:p>
        </w:tc>
        <w:tc>
          <w:tcPr>
            <w:tcW w:w="1000" w:type="pct"/>
            <w:tcBorders>
              <w:top w:val="nil"/>
              <w:left w:val="nil"/>
              <w:bottom w:val="nil"/>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8</w:t>
            </w:r>
          </w:p>
        </w:tc>
      </w:tr>
      <w:tr w:rsidR="00FB1389" w:rsidRPr="00D42AD1" w:rsidTr="00D05EBD">
        <w:trPr>
          <w:trHeight w:val="300"/>
        </w:trPr>
        <w:tc>
          <w:tcPr>
            <w:tcW w:w="961" w:type="pct"/>
            <w:vMerge/>
            <w:tcBorders>
              <w:top w:val="nil"/>
              <w:left w:val="nil"/>
              <w:bottom w:val="single" w:sz="4" w:space="0" w:color="000000"/>
              <w:right w:val="single" w:sz="4" w:space="0" w:color="000000"/>
            </w:tcBorders>
            <w:vAlign w:val="center"/>
            <w:hideMark/>
          </w:tcPr>
          <w:p w:rsidR="00FB1389" w:rsidRPr="00D42AD1" w:rsidRDefault="00FB1389" w:rsidP="00D42AD1">
            <w:pPr>
              <w:spacing w:after="0" w:line="240" w:lineRule="auto"/>
              <w:jc w:val="both"/>
              <w:rPr>
                <w:rFonts w:eastAsia="Times New Roman" w:cs="Arial"/>
                <w:color w:val="000000"/>
              </w:rPr>
            </w:pPr>
          </w:p>
        </w:tc>
        <w:tc>
          <w:tcPr>
            <w:tcW w:w="1039" w:type="pct"/>
            <w:tcBorders>
              <w:top w:val="nil"/>
              <w:left w:val="nil"/>
              <w:bottom w:val="nil"/>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Experimental</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1.56</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0.43</w:t>
            </w:r>
          </w:p>
        </w:tc>
        <w:tc>
          <w:tcPr>
            <w:tcW w:w="1000" w:type="pct"/>
            <w:tcBorders>
              <w:top w:val="nil"/>
              <w:left w:val="nil"/>
              <w:bottom w:val="nil"/>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10</w:t>
            </w:r>
          </w:p>
        </w:tc>
      </w:tr>
      <w:tr w:rsidR="00FB1389" w:rsidRPr="00D42AD1" w:rsidTr="00D05EBD">
        <w:trPr>
          <w:trHeight w:val="300"/>
        </w:trPr>
        <w:tc>
          <w:tcPr>
            <w:tcW w:w="961" w:type="pct"/>
            <w:vMerge/>
            <w:tcBorders>
              <w:top w:val="nil"/>
              <w:left w:val="nil"/>
              <w:bottom w:val="single" w:sz="4" w:space="0" w:color="000000"/>
              <w:right w:val="single" w:sz="4" w:space="0" w:color="000000"/>
            </w:tcBorders>
            <w:vAlign w:val="center"/>
            <w:hideMark/>
          </w:tcPr>
          <w:p w:rsidR="00FB1389" w:rsidRPr="00D42AD1" w:rsidRDefault="00FB1389" w:rsidP="00D42AD1">
            <w:pPr>
              <w:spacing w:after="0" w:line="240" w:lineRule="auto"/>
              <w:jc w:val="both"/>
              <w:rPr>
                <w:rFonts w:eastAsia="Times New Roman" w:cs="Arial"/>
                <w:color w:val="000000"/>
              </w:rPr>
            </w:pPr>
          </w:p>
        </w:tc>
        <w:tc>
          <w:tcPr>
            <w:tcW w:w="1039" w:type="pct"/>
            <w:tcBorders>
              <w:top w:val="nil"/>
              <w:left w:val="nil"/>
              <w:bottom w:val="single" w:sz="4" w:space="0" w:color="000000"/>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Total</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1.80</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0.50</w:t>
            </w:r>
          </w:p>
        </w:tc>
        <w:tc>
          <w:tcPr>
            <w:tcW w:w="1000" w:type="pct"/>
            <w:tcBorders>
              <w:top w:val="nil"/>
              <w:left w:val="nil"/>
              <w:bottom w:val="single" w:sz="4" w:space="0" w:color="000000"/>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18</w:t>
            </w:r>
          </w:p>
        </w:tc>
      </w:tr>
      <w:tr w:rsidR="00FB1389" w:rsidRPr="00D42AD1" w:rsidTr="00D05EBD">
        <w:trPr>
          <w:trHeight w:val="300"/>
        </w:trPr>
        <w:tc>
          <w:tcPr>
            <w:tcW w:w="961" w:type="pct"/>
            <w:vMerge w:val="restart"/>
            <w:tcBorders>
              <w:top w:val="nil"/>
              <w:left w:val="nil"/>
              <w:bottom w:val="single" w:sz="4" w:space="0" w:color="000000"/>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proofErr w:type="spellStart"/>
            <w:r w:rsidRPr="00D42AD1">
              <w:rPr>
                <w:rFonts w:eastAsia="Times New Roman" w:cs="Arial"/>
                <w:color w:val="000000"/>
              </w:rPr>
              <w:t>URPEt</w:t>
            </w:r>
            <w:proofErr w:type="spellEnd"/>
          </w:p>
        </w:tc>
        <w:tc>
          <w:tcPr>
            <w:tcW w:w="1039" w:type="pct"/>
            <w:tcBorders>
              <w:top w:val="nil"/>
              <w:left w:val="nil"/>
              <w:bottom w:val="nil"/>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Control</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1.50</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0.39</w:t>
            </w:r>
          </w:p>
        </w:tc>
        <w:tc>
          <w:tcPr>
            <w:tcW w:w="1000" w:type="pct"/>
            <w:tcBorders>
              <w:top w:val="nil"/>
              <w:left w:val="nil"/>
              <w:bottom w:val="nil"/>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8</w:t>
            </w:r>
          </w:p>
        </w:tc>
      </w:tr>
      <w:tr w:rsidR="00FB1389" w:rsidRPr="00D42AD1" w:rsidTr="00D05EBD">
        <w:trPr>
          <w:trHeight w:val="300"/>
        </w:trPr>
        <w:tc>
          <w:tcPr>
            <w:tcW w:w="961" w:type="pct"/>
            <w:vMerge/>
            <w:tcBorders>
              <w:top w:val="nil"/>
              <w:left w:val="nil"/>
              <w:bottom w:val="single" w:sz="4" w:space="0" w:color="000000"/>
              <w:right w:val="single" w:sz="4" w:space="0" w:color="000000"/>
            </w:tcBorders>
            <w:vAlign w:val="center"/>
            <w:hideMark/>
          </w:tcPr>
          <w:p w:rsidR="00FB1389" w:rsidRPr="00D42AD1" w:rsidRDefault="00FB1389" w:rsidP="00D42AD1">
            <w:pPr>
              <w:spacing w:after="0" w:line="240" w:lineRule="auto"/>
              <w:jc w:val="both"/>
              <w:rPr>
                <w:rFonts w:eastAsia="Times New Roman" w:cs="Arial"/>
                <w:color w:val="000000"/>
              </w:rPr>
            </w:pPr>
          </w:p>
        </w:tc>
        <w:tc>
          <w:tcPr>
            <w:tcW w:w="1039" w:type="pct"/>
            <w:tcBorders>
              <w:top w:val="nil"/>
              <w:left w:val="nil"/>
              <w:bottom w:val="nil"/>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Experimental</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1.85</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0.52</w:t>
            </w:r>
          </w:p>
        </w:tc>
        <w:tc>
          <w:tcPr>
            <w:tcW w:w="1000" w:type="pct"/>
            <w:tcBorders>
              <w:top w:val="nil"/>
              <w:left w:val="nil"/>
              <w:bottom w:val="nil"/>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10</w:t>
            </w:r>
          </w:p>
        </w:tc>
      </w:tr>
      <w:tr w:rsidR="00FB1389" w:rsidRPr="00D42AD1" w:rsidTr="00D05EBD">
        <w:trPr>
          <w:trHeight w:val="300"/>
        </w:trPr>
        <w:tc>
          <w:tcPr>
            <w:tcW w:w="961" w:type="pct"/>
            <w:vMerge/>
            <w:tcBorders>
              <w:top w:val="nil"/>
              <w:left w:val="nil"/>
              <w:bottom w:val="single" w:sz="4" w:space="0" w:color="000000"/>
              <w:right w:val="single" w:sz="4" w:space="0" w:color="000000"/>
            </w:tcBorders>
            <w:vAlign w:val="center"/>
            <w:hideMark/>
          </w:tcPr>
          <w:p w:rsidR="00FB1389" w:rsidRPr="00D42AD1" w:rsidRDefault="00FB1389" w:rsidP="00D42AD1">
            <w:pPr>
              <w:spacing w:after="0" w:line="240" w:lineRule="auto"/>
              <w:jc w:val="both"/>
              <w:rPr>
                <w:rFonts w:eastAsia="Times New Roman" w:cs="Arial"/>
                <w:color w:val="000000"/>
              </w:rPr>
            </w:pPr>
          </w:p>
        </w:tc>
        <w:tc>
          <w:tcPr>
            <w:tcW w:w="1039" w:type="pct"/>
            <w:tcBorders>
              <w:top w:val="nil"/>
              <w:left w:val="nil"/>
              <w:bottom w:val="single" w:sz="4" w:space="0" w:color="000000"/>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Total</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1.70</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0.49</w:t>
            </w:r>
          </w:p>
        </w:tc>
        <w:tc>
          <w:tcPr>
            <w:tcW w:w="1000" w:type="pct"/>
            <w:tcBorders>
              <w:top w:val="nil"/>
              <w:left w:val="nil"/>
              <w:bottom w:val="single" w:sz="4" w:space="0" w:color="000000"/>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18</w:t>
            </w:r>
          </w:p>
        </w:tc>
      </w:tr>
      <w:tr w:rsidR="00FB1389" w:rsidRPr="00D42AD1" w:rsidTr="00D05EBD">
        <w:trPr>
          <w:trHeight w:val="300"/>
        </w:trPr>
        <w:tc>
          <w:tcPr>
            <w:tcW w:w="961" w:type="pct"/>
            <w:vMerge w:val="restart"/>
            <w:tcBorders>
              <w:top w:val="nil"/>
              <w:left w:val="nil"/>
              <w:bottom w:val="single" w:sz="4" w:space="0" w:color="000000"/>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proofErr w:type="spellStart"/>
            <w:r w:rsidRPr="00D42AD1">
              <w:rPr>
                <w:rFonts w:eastAsia="Times New Roman" w:cs="Arial"/>
                <w:color w:val="000000"/>
              </w:rPr>
              <w:t>URNEa</w:t>
            </w:r>
            <w:proofErr w:type="spellEnd"/>
          </w:p>
        </w:tc>
        <w:tc>
          <w:tcPr>
            <w:tcW w:w="1039" w:type="pct"/>
            <w:tcBorders>
              <w:top w:val="nil"/>
              <w:left w:val="nil"/>
              <w:bottom w:val="nil"/>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Control</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1.21</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0.42</w:t>
            </w:r>
          </w:p>
        </w:tc>
        <w:tc>
          <w:tcPr>
            <w:tcW w:w="1000" w:type="pct"/>
            <w:tcBorders>
              <w:top w:val="nil"/>
              <w:left w:val="nil"/>
              <w:bottom w:val="nil"/>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8</w:t>
            </w:r>
          </w:p>
        </w:tc>
      </w:tr>
      <w:tr w:rsidR="00FB1389" w:rsidRPr="00D42AD1" w:rsidTr="00D05EBD">
        <w:trPr>
          <w:trHeight w:val="300"/>
        </w:trPr>
        <w:tc>
          <w:tcPr>
            <w:tcW w:w="961" w:type="pct"/>
            <w:vMerge/>
            <w:tcBorders>
              <w:top w:val="nil"/>
              <w:left w:val="nil"/>
              <w:bottom w:val="single" w:sz="4" w:space="0" w:color="000000"/>
              <w:right w:val="single" w:sz="4" w:space="0" w:color="000000"/>
            </w:tcBorders>
            <w:vAlign w:val="center"/>
            <w:hideMark/>
          </w:tcPr>
          <w:p w:rsidR="00FB1389" w:rsidRPr="00D42AD1" w:rsidRDefault="00FB1389" w:rsidP="00D42AD1">
            <w:pPr>
              <w:spacing w:after="0" w:line="240" w:lineRule="auto"/>
              <w:jc w:val="both"/>
              <w:rPr>
                <w:rFonts w:eastAsia="Times New Roman" w:cs="Arial"/>
                <w:color w:val="000000"/>
              </w:rPr>
            </w:pPr>
          </w:p>
        </w:tc>
        <w:tc>
          <w:tcPr>
            <w:tcW w:w="1039" w:type="pct"/>
            <w:tcBorders>
              <w:top w:val="nil"/>
              <w:left w:val="nil"/>
              <w:bottom w:val="nil"/>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Experimental</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1.24</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0.41</w:t>
            </w:r>
          </w:p>
        </w:tc>
        <w:tc>
          <w:tcPr>
            <w:tcW w:w="1000" w:type="pct"/>
            <w:tcBorders>
              <w:top w:val="nil"/>
              <w:left w:val="nil"/>
              <w:bottom w:val="nil"/>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10</w:t>
            </w:r>
          </w:p>
        </w:tc>
      </w:tr>
      <w:tr w:rsidR="00FB1389" w:rsidRPr="00D42AD1" w:rsidTr="00D05EBD">
        <w:trPr>
          <w:trHeight w:val="300"/>
        </w:trPr>
        <w:tc>
          <w:tcPr>
            <w:tcW w:w="961" w:type="pct"/>
            <w:vMerge/>
            <w:tcBorders>
              <w:top w:val="nil"/>
              <w:left w:val="nil"/>
              <w:bottom w:val="single" w:sz="4" w:space="0" w:color="000000"/>
              <w:right w:val="single" w:sz="4" w:space="0" w:color="000000"/>
            </w:tcBorders>
            <w:vAlign w:val="center"/>
            <w:hideMark/>
          </w:tcPr>
          <w:p w:rsidR="00FB1389" w:rsidRPr="00D42AD1" w:rsidRDefault="00FB1389" w:rsidP="00D42AD1">
            <w:pPr>
              <w:spacing w:after="0" w:line="240" w:lineRule="auto"/>
              <w:jc w:val="both"/>
              <w:rPr>
                <w:rFonts w:eastAsia="Times New Roman" w:cs="Arial"/>
                <w:color w:val="000000"/>
              </w:rPr>
            </w:pPr>
          </w:p>
        </w:tc>
        <w:tc>
          <w:tcPr>
            <w:tcW w:w="1039" w:type="pct"/>
            <w:tcBorders>
              <w:top w:val="nil"/>
              <w:left w:val="nil"/>
              <w:bottom w:val="single" w:sz="4" w:space="0" w:color="000000"/>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Total</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1.23</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0.40</w:t>
            </w:r>
          </w:p>
        </w:tc>
        <w:tc>
          <w:tcPr>
            <w:tcW w:w="1000" w:type="pct"/>
            <w:tcBorders>
              <w:top w:val="nil"/>
              <w:left w:val="nil"/>
              <w:bottom w:val="single" w:sz="4" w:space="0" w:color="000000"/>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18</w:t>
            </w:r>
          </w:p>
        </w:tc>
      </w:tr>
      <w:tr w:rsidR="00FB1389" w:rsidRPr="00D42AD1" w:rsidTr="00D05EBD">
        <w:trPr>
          <w:trHeight w:val="300"/>
        </w:trPr>
        <w:tc>
          <w:tcPr>
            <w:tcW w:w="961" w:type="pct"/>
            <w:vMerge w:val="restart"/>
            <w:tcBorders>
              <w:top w:val="nil"/>
              <w:left w:val="nil"/>
              <w:bottom w:val="single" w:sz="4" w:space="0" w:color="000000"/>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proofErr w:type="spellStart"/>
            <w:r w:rsidRPr="00D42AD1">
              <w:rPr>
                <w:rFonts w:eastAsia="Times New Roman" w:cs="Arial"/>
                <w:color w:val="000000"/>
              </w:rPr>
              <w:t>URNEt</w:t>
            </w:r>
            <w:proofErr w:type="spellEnd"/>
          </w:p>
        </w:tc>
        <w:tc>
          <w:tcPr>
            <w:tcW w:w="1039" w:type="pct"/>
            <w:tcBorders>
              <w:top w:val="nil"/>
              <w:left w:val="nil"/>
              <w:bottom w:val="nil"/>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Control</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1.74</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0.90</w:t>
            </w:r>
          </w:p>
        </w:tc>
        <w:tc>
          <w:tcPr>
            <w:tcW w:w="1000" w:type="pct"/>
            <w:tcBorders>
              <w:top w:val="nil"/>
              <w:left w:val="nil"/>
              <w:bottom w:val="nil"/>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8</w:t>
            </w:r>
          </w:p>
        </w:tc>
      </w:tr>
      <w:tr w:rsidR="00FB1389" w:rsidRPr="00D42AD1" w:rsidTr="00D05EBD">
        <w:trPr>
          <w:trHeight w:val="300"/>
        </w:trPr>
        <w:tc>
          <w:tcPr>
            <w:tcW w:w="961" w:type="pct"/>
            <w:vMerge/>
            <w:tcBorders>
              <w:top w:val="nil"/>
              <w:left w:val="nil"/>
              <w:bottom w:val="single" w:sz="4" w:space="0" w:color="000000"/>
              <w:right w:val="single" w:sz="4" w:space="0" w:color="000000"/>
            </w:tcBorders>
            <w:vAlign w:val="center"/>
            <w:hideMark/>
          </w:tcPr>
          <w:p w:rsidR="00FB1389" w:rsidRPr="00D42AD1" w:rsidRDefault="00FB1389" w:rsidP="00D42AD1">
            <w:pPr>
              <w:spacing w:after="0" w:line="240" w:lineRule="auto"/>
              <w:jc w:val="both"/>
              <w:rPr>
                <w:rFonts w:eastAsia="Times New Roman" w:cs="Arial"/>
                <w:color w:val="000000"/>
              </w:rPr>
            </w:pPr>
          </w:p>
        </w:tc>
        <w:tc>
          <w:tcPr>
            <w:tcW w:w="1039" w:type="pct"/>
            <w:tcBorders>
              <w:top w:val="nil"/>
              <w:left w:val="nil"/>
              <w:bottom w:val="nil"/>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Experimental</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1.36</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0.42</w:t>
            </w:r>
          </w:p>
        </w:tc>
        <w:tc>
          <w:tcPr>
            <w:tcW w:w="1000" w:type="pct"/>
            <w:tcBorders>
              <w:top w:val="nil"/>
              <w:left w:val="nil"/>
              <w:bottom w:val="nil"/>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10</w:t>
            </w:r>
          </w:p>
        </w:tc>
      </w:tr>
      <w:tr w:rsidR="00FB1389" w:rsidRPr="00D42AD1" w:rsidTr="00D05EBD">
        <w:trPr>
          <w:trHeight w:val="300"/>
        </w:trPr>
        <w:tc>
          <w:tcPr>
            <w:tcW w:w="961" w:type="pct"/>
            <w:vMerge/>
            <w:tcBorders>
              <w:top w:val="nil"/>
              <w:left w:val="nil"/>
              <w:bottom w:val="single" w:sz="4" w:space="0" w:color="000000"/>
              <w:right w:val="single" w:sz="4" w:space="0" w:color="000000"/>
            </w:tcBorders>
            <w:vAlign w:val="center"/>
            <w:hideMark/>
          </w:tcPr>
          <w:p w:rsidR="00FB1389" w:rsidRPr="00D42AD1" w:rsidRDefault="00FB1389" w:rsidP="00D42AD1">
            <w:pPr>
              <w:spacing w:after="0" w:line="240" w:lineRule="auto"/>
              <w:jc w:val="both"/>
              <w:rPr>
                <w:rFonts w:eastAsia="Times New Roman" w:cs="Arial"/>
                <w:color w:val="000000"/>
              </w:rPr>
            </w:pPr>
          </w:p>
        </w:tc>
        <w:tc>
          <w:tcPr>
            <w:tcW w:w="1039" w:type="pct"/>
            <w:tcBorders>
              <w:top w:val="nil"/>
              <w:left w:val="nil"/>
              <w:bottom w:val="single" w:sz="4" w:space="0" w:color="000000"/>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Total</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1.53</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0.68</w:t>
            </w:r>
          </w:p>
        </w:tc>
        <w:tc>
          <w:tcPr>
            <w:tcW w:w="1000" w:type="pct"/>
            <w:tcBorders>
              <w:top w:val="nil"/>
              <w:left w:val="nil"/>
              <w:bottom w:val="single" w:sz="4" w:space="0" w:color="000000"/>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18</w:t>
            </w:r>
          </w:p>
        </w:tc>
      </w:tr>
      <w:tr w:rsidR="00FB1389" w:rsidRPr="00D42AD1" w:rsidTr="00D05EBD">
        <w:trPr>
          <w:trHeight w:val="300"/>
        </w:trPr>
        <w:tc>
          <w:tcPr>
            <w:tcW w:w="961" w:type="pct"/>
            <w:vMerge w:val="restart"/>
            <w:tcBorders>
              <w:top w:val="nil"/>
              <w:left w:val="nil"/>
              <w:bottom w:val="single" w:sz="4" w:space="0" w:color="000000"/>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proofErr w:type="spellStart"/>
            <w:r w:rsidRPr="00D42AD1">
              <w:rPr>
                <w:rFonts w:eastAsia="Times New Roman" w:cs="Arial"/>
                <w:color w:val="000000"/>
              </w:rPr>
              <w:t>DRNEa</w:t>
            </w:r>
            <w:proofErr w:type="spellEnd"/>
          </w:p>
        </w:tc>
        <w:tc>
          <w:tcPr>
            <w:tcW w:w="1039" w:type="pct"/>
            <w:tcBorders>
              <w:top w:val="nil"/>
              <w:left w:val="nil"/>
              <w:bottom w:val="nil"/>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Control</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1.23</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0.36</w:t>
            </w:r>
          </w:p>
        </w:tc>
        <w:tc>
          <w:tcPr>
            <w:tcW w:w="1000" w:type="pct"/>
            <w:tcBorders>
              <w:top w:val="nil"/>
              <w:left w:val="nil"/>
              <w:bottom w:val="nil"/>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8</w:t>
            </w:r>
          </w:p>
        </w:tc>
      </w:tr>
      <w:tr w:rsidR="00FB1389" w:rsidRPr="00D42AD1" w:rsidTr="00D05EBD">
        <w:trPr>
          <w:trHeight w:val="300"/>
        </w:trPr>
        <w:tc>
          <w:tcPr>
            <w:tcW w:w="961" w:type="pct"/>
            <w:vMerge/>
            <w:tcBorders>
              <w:top w:val="nil"/>
              <w:left w:val="nil"/>
              <w:bottom w:val="single" w:sz="4" w:space="0" w:color="000000"/>
              <w:right w:val="single" w:sz="4" w:space="0" w:color="000000"/>
            </w:tcBorders>
            <w:vAlign w:val="center"/>
            <w:hideMark/>
          </w:tcPr>
          <w:p w:rsidR="00FB1389" w:rsidRPr="00D42AD1" w:rsidRDefault="00FB1389" w:rsidP="00D42AD1">
            <w:pPr>
              <w:spacing w:after="0" w:line="240" w:lineRule="auto"/>
              <w:jc w:val="both"/>
              <w:rPr>
                <w:rFonts w:eastAsia="Times New Roman" w:cs="Arial"/>
                <w:color w:val="000000"/>
              </w:rPr>
            </w:pPr>
          </w:p>
        </w:tc>
        <w:tc>
          <w:tcPr>
            <w:tcW w:w="1039" w:type="pct"/>
            <w:tcBorders>
              <w:top w:val="nil"/>
              <w:left w:val="nil"/>
              <w:bottom w:val="nil"/>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Experimental</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1.29</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0.50</w:t>
            </w:r>
          </w:p>
        </w:tc>
        <w:tc>
          <w:tcPr>
            <w:tcW w:w="1000" w:type="pct"/>
            <w:tcBorders>
              <w:top w:val="nil"/>
              <w:left w:val="nil"/>
              <w:bottom w:val="nil"/>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10</w:t>
            </w:r>
          </w:p>
        </w:tc>
      </w:tr>
      <w:tr w:rsidR="00FB1389" w:rsidRPr="00D42AD1" w:rsidTr="00D05EBD">
        <w:trPr>
          <w:trHeight w:val="300"/>
        </w:trPr>
        <w:tc>
          <w:tcPr>
            <w:tcW w:w="961" w:type="pct"/>
            <w:vMerge/>
            <w:tcBorders>
              <w:top w:val="nil"/>
              <w:left w:val="nil"/>
              <w:bottom w:val="single" w:sz="4" w:space="0" w:color="000000"/>
              <w:right w:val="single" w:sz="4" w:space="0" w:color="000000"/>
            </w:tcBorders>
            <w:vAlign w:val="center"/>
            <w:hideMark/>
          </w:tcPr>
          <w:p w:rsidR="00FB1389" w:rsidRPr="00D42AD1" w:rsidRDefault="00FB1389" w:rsidP="00D42AD1">
            <w:pPr>
              <w:spacing w:after="0" w:line="240" w:lineRule="auto"/>
              <w:jc w:val="both"/>
              <w:rPr>
                <w:rFonts w:eastAsia="Times New Roman" w:cs="Arial"/>
                <w:color w:val="000000"/>
              </w:rPr>
            </w:pPr>
          </w:p>
        </w:tc>
        <w:tc>
          <w:tcPr>
            <w:tcW w:w="1039" w:type="pct"/>
            <w:tcBorders>
              <w:top w:val="nil"/>
              <w:left w:val="nil"/>
              <w:bottom w:val="single" w:sz="4" w:space="0" w:color="000000"/>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Total</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1.26</w:t>
            </w:r>
          </w:p>
        </w:tc>
        <w:tc>
          <w:tcPr>
            <w:tcW w:w="1000" w:type="pct"/>
            <w:tcBorders>
              <w:top w:val="nil"/>
              <w:left w:val="nil"/>
              <w:bottom w:val="single" w:sz="4" w:space="0" w:color="000000"/>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0.43</w:t>
            </w:r>
          </w:p>
        </w:tc>
        <w:tc>
          <w:tcPr>
            <w:tcW w:w="1000" w:type="pct"/>
            <w:tcBorders>
              <w:top w:val="nil"/>
              <w:left w:val="nil"/>
              <w:bottom w:val="single" w:sz="4" w:space="0" w:color="000000"/>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18</w:t>
            </w:r>
          </w:p>
        </w:tc>
      </w:tr>
      <w:tr w:rsidR="00FB1389" w:rsidRPr="00D42AD1" w:rsidTr="00D05EBD">
        <w:trPr>
          <w:trHeight w:val="300"/>
        </w:trPr>
        <w:tc>
          <w:tcPr>
            <w:tcW w:w="961" w:type="pct"/>
            <w:vMerge w:val="restart"/>
            <w:tcBorders>
              <w:top w:val="single" w:sz="4" w:space="0" w:color="000000"/>
              <w:left w:val="nil"/>
              <w:bottom w:val="single" w:sz="4" w:space="0" w:color="000000"/>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proofErr w:type="spellStart"/>
            <w:r w:rsidRPr="00D42AD1">
              <w:rPr>
                <w:rFonts w:eastAsia="Times New Roman" w:cs="Arial"/>
                <w:color w:val="000000"/>
              </w:rPr>
              <w:t>DRNEt</w:t>
            </w:r>
            <w:proofErr w:type="spellEnd"/>
          </w:p>
        </w:tc>
        <w:tc>
          <w:tcPr>
            <w:tcW w:w="1039" w:type="pct"/>
            <w:tcBorders>
              <w:top w:val="single" w:sz="4" w:space="0" w:color="000000"/>
              <w:left w:val="nil"/>
              <w:bottom w:val="nil"/>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Control</w:t>
            </w:r>
          </w:p>
        </w:tc>
        <w:tc>
          <w:tcPr>
            <w:tcW w:w="1000" w:type="pct"/>
            <w:tcBorders>
              <w:top w:val="single" w:sz="4" w:space="0" w:color="000000"/>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1.13</w:t>
            </w:r>
          </w:p>
        </w:tc>
        <w:tc>
          <w:tcPr>
            <w:tcW w:w="1000" w:type="pct"/>
            <w:tcBorders>
              <w:top w:val="single" w:sz="4" w:space="0" w:color="000000"/>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0.35</w:t>
            </w:r>
          </w:p>
        </w:tc>
        <w:tc>
          <w:tcPr>
            <w:tcW w:w="1000" w:type="pct"/>
            <w:tcBorders>
              <w:top w:val="single" w:sz="4" w:space="0" w:color="000000"/>
              <w:left w:val="nil"/>
              <w:bottom w:val="nil"/>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8</w:t>
            </w:r>
          </w:p>
        </w:tc>
      </w:tr>
      <w:tr w:rsidR="00FB1389" w:rsidRPr="00D42AD1" w:rsidTr="00D05EBD">
        <w:trPr>
          <w:trHeight w:val="300"/>
        </w:trPr>
        <w:tc>
          <w:tcPr>
            <w:tcW w:w="961" w:type="pct"/>
            <w:vMerge/>
            <w:tcBorders>
              <w:top w:val="nil"/>
              <w:left w:val="nil"/>
              <w:bottom w:val="single" w:sz="4" w:space="0" w:color="000000"/>
              <w:right w:val="single" w:sz="4" w:space="0" w:color="000000"/>
            </w:tcBorders>
            <w:vAlign w:val="center"/>
            <w:hideMark/>
          </w:tcPr>
          <w:p w:rsidR="00FB1389" w:rsidRPr="00D42AD1" w:rsidRDefault="00FB1389" w:rsidP="00D42AD1">
            <w:pPr>
              <w:spacing w:after="0" w:line="240" w:lineRule="auto"/>
              <w:jc w:val="both"/>
              <w:rPr>
                <w:rFonts w:eastAsia="Times New Roman" w:cs="Arial"/>
                <w:color w:val="000000"/>
              </w:rPr>
            </w:pPr>
          </w:p>
        </w:tc>
        <w:tc>
          <w:tcPr>
            <w:tcW w:w="1039" w:type="pct"/>
            <w:tcBorders>
              <w:top w:val="nil"/>
              <w:left w:val="nil"/>
              <w:bottom w:val="nil"/>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Experimental</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1.20</w:t>
            </w:r>
          </w:p>
        </w:tc>
        <w:tc>
          <w:tcPr>
            <w:tcW w:w="1000" w:type="pct"/>
            <w:tcBorders>
              <w:top w:val="nil"/>
              <w:left w:val="nil"/>
              <w:bottom w:val="nil"/>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0.42</w:t>
            </w:r>
          </w:p>
        </w:tc>
        <w:tc>
          <w:tcPr>
            <w:tcW w:w="1000" w:type="pct"/>
            <w:tcBorders>
              <w:top w:val="nil"/>
              <w:left w:val="nil"/>
              <w:bottom w:val="nil"/>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10</w:t>
            </w:r>
          </w:p>
        </w:tc>
      </w:tr>
      <w:tr w:rsidR="00FB1389" w:rsidRPr="00D42AD1" w:rsidTr="00D05EBD">
        <w:trPr>
          <w:trHeight w:val="300"/>
        </w:trPr>
        <w:tc>
          <w:tcPr>
            <w:tcW w:w="961" w:type="pct"/>
            <w:vMerge/>
            <w:tcBorders>
              <w:top w:val="nil"/>
              <w:left w:val="nil"/>
              <w:bottom w:val="double" w:sz="4" w:space="0" w:color="auto"/>
              <w:right w:val="single" w:sz="4" w:space="0" w:color="000000"/>
            </w:tcBorders>
            <w:vAlign w:val="center"/>
            <w:hideMark/>
          </w:tcPr>
          <w:p w:rsidR="00FB1389" w:rsidRPr="00D42AD1" w:rsidRDefault="00FB1389" w:rsidP="00D42AD1">
            <w:pPr>
              <w:spacing w:after="0" w:line="240" w:lineRule="auto"/>
              <w:jc w:val="both"/>
              <w:rPr>
                <w:rFonts w:eastAsia="Times New Roman" w:cs="Arial"/>
                <w:color w:val="000000"/>
              </w:rPr>
            </w:pPr>
          </w:p>
        </w:tc>
        <w:tc>
          <w:tcPr>
            <w:tcW w:w="1039" w:type="pct"/>
            <w:tcBorders>
              <w:top w:val="nil"/>
              <w:left w:val="nil"/>
              <w:bottom w:val="double" w:sz="4" w:space="0" w:color="auto"/>
              <w:right w:val="single" w:sz="4" w:space="0" w:color="000000"/>
            </w:tcBorders>
            <w:shd w:val="clear" w:color="auto" w:fill="auto"/>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Total</w:t>
            </w:r>
          </w:p>
        </w:tc>
        <w:tc>
          <w:tcPr>
            <w:tcW w:w="1000" w:type="pct"/>
            <w:tcBorders>
              <w:top w:val="nil"/>
              <w:left w:val="nil"/>
              <w:bottom w:val="double" w:sz="4" w:space="0" w:color="auto"/>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1.17</w:t>
            </w:r>
          </w:p>
        </w:tc>
        <w:tc>
          <w:tcPr>
            <w:tcW w:w="1000" w:type="pct"/>
            <w:tcBorders>
              <w:top w:val="nil"/>
              <w:left w:val="nil"/>
              <w:bottom w:val="double" w:sz="4" w:space="0" w:color="auto"/>
              <w:right w:val="single" w:sz="4" w:space="0" w:color="000000"/>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0.38</w:t>
            </w:r>
          </w:p>
        </w:tc>
        <w:tc>
          <w:tcPr>
            <w:tcW w:w="1000" w:type="pct"/>
            <w:tcBorders>
              <w:top w:val="nil"/>
              <w:left w:val="nil"/>
              <w:bottom w:val="double" w:sz="4" w:space="0" w:color="auto"/>
              <w:right w:val="nil"/>
            </w:tcBorders>
            <w:shd w:val="clear" w:color="auto" w:fill="auto"/>
            <w:noWrap/>
            <w:vAlign w:val="center"/>
            <w:hideMark/>
          </w:tcPr>
          <w:p w:rsidR="00FB1389" w:rsidRPr="00D42AD1" w:rsidRDefault="00FB1389" w:rsidP="00D42AD1">
            <w:pPr>
              <w:spacing w:after="0" w:line="240" w:lineRule="auto"/>
              <w:jc w:val="both"/>
              <w:rPr>
                <w:rFonts w:eastAsia="Times New Roman" w:cs="Arial"/>
                <w:color w:val="000000"/>
              </w:rPr>
            </w:pPr>
            <w:r w:rsidRPr="00D42AD1">
              <w:rPr>
                <w:rFonts w:eastAsia="Times New Roman" w:cs="Arial"/>
                <w:color w:val="000000"/>
              </w:rPr>
              <w:t>18</w:t>
            </w:r>
          </w:p>
        </w:tc>
      </w:tr>
    </w:tbl>
    <w:p w:rsidR="00FB1389" w:rsidRPr="00D05EBD" w:rsidRDefault="00FB1389" w:rsidP="00AE640B">
      <w:pPr>
        <w:autoSpaceDE w:val="0"/>
        <w:autoSpaceDN w:val="0"/>
        <w:adjustRightInd w:val="0"/>
        <w:spacing w:after="0" w:line="480" w:lineRule="auto"/>
        <w:ind w:firstLine="720"/>
        <w:jc w:val="both"/>
        <w:rPr>
          <w:rFonts w:cs="Times New Roman"/>
          <w:sz w:val="24"/>
          <w:szCs w:val="24"/>
        </w:rPr>
      </w:pPr>
      <w:r w:rsidRPr="00D05EBD">
        <w:rPr>
          <w:rFonts w:cs="Times New Roman"/>
          <w:sz w:val="24"/>
          <w:szCs w:val="24"/>
        </w:rPr>
        <w:tab/>
      </w:r>
    </w:p>
    <w:p w:rsidR="00FB1389" w:rsidRPr="00D05EBD" w:rsidRDefault="00FB1389" w:rsidP="00AE640B">
      <w:pPr>
        <w:autoSpaceDE w:val="0"/>
        <w:autoSpaceDN w:val="0"/>
        <w:adjustRightInd w:val="0"/>
        <w:spacing w:after="0" w:line="480" w:lineRule="auto"/>
        <w:ind w:firstLine="720"/>
        <w:jc w:val="both"/>
        <w:rPr>
          <w:rFonts w:eastAsia="Wingdings-Regular" w:cs="ClassicalGaramondBT-Roman"/>
          <w:color w:val="000000"/>
          <w:sz w:val="24"/>
          <w:szCs w:val="24"/>
        </w:rPr>
      </w:pPr>
      <w:proofErr w:type="spellStart"/>
      <w:r w:rsidRPr="00D05EBD">
        <w:rPr>
          <w:rFonts w:eastAsia="Wingdings-Regular" w:cs="ClassicalGaramondBT-Roman"/>
          <w:color w:val="000000"/>
          <w:sz w:val="24"/>
          <w:szCs w:val="24"/>
        </w:rPr>
        <w:t>Mauchly’s</w:t>
      </w:r>
      <w:proofErr w:type="spellEnd"/>
      <w:r w:rsidRPr="00D05EBD">
        <w:rPr>
          <w:rFonts w:eastAsia="Wingdings-Regular" w:cs="ClassicalGaramondBT-Roman"/>
          <w:color w:val="000000"/>
          <w:sz w:val="24"/>
          <w:szCs w:val="24"/>
        </w:rPr>
        <w:t xml:space="preserve"> test indicated that the assumption of </w:t>
      </w:r>
      <w:proofErr w:type="spellStart"/>
      <w:r w:rsidRPr="00D05EBD">
        <w:rPr>
          <w:rFonts w:eastAsia="Wingdings-Regular" w:cs="ClassicalGaramondBT-Roman"/>
          <w:color w:val="000000"/>
          <w:sz w:val="24"/>
          <w:szCs w:val="24"/>
        </w:rPr>
        <w:t>sphericity</w:t>
      </w:r>
      <w:proofErr w:type="spellEnd"/>
      <w:r w:rsidRPr="00D05EBD">
        <w:rPr>
          <w:rFonts w:eastAsia="Wingdings-Regular" w:cs="ClassicalGaramondBT-Roman"/>
          <w:color w:val="000000"/>
          <w:sz w:val="24"/>
          <w:szCs w:val="24"/>
        </w:rPr>
        <w:t xml:space="preserve"> was met for the main effects of regulation, </w:t>
      </w:r>
      <w:r w:rsidRPr="00D05EBD">
        <w:rPr>
          <w:rFonts w:eastAsia="Wingdings-Regular" w:cs="MTMI"/>
          <w:i/>
          <w:iCs/>
          <w:color w:val="000000"/>
          <w:sz w:val="24"/>
          <w:szCs w:val="24"/>
        </w:rPr>
        <w:t>χ</w:t>
      </w:r>
      <w:r w:rsidRPr="00D05EBD">
        <w:rPr>
          <w:rFonts w:eastAsia="Wingdings-Regular" w:cs="ClassicalGaramondBT-Roman"/>
          <w:color w:val="000000"/>
          <w:sz w:val="24"/>
          <w:szCs w:val="24"/>
        </w:rPr>
        <w:t xml:space="preserve">2(2) =.11, </w:t>
      </w:r>
      <w:r w:rsidRPr="00D05EBD">
        <w:rPr>
          <w:rFonts w:eastAsia="Wingdings-Regular" w:cs="ClassicalGaramondBT-Italic"/>
          <w:i/>
          <w:iCs/>
          <w:color w:val="000000"/>
          <w:sz w:val="24"/>
          <w:szCs w:val="24"/>
        </w:rPr>
        <w:t xml:space="preserve">p </w:t>
      </w:r>
      <w:r w:rsidRPr="00D05EBD">
        <w:rPr>
          <w:rFonts w:eastAsia="Wingdings-Regular" w:cs="Symbol"/>
          <w:color w:val="000000"/>
          <w:sz w:val="24"/>
          <w:szCs w:val="24"/>
        </w:rPr>
        <w:t xml:space="preserve">&gt; </w:t>
      </w:r>
      <w:r w:rsidRPr="00D05EBD">
        <w:rPr>
          <w:rFonts w:eastAsia="Wingdings-Regular" w:cs="ClassicalGaramondBT-Roman"/>
          <w:color w:val="000000"/>
          <w:sz w:val="24"/>
          <w:szCs w:val="24"/>
        </w:rPr>
        <w:t xml:space="preserve">.05 and for the interaction effects between role and regulation, </w:t>
      </w:r>
      <w:r w:rsidRPr="00D05EBD">
        <w:rPr>
          <w:rFonts w:eastAsia="Wingdings-Regular" w:cs="MTMI"/>
          <w:i/>
          <w:iCs/>
          <w:color w:val="000000"/>
          <w:sz w:val="24"/>
          <w:szCs w:val="24"/>
        </w:rPr>
        <w:t>χ</w:t>
      </w:r>
      <w:r w:rsidRPr="00D05EBD">
        <w:rPr>
          <w:rFonts w:eastAsia="Wingdings-Regular" w:cs="ClassicalGaramondBT-Roman"/>
          <w:color w:val="000000"/>
          <w:sz w:val="24"/>
          <w:szCs w:val="24"/>
        </w:rPr>
        <w:t xml:space="preserve">2(2) = 2.63, </w:t>
      </w:r>
      <w:r w:rsidRPr="00D05EBD">
        <w:rPr>
          <w:rFonts w:eastAsia="Wingdings-Regular" w:cs="ClassicalGaramondBT-Italic"/>
          <w:i/>
          <w:iCs/>
          <w:color w:val="000000"/>
          <w:sz w:val="24"/>
          <w:szCs w:val="24"/>
        </w:rPr>
        <w:t xml:space="preserve">p </w:t>
      </w:r>
      <w:r w:rsidRPr="00D05EBD">
        <w:rPr>
          <w:rFonts w:eastAsia="Wingdings-Regular" w:cs="ClassicalGaramondBT-Roman"/>
          <w:color w:val="000000"/>
          <w:sz w:val="24"/>
          <w:szCs w:val="24"/>
        </w:rPr>
        <w:t xml:space="preserve">&gt; .05. </w:t>
      </w:r>
    </w:p>
    <w:p w:rsidR="00FB1389" w:rsidRPr="00D05EBD" w:rsidRDefault="00FB1389" w:rsidP="00AE640B">
      <w:pPr>
        <w:spacing w:line="480" w:lineRule="auto"/>
        <w:ind w:firstLine="720"/>
        <w:jc w:val="both"/>
        <w:rPr>
          <w:rFonts w:cs="Times New Roman"/>
          <w:sz w:val="24"/>
          <w:szCs w:val="24"/>
          <w:highlight w:val="magenta"/>
        </w:rPr>
      </w:pPr>
      <w:r w:rsidRPr="00D05EBD">
        <w:rPr>
          <w:rFonts w:cs="Times New Roman"/>
          <w:sz w:val="24"/>
          <w:szCs w:val="24"/>
        </w:rPr>
        <w:lastRenderedPageBreak/>
        <w:t>There was a significant interaction effect between the type of regulation (</w:t>
      </w:r>
      <w:proofErr w:type="spellStart"/>
      <w:r w:rsidRPr="00D05EBD">
        <w:rPr>
          <w:rFonts w:cs="Times New Roman"/>
          <w:sz w:val="24"/>
          <w:szCs w:val="24"/>
        </w:rPr>
        <w:t>URPEt</w:t>
      </w:r>
      <w:proofErr w:type="spellEnd"/>
      <w:r w:rsidRPr="00D05EBD">
        <w:rPr>
          <w:rFonts w:cs="Times New Roman"/>
          <w:sz w:val="24"/>
          <w:szCs w:val="24"/>
        </w:rPr>
        <w:t xml:space="preserve">, </w:t>
      </w:r>
      <w:proofErr w:type="spellStart"/>
      <w:r w:rsidRPr="00D05EBD">
        <w:rPr>
          <w:rFonts w:cs="Times New Roman"/>
          <w:sz w:val="24"/>
          <w:szCs w:val="24"/>
        </w:rPr>
        <w:t>URPEa</w:t>
      </w:r>
      <w:proofErr w:type="spellEnd"/>
      <w:r w:rsidRPr="00D05EBD">
        <w:rPr>
          <w:rFonts w:cs="Times New Roman"/>
          <w:sz w:val="24"/>
          <w:szCs w:val="24"/>
        </w:rPr>
        <w:t xml:space="preserve">, </w:t>
      </w:r>
      <w:proofErr w:type="spellStart"/>
      <w:r w:rsidRPr="00D05EBD">
        <w:rPr>
          <w:rFonts w:cs="Times New Roman"/>
          <w:sz w:val="24"/>
          <w:szCs w:val="24"/>
        </w:rPr>
        <w:t>URNEt</w:t>
      </w:r>
      <w:proofErr w:type="spellEnd"/>
      <w:r w:rsidRPr="00D05EBD">
        <w:rPr>
          <w:rFonts w:cs="Times New Roman"/>
          <w:sz w:val="24"/>
          <w:szCs w:val="24"/>
        </w:rPr>
        <w:t xml:space="preserve">, </w:t>
      </w:r>
      <w:proofErr w:type="spellStart"/>
      <w:r w:rsidRPr="00D05EBD">
        <w:rPr>
          <w:rFonts w:cs="Times New Roman"/>
          <w:sz w:val="24"/>
          <w:szCs w:val="24"/>
        </w:rPr>
        <w:t>URNEa</w:t>
      </w:r>
      <w:proofErr w:type="spellEnd"/>
      <w:r w:rsidRPr="00D05EBD">
        <w:rPr>
          <w:rFonts w:cs="Times New Roman"/>
          <w:sz w:val="24"/>
          <w:szCs w:val="24"/>
        </w:rPr>
        <w:t xml:space="preserve">, </w:t>
      </w:r>
      <w:proofErr w:type="spellStart"/>
      <w:r w:rsidRPr="00D05EBD">
        <w:rPr>
          <w:rFonts w:cs="Times New Roman"/>
          <w:sz w:val="24"/>
          <w:szCs w:val="24"/>
        </w:rPr>
        <w:t>DRNEt</w:t>
      </w:r>
      <w:proofErr w:type="spellEnd"/>
      <w:r w:rsidRPr="00D05EBD">
        <w:rPr>
          <w:rFonts w:cs="Times New Roman"/>
          <w:sz w:val="24"/>
          <w:szCs w:val="24"/>
        </w:rPr>
        <w:t xml:space="preserve"> and </w:t>
      </w:r>
      <w:proofErr w:type="spellStart"/>
      <w:r w:rsidRPr="00D05EBD">
        <w:rPr>
          <w:rFonts w:cs="Times New Roman"/>
          <w:sz w:val="24"/>
          <w:szCs w:val="24"/>
        </w:rPr>
        <w:t>DRNEa</w:t>
      </w:r>
      <w:proofErr w:type="spellEnd"/>
      <w:r w:rsidRPr="00D05EBD">
        <w:rPr>
          <w:rFonts w:cs="Times New Roman"/>
          <w:sz w:val="24"/>
          <w:szCs w:val="24"/>
        </w:rPr>
        <w:t xml:space="preserve">), the role (target and agent), and the condition (experimental and control) to which participants belonged </w:t>
      </w:r>
      <w:r w:rsidRPr="00D05EBD">
        <w:rPr>
          <w:rFonts w:cs="Times New Roman"/>
          <w:i/>
          <w:sz w:val="24"/>
          <w:szCs w:val="24"/>
        </w:rPr>
        <w:t xml:space="preserve">F </w:t>
      </w:r>
      <w:r w:rsidRPr="00D05EBD">
        <w:rPr>
          <w:rFonts w:cs="Times New Roman"/>
          <w:sz w:val="24"/>
          <w:szCs w:val="24"/>
        </w:rPr>
        <w:t xml:space="preserve">(2,30) = 5.11, </w:t>
      </w:r>
      <w:r w:rsidRPr="00D05EBD">
        <w:rPr>
          <w:rFonts w:cs="Times New Roman"/>
          <w:i/>
          <w:sz w:val="24"/>
          <w:szCs w:val="24"/>
        </w:rPr>
        <w:t xml:space="preserve">p ˂ </w:t>
      </w:r>
      <w:r w:rsidRPr="00D05EBD">
        <w:rPr>
          <w:rFonts w:cs="Times New Roman"/>
          <w:sz w:val="24"/>
          <w:szCs w:val="24"/>
        </w:rPr>
        <w:t xml:space="preserve">.05, </w:t>
      </w:r>
      <w:r w:rsidRPr="00D05EBD">
        <w:rPr>
          <w:rFonts w:cs="Times New Roman"/>
          <w:i/>
          <w:sz w:val="24"/>
          <w:szCs w:val="24"/>
        </w:rPr>
        <w:t xml:space="preserve">d </w:t>
      </w:r>
      <w:r w:rsidRPr="00D05EBD">
        <w:rPr>
          <w:rFonts w:cs="Times New Roman"/>
          <w:sz w:val="24"/>
          <w:szCs w:val="24"/>
        </w:rPr>
        <w:t>= 1.15. This indicates that the condition to which participants belonged and the role they chose to play on the script had different effects on the type of IER behaviours participants used. The score participants got for social desirability did not affect their results</w:t>
      </w:r>
      <w:r w:rsidR="00886568">
        <w:rPr>
          <w:rFonts w:cs="Times New Roman"/>
          <w:sz w:val="24"/>
          <w:szCs w:val="24"/>
        </w:rPr>
        <w:t xml:space="preserve"> </w:t>
      </w:r>
      <w:r w:rsidR="00886568">
        <w:rPr>
          <w:rFonts w:cs="Times New Roman"/>
          <w:i/>
          <w:sz w:val="24"/>
          <w:szCs w:val="24"/>
        </w:rPr>
        <w:t xml:space="preserve">F </w:t>
      </w:r>
      <w:r w:rsidR="00886568">
        <w:rPr>
          <w:rFonts w:cs="Times New Roman"/>
          <w:sz w:val="24"/>
          <w:szCs w:val="24"/>
        </w:rPr>
        <w:t>(2,30)</w:t>
      </w:r>
      <w:r w:rsidR="004E09EE">
        <w:rPr>
          <w:rFonts w:cs="Times New Roman"/>
          <w:sz w:val="24"/>
          <w:szCs w:val="24"/>
        </w:rPr>
        <w:t xml:space="preserve"> = .14, </w:t>
      </w:r>
      <w:r w:rsidR="004E09EE">
        <w:rPr>
          <w:rFonts w:cs="Times New Roman"/>
          <w:i/>
          <w:sz w:val="24"/>
          <w:szCs w:val="24"/>
        </w:rPr>
        <w:t xml:space="preserve">p </w:t>
      </w:r>
      <w:r w:rsidR="004E09EE">
        <w:rPr>
          <w:rFonts w:cs="Times New Roman"/>
          <w:sz w:val="24"/>
          <w:szCs w:val="24"/>
        </w:rPr>
        <w:t>&gt; .05</w:t>
      </w:r>
      <w:r w:rsidRPr="00D05EBD">
        <w:rPr>
          <w:rFonts w:cs="Times New Roman"/>
          <w:sz w:val="24"/>
          <w:szCs w:val="24"/>
        </w:rPr>
        <w:t xml:space="preserve">. </w:t>
      </w:r>
      <w:r w:rsidR="006C6A32" w:rsidRPr="00D05EBD">
        <w:rPr>
          <w:rFonts w:cs="Times New Roman"/>
          <w:sz w:val="24"/>
          <w:szCs w:val="24"/>
        </w:rPr>
        <w:t>However,</w:t>
      </w:r>
      <w:r w:rsidRPr="00D05EBD">
        <w:rPr>
          <w:rFonts w:cs="Times New Roman"/>
          <w:sz w:val="24"/>
          <w:szCs w:val="24"/>
        </w:rPr>
        <w:t xml:space="preserve"> the</w:t>
      </w:r>
      <w:r w:rsidR="004E09EE">
        <w:rPr>
          <w:rFonts w:cs="Times New Roman"/>
          <w:sz w:val="24"/>
          <w:szCs w:val="24"/>
        </w:rPr>
        <w:t>re</w:t>
      </w:r>
      <w:r w:rsidRPr="00D05EBD">
        <w:rPr>
          <w:rFonts w:cs="Times New Roman"/>
          <w:sz w:val="24"/>
          <w:szCs w:val="24"/>
        </w:rPr>
        <w:t xml:space="preserve"> was a non-significant interaction between the condition and the type of regulation </w:t>
      </w:r>
      <w:r w:rsidRPr="00D05EBD">
        <w:rPr>
          <w:rFonts w:cs="Times New Roman"/>
          <w:i/>
          <w:sz w:val="24"/>
          <w:szCs w:val="24"/>
        </w:rPr>
        <w:t xml:space="preserve">F </w:t>
      </w:r>
      <w:r w:rsidRPr="00D05EBD">
        <w:rPr>
          <w:rFonts w:cs="Times New Roman"/>
          <w:sz w:val="24"/>
          <w:szCs w:val="24"/>
        </w:rPr>
        <w:t xml:space="preserve">(2,30) = .31, </w:t>
      </w:r>
      <w:r w:rsidRPr="00D05EBD">
        <w:rPr>
          <w:rFonts w:cs="Times New Roman"/>
          <w:i/>
          <w:sz w:val="24"/>
          <w:szCs w:val="24"/>
        </w:rPr>
        <w:t xml:space="preserve">p &gt; </w:t>
      </w:r>
      <w:r w:rsidRPr="00D05EBD">
        <w:rPr>
          <w:rFonts w:cs="Times New Roman"/>
          <w:sz w:val="24"/>
          <w:szCs w:val="24"/>
        </w:rPr>
        <w:t>.05.</w:t>
      </w:r>
    </w:p>
    <w:p w:rsidR="00FB1389" w:rsidRPr="00D05EBD" w:rsidRDefault="00FB1389" w:rsidP="00AE640B">
      <w:pPr>
        <w:spacing w:line="480" w:lineRule="auto"/>
        <w:ind w:firstLine="720"/>
        <w:jc w:val="both"/>
        <w:rPr>
          <w:rFonts w:cs="Times New Roman"/>
          <w:sz w:val="24"/>
          <w:szCs w:val="24"/>
          <w:highlight w:val="magenta"/>
        </w:rPr>
      </w:pPr>
      <w:r w:rsidRPr="00D05EBD">
        <w:rPr>
          <w:rFonts w:cs="Times New Roman"/>
          <w:sz w:val="24"/>
          <w:szCs w:val="24"/>
        </w:rPr>
        <w:t>The mixed-design ANOVA showed an interaction effect between the condition participants belonged to, the character they chose to play in the script and the type of regulation. To explore which types of regulation differed between the two conditions and the difference between the number of IER behaviours performed by the agent and by the target character, three separate one-way between groups ANOVAs were used for each of the IER behaviours (</w:t>
      </w:r>
      <w:proofErr w:type="spellStart"/>
      <w:r w:rsidRPr="00D05EBD">
        <w:rPr>
          <w:rFonts w:cs="Times New Roman"/>
          <w:sz w:val="24"/>
          <w:szCs w:val="24"/>
        </w:rPr>
        <w:t>URPEt</w:t>
      </w:r>
      <w:proofErr w:type="spellEnd"/>
      <w:r w:rsidRPr="00D05EBD">
        <w:rPr>
          <w:rFonts w:cs="Times New Roman"/>
          <w:sz w:val="24"/>
          <w:szCs w:val="24"/>
        </w:rPr>
        <w:t xml:space="preserve">, </w:t>
      </w:r>
      <w:proofErr w:type="spellStart"/>
      <w:r w:rsidRPr="00D05EBD">
        <w:rPr>
          <w:rFonts w:cs="Times New Roman"/>
          <w:sz w:val="24"/>
          <w:szCs w:val="24"/>
        </w:rPr>
        <w:t>URPEa</w:t>
      </w:r>
      <w:proofErr w:type="spellEnd"/>
      <w:r w:rsidRPr="00D05EBD">
        <w:rPr>
          <w:rFonts w:cs="Times New Roman"/>
          <w:sz w:val="24"/>
          <w:szCs w:val="24"/>
        </w:rPr>
        <w:t xml:space="preserve">, </w:t>
      </w:r>
      <w:proofErr w:type="spellStart"/>
      <w:r w:rsidRPr="00D05EBD">
        <w:rPr>
          <w:rFonts w:cs="Times New Roman"/>
          <w:sz w:val="24"/>
          <w:szCs w:val="24"/>
        </w:rPr>
        <w:t>URNEt</w:t>
      </w:r>
      <w:proofErr w:type="spellEnd"/>
      <w:r w:rsidRPr="00D05EBD">
        <w:rPr>
          <w:rFonts w:cs="Times New Roman"/>
          <w:sz w:val="24"/>
          <w:szCs w:val="24"/>
        </w:rPr>
        <w:t xml:space="preserve">, </w:t>
      </w:r>
      <w:proofErr w:type="spellStart"/>
      <w:r w:rsidRPr="00D05EBD">
        <w:rPr>
          <w:rFonts w:cs="Times New Roman"/>
          <w:sz w:val="24"/>
          <w:szCs w:val="24"/>
        </w:rPr>
        <w:t>URNEa</w:t>
      </w:r>
      <w:proofErr w:type="spellEnd"/>
      <w:r w:rsidRPr="00D05EBD">
        <w:rPr>
          <w:rFonts w:cs="Times New Roman"/>
          <w:sz w:val="24"/>
          <w:szCs w:val="24"/>
        </w:rPr>
        <w:t xml:space="preserve">, </w:t>
      </w:r>
      <w:proofErr w:type="spellStart"/>
      <w:r w:rsidRPr="00D05EBD">
        <w:rPr>
          <w:rFonts w:cs="Times New Roman"/>
          <w:sz w:val="24"/>
          <w:szCs w:val="24"/>
        </w:rPr>
        <w:t>DRNEt</w:t>
      </w:r>
      <w:proofErr w:type="spellEnd"/>
      <w:r w:rsidRPr="00D05EBD">
        <w:rPr>
          <w:rFonts w:cs="Times New Roman"/>
          <w:sz w:val="24"/>
          <w:szCs w:val="24"/>
        </w:rPr>
        <w:t xml:space="preserve"> and </w:t>
      </w:r>
      <w:proofErr w:type="spellStart"/>
      <w:r w:rsidRPr="00D05EBD">
        <w:rPr>
          <w:rFonts w:cs="Times New Roman"/>
          <w:sz w:val="24"/>
          <w:szCs w:val="24"/>
        </w:rPr>
        <w:t>DRNEa</w:t>
      </w:r>
      <w:proofErr w:type="spellEnd"/>
      <w:r w:rsidRPr="00D05EBD">
        <w:rPr>
          <w:rFonts w:cs="Times New Roman"/>
          <w:sz w:val="24"/>
          <w:szCs w:val="24"/>
        </w:rPr>
        <w:t xml:space="preserve">). </w:t>
      </w:r>
    </w:p>
    <w:p w:rsidR="00FB1389" w:rsidRPr="00D05EBD" w:rsidRDefault="00FB1389" w:rsidP="00AE640B">
      <w:pPr>
        <w:spacing w:before="240" w:line="480" w:lineRule="auto"/>
        <w:jc w:val="both"/>
        <w:rPr>
          <w:rFonts w:cs="Times New Roman"/>
          <w:sz w:val="24"/>
          <w:szCs w:val="24"/>
        </w:rPr>
      </w:pPr>
      <w:r w:rsidRPr="00D05EBD">
        <w:rPr>
          <w:rFonts w:cs="Times New Roman"/>
          <w:sz w:val="24"/>
          <w:szCs w:val="24"/>
        </w:rPr>
        <w:tab/>
        <w:t xml:space="preserve">The first one-way between subjects ANOVA was conducted to compare the effect of condition (experimental, control) on </w:t>
      </w:r>
      <w:proofErr w:type="spellStart"/>
      <w:r w:rsidRPr="00D05EBD">
        <w:rPr>
          <w:rFonts w:cs="Times New Roman"/>
          <w:sz w:val="24"/>
          <w:szCs w:val="24"/>
        </w:rPr>
        <w:t>URPEt</w:t>
      </w:r>
      <w:proofErr w:type="spellEnd"/>
      <w:r w:rsidRPr="00D05EBD">
        <w:rPr>
          <w:rFonts w:cs="Times New Roman"/>
          <w:sz w:val="24"/>
          <w:szCs w:val="24"/>
        </w:rPr>
        <w:t xml:space="preserve"> and </w:t>
      </w:r>
      <w:proofErr w:type="spellStart"/>
      <w:r w:rsidRPr="00D05EBD">
        <w:rPr>
          <w:rFonts w:cs="Times New Roman"/>
          <w:sz w:val="24"/>
          <w:szCs w:val="24"/>
        </w:rPr>
        <w:t>URPEa</w:t>
      </w:r>
      <w:proofErr w:type="spellEnd"/>
      <w:r w:rsidRPr="00D05EBD">
        <w:rPr>
          <w:rFonts w:cs="Times New Roman"/>
          <w:sz w:val="24"/>
          <w:szCs w:val="24"/>
        </w:rPr>
        <w:t xml:space="preserve">. There was a significant effect of condition on </w:t>
      </w:r>
      <w:proofErr w:type="spellStart"/>
      <w:r w:rsidRPr="00D05EBD">
        <w:rPr>
          <w:rFonts w:cs="Times New Roman"/>
          <w:sz w:val="24"/>
          <w:szCs w:val="24"/>
        </w:rPr>
        <w:t>URPEa</w:t>
      </w:r>
      <w:proofErr w:type="spellEnd"/>
      <w:r w:rsidRPr="00D05EBD">
        <w:rPr>
          <w:rFonts w:cs="Times New Roman"/>
          <w:sz w:val="24"/>
          <w:szCs w:val="24"/>
        </w:rPr>
        <w:t xml:space="preserve">, </w:t>
      </w:r>
      <w:r w:rsidRPr="00D05EBD">
        <w:rPr>
          <w:rFonts w:cs="Times New Roman"/>
          <w:i/>
          <w:sz w:val="24"/>
          <w:szCs w:val="24"/>
        </w:rPr>
        <w:t>F</w:t>
      </w:r>
      <w:r w:rsidRPr="00D05EBD">
        <w:rPr>
          <w:rFonts w:cs="Times New Roman"/>
          <w:sz w:val="24"/>
          <w:szCs w:val="24"/>
        </w:rPr>
        <w:t xml:space="preserve">(1,16) = 6.9, </w:t>
      </w:r>
      <w:r w:rsidRPr="00D05EBD">
        <w:rPr>
          <w:rFonts w:cs="Times New Roman"/>
          <w:i/>
          <w:sz w:val="24"/>
          <w:szCs w:val="24"/>
        </w:rPr>
        <w:t xml:space="preserve">p </w:t>
      </w:r>
      <w:r w:rsidRPr="00D05EBD">
        <w:rPr>
          <w:rFonts w:cs="Times New Roman"/>
          <w:sz w:val="24"/>
          <w:szCs w:val="24"/>
        </w:rPr>
        <w:t xml:space="preserve">&lt; .05, </w:t>
      </w:r>
      <w:r w:rsidRPr="00D05EBD">
        <w:rPr>
          <w:rFonts w:cs="Times New Roman"/>
          <w:i/>
          <w:sz w:val="24"/>
          <w:szCs w:val="24"/>
        </w:rPr>
        <w:t xml:space="preserve">d </w:t>
      </w:r>
      <w:r w:rsidRPr="00D05EBD">
        <w:rPr>
          <w:rFonts w:cs="Times New Roman"/>
          <w:sz w:val="24"/>
          <w:szCs w:val="24"/>
        </w:rPr>
        <w:t xml:space="preserve">= 1.24. There was no significant effect of condition on </w:t>
      </w:r>
      <w:proofErr w:type="spellStart"/>
      <w:r w:rsidRPr="00D05EBD">
        <w:rPr>
          <w:rFonts w:cs="Times New Roman"/>
          <w:sz w:val="24"/>
          <w:szCs w:val="24"/>
        </w:rPr>
        <w:t>URPEt</w:t>
      </w:r>
      <w:proofErr w:type="spellEnd"/>
      <w:r w:rsidRPr="00D05EBD">
        <w:rPr>
          <w:rFonts w:cs="Times New Roman"/>
          <w:sz w:val="24"/>
          <w:szCs w:val="24"/>
        </w:rPr>
        <w:t xml:space="preserve">, </w:t>
      </w:r>
      <w:r w:rsidRPr="00D05EBD">
        <w:rPr>
          <w:rFonts w:cs="Times New Roman"/>
          <w:i/>
          <w:sz w:val="24"/>
          <w:szCs w:val="24"/>
        </w:rPr>
        <w:t>F</w:t>
      </w:r>
      <w:r w:rsidRPr="00D05EBD">
        <w:rPr>
          <w:rFonts w:cs="Times New Roman"/>
          <w:sz w:val="24"/>
          <w:szCs w:val="24"/>
        </w:rPr>
        <w:t xml:space="preserve">(1,16) = 2.60, </w:t>
      </w:r>
      <w:r w:rsidRPr="00D05EBD">
        <w:rPr>
          <w:rFonts w:cs="Times New Roman"/>
          <w:i/>
          <w:sz w:val="24"/>
          <w:szCs w:val="24"/>
        </w:rPr>
        <w:t xml:space="preserve">p </w:t>
      </w:r>
      <w:r w:rsidRPr="00D05EBD">
        <w:rPr>
          <w:rFonts w:cs="Times New Roman"/>
          <w:sz w:val="24"/>
          <w:szCs w:val="24"/>
        </w:rPr>
        <w:t>&gt; .05. These results indicate that participants used less strategies (as reflected in the IER identified in the dialogues of the agent character) to make the target character feel good in the experimental condition (</w:t>
      </w:r>
      <w:r w:rsidRPr="00D05EBD">
        <w:rPr>
          <w:rFonts w:cs="Times New Roman"/>
          <w:i/>
          <w:sz w:val="24"/>
          <w:szCs w:val="24"/>
        </w:rPr>
        <w:t xml:space="preserve">M </w:t>
      </w:r>
      <w:r w:rsidRPr="00D05EBD">
        <w:rPr>
          <w:rFonts w:cs="Times New Roman"/>
          <w:sz w:val="24"/>
          <w:szCs w:val="24"/>
        </w:rPr>
        <w:t xml:space="preserve">= 1.56, </w:t>
      </w:r>
      <w:r w:rsidRPr="00D05EBD">
        <w:rPr>
          <w:rFonts w:cs="Times New Roman"/>
          <w:i/>
          <w:sz w:val="24"/>
          <w:szCs w:val="24"/>
        </w:rPr>
        <w:t xml:space="preserve">SD </w:t>
      </w:r>
      <w:r w:rsidRPr="00D05EBD">
        <w:rPr>
          <w:rFonts w:cs="Times New Roman"/>
          <w:sz w:val="24"/>
          <w:szCs w:val="24"/>
        </w:rPr>
        <w:t>= .43) than in the control condition (</w:t>
      </w:r>
      <w:r w:rsidRPr="00D05EBD">
        <w:rPr>
          <w:rFonts w:cs="Times New Roman"/>
          <w:i/>
          <w:sz w:val="24"/>
          <w:szCs w:val="24"/>
        </w:rPr>
        <w:t xml:space="preserve">M </w:t>
      </w:r>
      <w:r w:rsidRPr="00D05EBD">
        <w:rPr>
          <w:rFonts w:cs="Times New Roman"/>
          <w:sz w:val="24"/>
          <w:szCs w:val="24"/>
        </w:rPr>
        <w:t xml:space="preserve">= 2.10, </w:t>
      </w:r>
      <w:r w:rsidRPr="00D05EBD">
        <w:rPr>
          <w:rFonts w:cs="Times New Roman"/>
          <w:i/>
          <w:sz w:val="24"/>
          <w:szCs w:val="24"/>
        </w:rPr>
        <w:t xml:space="preserve">SD </w:t>
      </w:r>
      <w:r w:rsidR="00D42AD1">
        <w:rPr>
          <w:rFonts w:cs="Times New Roman"/>
          <w:sz w:val="24"/>
          <w:szCs w:val="24"/>
        </w:rPr>
        <w:t>= .44) (see Table III</w:t>
      </w:r>
      <w:r w:rsidRPr="00D05EBD">
        <w:rPr>
          <w:rFonts w:cs="Times New Roman"/>
          <w:sz w:val="24"/>
          <w:szCs w:val="24"/>
        </w:rPr>
        <w:t>.6 and Figure 3.2).</w:t>
      </w:r>
    </w:p>
    <w:p w:rsidR="00FB1389" w:rsidRPr="00D05EBD" w:rsidRDefault="00FB1389" w:rsidP="00AE640B">
      <w:pPr>
        <w:spacing w:before="240" w:line="480" w:lineRule="auto"/>
        <w:ind w:firstLine="720"/>
        <w:jc w:val="both"/>
        <w:rPr>
          <w:rFonts w:cs="Times New Roman"/>
          <w:sz w:val="24"/>
          <w:szCs w:val="24"/>
        </w:rPr>
      </w:pPr>
      <w:r w:rsidRPr="00D05EBD">
        <w:rPr>
          <w:rFonts w:cs="Times New Roman"/>
          <w:sz w:val="24"/>
          <w:szCs w:val="24"/>
        </w:rPr>
        <w:lastRenderedPageBreak/>
        <w:t xml:space="preserve">The second one-way between subjects ANOVA exploring the effect of condition on </w:t>
      </w:r>
      <w:proofErr w:type="spellStart"/>
      <w:r w:rsidRPr="00D05EBD">
        <w:rPr>
          <w:rFonts w:cs="Times New Roman"/>
          <w:sz w:val="24"/>
          <w:szCs w:val="24"/>
        </w:rPr>
        <w:t>URNEa</w:t>
      </w:r>
      <w:proofErr w:type="spellEnd"/>
      <w:r w:rsidRPr="00D05EBD">
        <w:rPr>
          <w:rFonts w:cs="Times New Roman"/>
          <w:sz w:val="24"/>
          <w:szCs w:val="24"/>
        </w:rPr>
        <w:t xml:space="preserve"> and </w:t>
      </w:r>
      <w:proofErr w:type="spellStart"/>
      <w:r w:rsidRPr="00D05EBD">
        <w:rPr>
          <w:rFonts w:cs="Times New Roman"/>
          <w:sz w:val="24"/>
          <w:szCs w:val="24"/>
        </w:rPr>
        <w:t>URNEt</w:t>
      </w:r>
      <w:proofErr w:type="spellEnd"/>
      <w:r w:rsidRPr="00D05EBD">
        <w:rPr>
          <w:rFonts w:cs="Times New Roman"/>
          <w:sz w:val="24"/>
          <w:szCs w:val="24"/>
        </w:rPr>
        <w:t xml:space="preserve"> found non-significant effects neither on </w:t>
      </w:r>
      <w:proofErr w:type="spellStart"/>
      <w:r w:rsidRPr="00D05EBD">
        <w:rPr>
          <w:rFonts w:cs="Times New Roman"/>
          <w:sz w:val="24"/>
          <w:szCs w:val="24"/>
        </w:rPr>
        <w:t>URNEa</w:t>
      </w:r>
      <w:proofErr w:type="spellEnd"/>
      <w:r w:rsidRPr="00D05EBD">
        <w:rPr>
          <w:rFonts w:cs="Times New Roman"/>
          <w:sz w:val="24"/>
          <w:szCs w:val="24"/>
        </w:rPr>
        <w:t xml:space="preserve"> </w:t>
      </w:r>
      <w:r w:rsidRPr="00D05EBD">
        <w:rPr>
          <w:rFonts w:cs="Times New Roman"/>
          <w:i/>
          <w:sz w:val="24"/>
          <w:szCs w:val="24"/>
        </w:rPr>
        <w:t>F</w:t>
      </w:r>
      <w:r w:rsidRPr="00D05EBD">
        <w:rPr>
          <w:rFonts w:cs="Times New Roman"/>
          <w:sz w:val="24"/>
          <w:szCs w:val="24"/>
        </w:rPr>
        <w:t xml:space="preserve">(1,16) =.31, </w:t>
      </w:r>
      <w:r w:rsidRPr="00D05EBD">
        <w:rPr>
          <w:rFonts w:cs="Times New Roman"/>
          <w:i/>
          <w:sz w:val="24"/>
          <w:szCs w:val="24"/>
        </w:rPr>
        <w:t xml:space="preserve">p </w:t>
      </w:r>
      <w:r w:rsidRPr="00D05EBD">
        <w:rPr>
          <w:rFonts w:cs="Times New Roman"/>
          <w:sz w:val="24"/>
          <w:szCs w:val="24"/>
        </w:rPr>
        <w:t xml:space="preserve">&gt; .05, nor on </w:t>
      </w:r>
      <w:proofErr w:type="spellStart"/>
      <w:r w:rsidRPr="00D05EBD">
        <w:rPr>
          <w:rFonts w:cs="Times New Roman"/>
          <w:sz w:val="24"/>
          <w:szCs w:val="24"/>
        </w:rPr>
        <w:t>URNEt</w:t>
      </w:r>
      <w:proofErr w:type="spellEnd"/>
      <w:r w:rsidRPr="00D05EBD">
        <w:rPr>
          <w:rFonts w:cs="Times New Roman"/>
          <w:sz w:val="24"/>
          <w:szCs w:val="24"/>
        </w:rPr>
        <w:t xml:space="preserve"> </w:t>
      </w:r>
      <w:r w:rsidRPr="00D05EBD">
        <w:rPr>
          <w:rFonts w:cs="Times New Roman"/>
          <w:i/>
          <w:sz w:val="24"/>
          <w:szCs w:val="24"/>
        </w:rPr>
        <w:t>F</w:t>
      </w:r>
      <w:r w:rsidRPr="00D05EBD">
        <w:rPr>
          <w:rFonts w:cs="Times New Roman"/>
          <w:sz w:val="24"/>
          <w:szCs w:val="24"/>
        </w:rPr>
        <w:t xml:space="preserve">(1,16) = 1.45, </w:t>
      </w:r>
      <w:r w:rsidRPr="00D05EBD">
        <w:rPr>
          <w:rFonts w:cs="Times New Roman"/>
          <w:i/>
          <w:sz w:val="24"/>
          <w:szCs w:val="24"/>
        </w:rPr>
        <w:t xml:space="preserve">p </w:t>
      </w:r>
      <w:r w:rsidRPr="00D05EBD">
        <w:rPr>
          <w:rFonts w:cs="Times New Roman"/>
          <w:sz w:val="24"/>
          <w:szCs w:val="24"/>
        </w:rPr>
        <w:t>&gt; .05.</w:t>
      </w:r>
    </w:p>
    <w:p w:rsidR="00FB1389" w:rsidRPr="00D05EBD" w:rsidRDefault="00FB1389" w:rsidP="00AE640B">
      <w:pPr>
        <w:spacing w:before="240" w:line="480" w:lineRule="auto"/>
        <w:ind w:firstLine="720"/>
        <w:jc w:val="both"/>
        <w:rPr>
          <w:rFonts w:cs="Times New Roman"/>
          <w:sz w:val="24"/>
          <w:szCs w:val="24"/>
        </w:rPr>
      </w:pPr>
      <w:r w:rsidRPr="00D05EBD">
        <w:rPr>
          <w:rFonts w:cs="Times New Roman"/>
          <w:sz w:val="24"/>
          <w:szCs w:val="24"/>
        </w:rPr>
        <w:t xml:space="preserve">The last one-way between subjects ANOVA found no significant effects of condition over, </w:t>
      </w:r>
      <w:proofErr w:type="spellStart"/>
      <w:r w:rsidRPr="00D05EBD">
        <w:rPr>
          <w:rFonts w:cs="Times New Roman"/>
          <w:sz w:val="24"/>
          <w:szCs w:val="24"/>
        </w:rPr>
        <w:t>DRNEa</w:t>
      </w:r>
      <w:proofErr w:type="spellEnd"/>
      <w:r w:rsidRPr="00D05EBD">
        <w:rPr>
          <w:rFonts w:cs="Times New Roman"/>
          <w:sz w:val="24"/>
          <w:szCs w:val="24"/>
        </w:rPr>
        <w:t xml:space="preserve"> </w:t>
      </w:r>
      <w:r w:rsidRPr="00D05EBD">
        <w:rPr>
          <w:rFonts w:cs="Times New Roman"/>
          <w:i/>
          <w:sz w:val="24"/>
          <w:szCs w:val="24"/>
        </w:rPr>
        <w:t>F</w:t>
      </w:r>
      <w:r w:rsidRPr="00D05EBD">
        <w:rPr>
          <w:rFonts w:cs="Times New Roman"/>
          <w:sz w:val="24"/>
          <w:szCs w:val="24"/>
        </w:rPr>
        <w:t xml:space="preserve">(1,16) = .08, </w:t>
      </w:r>
      <w:r w:rsidRPr="00D05EBD">
        <w:rPr>
          <w:rFonts w:cs="Times New Roman"/>
          <w:i/>
          <w:sz w:val="24"/>
          <w:szCs w:val="24"/>
        </w:rPr>
        <w:t xml:space="preserve">p </w:t>
      </w:r>
      <w:r w:rsidRPr="00D05EBD">
        <w:rPr>
          <w:rFonts w:cs="Times New Roman"/>
          <w:sz w:val="24"/>
          <w:szCs w:val="24"/>
        </w:rPr>
        <w:t xml:space="preserve">&gt; .05, nor over </w:t>
      </w:r>
      <w:proofErr w:type="spellStart"/>
      <w:r w:rsidRPr="00D05EBD">
        <w:rPr>
          <w:rFonts w:cs="Times New Roman"/>
          <w:sz w:val="24"/>
          <w:szCs w:val="24"/>
        </w:rPr>
        <w:t>DRNEt</w:t>
      </w:r>
      <w:proofErr w:type="spellEnd"/>
      <w:r w:rsidRPr="00D05EBD">
        <w:rPr>
          <w:rFonts w:cs="Times New Roman"/>
          <w:sz w:val="24"/>
          <w:szCs w:val="24"/>
        </w:rPr>
        <w:t xml:space="preserve">, </w:t>
      </w:r>
      <w:r w:rsidRPr="00D05EBD">
        <w:rPr>
          <w:rFonts w:cs="Times New Roman"/>
          <w:i/>
          <w:sz w:val="24"/>
          <w:szCs w:val="24"/>
        </w:rPr>
        <w:t>F</w:t>
      </w:r>
      <w:r w:rsidRPr="00D05EBD">
        <w:rPr>
          <w:rFonts w:cs="Times New Roman"/>
          <w:sz w:val="24"/>
          <w:szCs w:val="24"/>
        </w:rPr>
        <w:t xml:space="preserve">(1,16) = .16, </w:t>
      </w:r>
      <w:r w:rsidRPr="00D05EBD">
        <w:rPr>
          <w:rFonts w:cs="Times New Roman"/>
          <w:i/>
          <w:sz w:val="24"/>
          <w:szCs w:val="24"/>
        </w:rPr>
        <w:t xml:space="preserve">p </w:t>
      </w:r>
      <w:r w:rsidRPr="00D05EBD">
        <w:rPr>
          <w:rFonts w:cs="Times New Roman"/>
          <w:sz w:val="24"/>
          <w:szCs w:val="24"/>
        </w:rPr>
        <w:t>&gt; .05.  This suggests that the condition to which participants were assigned did not affect the number IER strategies they used in neither the target nor agent character for the IER strategies of URNE and DRNE.</w:t>
      </w:r>
    </w:p>
    <w:p w:rsidR="00FB1389" w:rsidRPr="00D05EBD" w:rsidRDefault="00FB1389" w:rsidP="00AE640B">
      <w:pPr>
        <w:spacing w:before="240" w:line="480" w:lineRule="auto"/>
        <w:ind w:firstLine="720"/>
        <w:jc w:val="both"/>
        <w:rPr>
          <w:rFonts w:cs="Times New Roman"/>
          <w:sz w:val="24"/>
          <w:szCs w:val="24"/>
        </w:rPr>
      </w:pPr>
      <w:r w:rsidRPr="00D05EBD">
        <w:rPr>
          <w:rFonts w:cs="Times New Roman"/>
          <w:sz w:val="24"/>
          <w:szCs w:val="24"/>
        </w:rPr>
        <w:t xml:space="preserve">In contrast with Study 2a. In Study 2b an effect of the experimental condition on the number of URNA strategies participants used on their script was not observed. Which suggests that being primed to make someone else feel bad did not affect the number of IER to worsen the emotions of someone else participants used in their scripts. Nevertheless, as in Study 2a, Study 2b also found that participants in the experimental condition used less URPA strategies in the dialogues of the character they chose to play in the script (the agent). In sum, these results may indicate that, while it is necessary to have an explicit goal to make someone else feel bad in order to observe an effect of the prime on </w:t>
      </w:r>
      <w:r w:rsidR="00DC14B8">
        <w:rPr>
          <w:rFonts w:cs="Times New Roman"/>
          <w:sz w:val="24"/>
          <w:szCs w:val="24"/>
        </w:rPr>
        <w:t xml:space="preserve">the </w:t>
      </w:r>
      <w:r w:rsidRPr="00D05EBD">
        <w:rPr>
          <w:rFonts w:cs="Times New Roman"/>
          <w:sz w:val="24"/>
          <w:szCs w:val="24"/>
        </w:rPr>
        <w:t xml:space="preserve">IER strategies aimed at worsening the emotions of someone else, it is not necessary to have an explicit goal to make someone else feel bad in order to observe an effect of the prime on IER aimed at making someone else feel less good.  </w:t>
      </w:r>
    </w:p>
    <w:p w:rsidR="00FB1389" w:rsidRPr="00D05EBD" w:rsidRDefault="00CE54DD" w:rsidP="00AE640B">
      <w:pPr>
        <w:spacing w:before="240" w:line="480" w:lineRule="auto"/>
        <w:jc w:val="both"/>
        <w:rPr>
          <w:rFonts w:cs="Times New Roman"/>
          <w:sz w:val="24"/>
          <w:szCs w:val="24"/>
        </w:rPr>
      </w:pPr>
      <w:r w:rsidRPr="00081870">
        <w:rPr>
          <w:rFonts w:cs="Times New Roman"/>
          <w:noProof/>
          <w:sz w:val="24"/>
          <w:szCs w:val="24"/>
          <w:lang w:eastAsia="en-GB"/>
        </w:rPr>
        <w:lastRenderedPageBreak/>
        <w:drawing>
          <wp:inline distT="0" distB="0" distL="0" distR="0">
            <wp:extent cx="5010150" cy="2743200"/>
            <wp:effectExtent l="19050" t="0" r="19050" b="0"/>
            <wp:docPr id="3"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FB1389" w:rsidRPr="00D05EBD">
        <w:rPr>
          <w:rFonts w:cs="Times New Roman"/>
          <w:sz w:val="24"/>
          <w:szCs w:val="24"/>
        </w:rPr>
        <w:t xml:space="preserve"> </w:t>
      </w:r>
    </w:p>
    <w:p w:rsidR="00D42AD1" w:rsidRPr="00D05EBD" w:rsidRDefault="00D42AD1" w:rsidP="00AE640B">
      <w:pPr>
        <w:spacing w:line="480" w:lineRule="auto"/>
        <w:jc w:val="both"/>
        <w:rPr>
          <w:rFonts w:cs="Times New Roman"/>
          <w:sz w:val="24"/>
          <w:szCs w:val="24"/>
        </w:rPr>
      </w:pPr>
    </w:p>
    <w:p w:rsidR="00FB1389" w:rsidRPr="00D05EBD" w:rsidRDefault="00093982" w:rsidP="00AE640B">
      <w:pPr>
        <w:spacing w:line="480" w:lineRule="auto"/>
        <w:ind w:left="720" w:firstLine="720"/>
        <w:jc w:val="both"/>
        <w:rPr>
          <w:rFonts w:cs="Times New Roman"/>
          <w:b/>
          <w:sz w:val="24"/>
          <w:szCs w:val="24"/>
        </w:rPr>
      </w:pPr>
      <w:r>
        <w:rPr>
          <w:rFonts w:cs="Times New Roman"/>
          <w:b/>
          <w:sz w:val="24"/>
          <w:szCs w:val="24"/>
        </w:rPr>
        <w:t>3.3</w:t>
      </w:r>
      <w:r w:rsidR="00FB1389" w:rsidRPr="00D05EBD">
        <w:rPr>
          <w:rFonts w:cs="Times New Roman"/>
          <w:b/>
          <w:sz w:val="24"/>
          <w:szCs w:val="24"/>
        </w:rPr>
        <w:t>.2.3 Discussion</w:t>
      </w:r>
    </w:p>
    <w:p w:rsidR="002D3BBD" w:rsidRDefault="00FB1389" w:rsidP="00AE640B">
      <w:pPr>
        <w:spacing w:line="480" w:lineRule="auto"/>
        <w:ind w:firstLine="720"/>
        <w:jc w:val="both"/>
        <w:rPr>
          <w:rFonts w:cs="Times New Roman"/>
          <w:sz w:val="24"/>
          <w:szCs w:val="24"/>
        </w:rPr>
      </w:pPr>
      <w:r w:rsidRPr="00D05EBD">
        <w:rPr>
          <w:rFonts w:cs="Times New Roman"/>
          <w:sz w:val="24"/>
          <w:szCs w:val="24"/>
        </w:rPr>
        <w:t xml:space="preserve">Study 2b investigated whether it was possible to prime worsening IER without giving participants the choice to pick either a worsening or an improving IER goal. Study 2b showed that when the goal choice was removed, participants primed to worsen the emotions of an imaginary character in a written script did not make more use of worsening IER than did non-primed participants. Nevertheless, participants primed to worsen the emotions of someone else </w:t>
      </w:r>
      <w:r w:rsidR="00DA70DF">
        <w:rPr>
          <w:rFonts w:cs="Times New Roman"/>
          <w:sz w:val="24"/>
          <w:szCs w:val="24"/>
        </w:rPr>
        <w:t>used</w:t>
      </w:r>
      <w:r w:rsidRPr="00D05EBD">
        <w:rPr>
          <w:rFonts w:cs="Times New Roman"/>
          <w:sz w:val="24"/>
          <w:szCs w:val="24"/>
        </w:rPr>
        <w:t xml:space="preserve"> less IER strategies to improve the emotions of </w:t>
      </w:r>
      <w:r w:rsidR="00DA70DF">
        <w:rPr>
          <w:rFonts w:cs="Times New Roman"/>
          <w:sz w:val="24"/>
          <w:szCs w:val="24"/>
        </w:rPr>
        <w:t>the target character</w:t>
      </w:r>
      <w:r w:rsidRPr="00D05EBD">
        <w:rPr>
          <w:rFonts w:cs="Times New Roman"/>
          <w:sz w:val="24"/>
          <w:szCs w:val="24"/>
        </w:rPr>
        <w:t xml:space="preserve"> than non-primed participants, which was also found in Study 2a. These results suggest that having an explicit goal to make someone feel bad might be necessary to activate the effect of </w:t>
      </w:r>
      <w:r w:rsidR="00EB73DA">
        <w:rPr>
          <w:rFonts w:cs="Times New Roman"/>
          <w:sz w:val="24"/>
          <w:szCs w:val="24"/>
        </w:rPr>
        <w:t xml:space="preserve">the </w:t>
      </w:r>
      <w:r w:rsidRPr="00D05EBD">
        <w:rPr>
          <w:rFonts w:cs="Times New Roman"/>
          <w:sz w:val="24"/>
          <w:szCs w:val="24"/>
        </w:rPr>
        <w:t xml:space="preserve">prime on the worsening IER behaviours participants used. </w:t>
      </w:r>
    </w:p>
    <w:p w:rsidR="00FB1389" w:rsidRPr="00D05EBD" w:rsidRDefault="000D42E3" w:rsidP="00AE640B">
      <w:pPr>
        <w:spacing w:line="480" w:lineRule="auto"/>
        <w:ind w:firstLine="720"/>
        <w:jc w:val="both"/>
        <w:rPr>
          <w:rFonts w:cs="Times New Roman"/>
          <w:sz w:val="24"/>
          <w:szCs w:val="24"/>
        </w:rPr>
      </w:pPr>
      <w:r>
        <w:rPr>
          <w:rFonts w:cs="Times New Roman"/>
          <w:sz w:val="24"/>
          <w:szCs w:val="24"/>
        </w:rPr>
        <w:t>Another explanation might have to do with the kind of priming effect that the SST had on the participant.</w:t>
      </w:r>
      <w:r w:rsidR="007B52EB">
        <w:rPr>
          <w:rFonts w:cs="Times New Roman"/>
          <w:sz w:val="24"/>
          <w:szCs w:val="24"/>
        </w:rPr>
        <w:t xml:space="preserve"> A priming </w:t>
      </w:r>
      <w:r w:rsidR="00713CD1">
        <w:rPr>
          <w:rFonts w:cs="Times New Roman"/>
          <w:sz w:val="24"/>
          <w:szCs w:val="24"/>
        </w:rPr>
        <w:t>task could have semantic, construal, behavioural</w:t>
      </w:r>
      <w:r w:rsidR="007B52EB">
        <w:rPr>
          <w:rFonts w:cs="Times New Roman"/>
          <w:sz w:val="24"/>
          <w:szCs w:val="24"/>
        </w:rPr>
        <w:t xml:space="preserve">, or goal effects </w:t>
      </w:r>
      <w:r w:rsidR="00B06E70">
        <w:rPr>
          <w:rFonts w:cs="Times New Roman"/>
          <w:sz w:val="24"/>
          <w:szCs w:val="24"/>
        </w:rPr>
        <w:fldChar w:fldCharType="begin" w:fldLock="1"/>
      </w:r>
      <w:r w:rsidR="003E106B">
        <w:rPr>
          <w:rFonts w:cs="Times New Roman"/>
          <w:sz w:val="24"/>
          <w:szCs w:val="24"/>
        </w:rPr>
        <w:instrText>ADDIN CSL_CITATION { "citationItems" : [ { "id" : "ITEM-1", "itemData" : { "DOI" : "10.1177/1745691611406921", "ISBN" : "1745-6916\\n1745-6924", "ISSN" : "1745-6916", "PMID" : "26168515", "abstract" : "The downstream consequences of a priming induction range from changes in the perception of objects in the environment to the initiation of prime-related behavior and goal striving. Although each of these outcomes has been accounted for by separate mechanisms, we argue that a single process could produce all three priming effects. In this article, we introduce the situated infer- ence model of priming, discuss its potential to account for these divergent outcomes with one mechanism, and demonstrate its ability to organize the priming literatures surrounding these effects. According to the model, primes often do not cause direct effects, instead altering only the accessibility of prime-related mental content. This information produces downstream effects on judgment, behavior, or motivation when it is mistakenly viewed as originating from one\u2019s own internal thought processes. When this misattribution occurs, the prime-related mental content becomes a possible source of information for solving what- ever problems are afforded by the current situation. Because different situations afford very different questions and concerns, the inferred meaning of this prime-related content can vary greatly. The use of this information to answer qualitatively different ques- tions can lead a single prime to produce varied effects on judgment, behavior, and motivation.", "author" : [ { "dropping-particle" : "", "family" : "Loersch", "given" : "C.", "non-dropping-particle" : "", "parse-names" : false, "suffix" : "" }, { "dropping-particle" : "", "family" : "Payne", "given" : "B. K.", "non-dropping-particle" : "", "parse-names" : false, "suffix" : "" } ], "container-title" : "Perspectives on Psychological Science", "id" : "ITEM-1", "issue" : "3", "issued" : { "date-parts" : [ [ "2011" ] ] }, "page" : "234-252", "title" : "The Situated Inference Model: An Integrative Account of the Effects of Primes on Perception, Behavior, and Motivation", "type" : "article-journal", "volume" : "6" }, "uris" : [ "http://www.mendeley.com/documents/?uuid=60c24d47-1283-3af2-898a-7aa5e9c8437b" ] } ], "mendeley" : { "formattedCitation" : "(Loersch &amp; Payne, 2011)", "plainTextFormattedCitation" : "(Loersch &amp; Payne, 2011)", "previouslyFormattedCitation" : "(Loersch &amp; Payne, 2011)" }, "properties" : { "noteIndex" : 0 }, "schema" : "https://github.com/citation-style-language/schema/raw/master/csl-citation.json" }</w:instrText>
      </w:r>
      <w:r w:rsidR="00B06E70">
        <w:rPr>
          <w:rFonts w:cs="Times New Roman"/>
          <w:sz w:val="24"/>
          <w:szCs w:val="24"/>
        </w:rPr>
        <w:fldChar w:fldCharType="separate"/>
      </w:r>
      <w:r w:rsidR="003E106B" w:rsidRPr="003E106B">
        <w:rPr>
          <w:rFonts w:cs="Times New Roman"/>
          <w:noProof/>
          <w:sz w:val="24"/>
          <w:szCs w:val="24"/>
        </w:rPr>
        <w:t>(Loersch &amp; Payne, 2011)</w:t>
      </w:r>
      <w:r w:rsidR="00B06E70">
        <w:rPr>
          <w:rFonts w:cs="Times New Roman"/>
          <w:sz w:val="24"/>
          <w:szCs w:val="24"/>
        </w:rPr>
        <w:fldChar w:fldCharType="end"/>
      </w:r>
      <w:r w:rsidR="00A227FF">
        <w:rPr>
          <w:rFonts w:cs="Times New Roman"/>
          <w:sz w:val="24"/>
          <w:szCs w:val="24"/>
        </w:rPr>
        <w:t xml:space="preserve">. Thus, priming participants with words related to </w:t>
      </w:r>
      <w:r w:rsidR="00A227FF">
        <w:rPr>
          <w:rFonts w:cs="Times New Roman"/>
          <w:sz w:val="24"/>
          <w:szCs w:val="24"/>
        </w:rPr>
        <w:lastRenderedPageBreak/>
        <w:t xml:space="preserve">worsen the emotions of someone else might have worked as </w:t>
      </w:r>
      <w:r w:rsidR="00713CD1">
        <w:rPr>
          <w:rFonts w:cs="Times New Roman"/>
          <w:sz w:val="24"/>
          <w:szCs w:val="24"/>
        </w:rPr>
        <w:t>‘</w:t>
      </w:r>
      <w:r w:rsidR="00A227FF">
        <w:rPr>
          <w:rFonts w:cs="Times New Roman"/>
          <w:sz w:val="24"/>
          <w:szCs w:val="24"/>
        </w:rPr>
        <w:t>goal priming</w:t>
      </w:r>
      <w:r w:rsidR="00713CD1">
        <w:rPr>
          <w:rFonts w:cs="Times New Roman"/>
          <w:sz w:val="24"/>
          <w:szCs w:val="24"/>
        </w:rPr>
        <w:t>’ in Study 2a</w:t>
      </w:r>
      <w:r w:rsidR="00A227FF">
        <w:rPr>
          <w:rFonts w:cs="Times New Roman"/>
          <w:sz w:val="24"/>
          <w:szCs w:val="24"/>
        </w:rPr>
        <w:t>, making participants more likely to pursue the goal to worsen someone else’s emotions</w:t>
      </w:r>
      <w:r w:rsidR="00713CD1">
        <w:rPr>
          <w:rFonts w:cs="Times New Roman"/>
          <w:sz w:val="24"/>
          <w:szCs w:val="24"/>
        </w:rPr>
        <w:t xml:space="preserve"> and then acted accordingly (using more worsening IER strategies), while in Study 2b it may have worked as</w:t>
      </w:r>
      <w:r w:rsidR="00A227FF">
        <w:rPr>
          <w:rFonts w:cs="Times New Roman"/>
          <w:sz w:val="24"/>
          <w:szCs w:val="24"/>
        </w:rPr>
        <w:t xml:space="preserve"> </w:t>
      </w:r>
      <w:r w:rsidR="00713CD1">
        <w:rPr>
          <w:rFonts w:cs="Times New Roman"/>
          <w:sz w:val="24"/>
          <w:szCs w:val="24"/>
        </w:rPr>
        <w:t>‘</w:t>
      </w:r>
      <w:r w:rsidR="00A227FF">
        <w:rPr>
          <w:rFonts w:cs="Times New Roman"/>
          <w:sz w:val="24"/>
          <w:szCs w:val="24"/>
        </w:rPr>
        <w:t>behavioural priming</w:t>
      </w:r>
      <w:r w:rsidR="00713CD1">
        <w:rPr>
          <w:rFonts w:cs="Times New Roman"/>
          <w:sz w:val="24"/>
          <w:szCs w:val="24"/>
        </w:rPr>
        <w:t>’</w:t>
      </w:r>
      <w:r w:rsidR="00A227FF">
        <w:rPr>
          <w:rFonts w:cs="Times New Roman"/>
          <w:sz w:val="24"/>
          <w:szCs w:val="24"/>
        </w:rPr>
        <w:t>, promoting the participants use of behaviours that made another person feel bad (</w:t>
      </w:r>
      <w:r w:rsidR="00713CD1">
        <w:rPr>
          <w:rFonts w:cs="Times New Roman"/>
          <w:sz w:val="24"/>
          <w:szCs w:val="24"/>
        </w:rPr>
        <w:t xml:space="preserve">using </w:t>
      </w:r>
      <w:r w:rsidR="00A227FF">
        <w:rPr>
          <w:rFonts w:cs="Times New Roman"/>
          <w:sz w:val="24"/>
          <w:szCs w:val="24"/>
        </w:rPr>
        <w:t xml:space="preserve">less </w:t>
      </w:r>
      <w:proofErr w:type="spellStart"/>
      <w:r w:rsidR="00A227FF">
        <w:rPr>
          <w:rFonts w:cs="Times New Roman"/>
          <w:sz w:val="24"/>
          <w:szCs w:val="24"/>
        </w:rPr>
        <w:t>upregulation</w:t>
      </w:r>
      <w:proofErr w:type="spellEnd"/>
      <w:r w:rsidR="00A227FF">
        <w:rPr>
          <w:rFonts w:cs="Times New Roman"/>
          <w:sz w:val="24"/>
          <w:szCs w:val="24"/>
        </w:rPr>
        <w:t xml:space="preserve"> of positive affect).</w:t>
      </w:r>
      <w:r w:rsidR="007B52EB">
        <w:rPr>
          <w:rFonts w:cs="Times New Roman"/>
          <w:sz w:val="24"/>
          <w:szCs w:val="24"/>
        </w:rPr>
        <w:t xml:space="preserve"> </w:t>
      </w:r>
    </w:p>
    <w:p w:rsidR="00FB1389" w:rsidRPr="00D05EBD" w:rsidRDefault="009474F6" w:rsidP="00AE640B">
      <w:pPr>
        <w:spacing w:line="480" w:lineRule="auto"/>
        <w:jc w:val="both"/>
        <w:rPr>
          <w:rFonts w:cs="Times New Roman"/>
          <w:sz w:val="24"/>
          <w:szCs w:val="24"/>
        </w:rPr>
      </w:pPr>
      <w:r>
        <w:rPr>
          <w:sz w:val="24"/>
          <w:szCs w:val="24"/>
        </w:rPr>
        <w:tab/>
        <w:t>A</w:t>
      </w:r>
      <w:r w:rsidR="00713CD1">
        <w:rPr>
          <w:sz w:val="24"/>
          <w:szCs w:val="24"/>
        </w:rPr>
        <w:t>nother</w:t>
      </w:r>
      <w:r w:rsidR="00FB1389" w:rsidRPr="00D05EBD">
        <w:rPr>
          <w:sz w:val="24"/>
          <w:szCs w:val="24"/>
        </w:rPr>
        <w:t xml:space="preserve"> reason the SST may have not increased</w:t>
      </w:r>
      <w:r w:rsidR="00CC0D19">
        <w:rPr>
          <w:sz w:val="24"/>
          <w:szCs w:val="24"/>
        </w:rPr>
        <w:t xml:space="preserve"> the frequency of use of</w:t>
      </w:r>
      <w:r w:rsidR="00FB1389" w:rsidRPr="00D05EBD">
        <w:rPr>
          <w:sz w:val="24"/>
          <w:szCs w:val="24"/>
        </w:rPr>
        <w:t xml:space="preserve"> </w:t>
      </w:r>
      <w:r w:rsidR="00CC0D19">
        <w:rPr>
          <w:sz w:val="24"/>
          <w:szCs w:val="24"/>
        </w:rPr>
        <w:t xml:space="preserve">worsening </w:t>
      </w:r>
      <w:r w:rsidR="00FB1389" w:rsidRPr="00D05EBD">
        <w:rPr>
          <w:sz w:val="24"/>
          <w:szCs w:val="24"/>
        </w:rPr>
        <w:t>IER</w:t>
      </w:r>
      <w:r w:rsidR="00CC0D19">
        <w:rPr>
          <w:sz w:val="24"/>
          <w:szCs w:val="24"/>
        </w:rPr>
        <w:t xml:space="preserve"> strategies</w:t>
      </w:r>
      <w:r w:rsidR="00FB1389" w:rsidRPr="00D05EBD">
        <w:rPr>
          <w:sz w:val="24"/>
          <w:szCs w:val="24"/>
        </w:rPr>
        <w:t xml:space="preserve"> can be explained by the neutrality of the target task. Research has demonstrated that for a prime to work, the target task has to elicit </w:t>
      </w:r>
      <w:r>
        <w:rPr>
          <w:sz w:val="24"/>
          <w:szCs w:val="24"/>
        </w:rPr>
        <w:t xml:space="preserve">in some way </w:t>
      </w:r>
      <w:r w:rsidR="00FB1389" w:rsidRPr="00D05EBD">
        <w:rPr>
          <w:sz w:val="24"/>
          <w:szCs w:val="24"/>
        </w:rPr>
        <w:t>the concept being primed</w:t>
      </w:r>
      <w:r w:rsidR="00FB1389" w:rsidRPr="00D05EBD">
        <w:rPr>
          <w:rFonts w:cs="Times New Roman"/>
          <w:sz w:val="24"/>
          <w:szCs w:val="24"/>
        </w:rPr>
        <w:t xml:space="preserve"> </w:t>
      </w:r>
      <w:r w:rsidR="00B06E70">
        <w:rPr>
          <w:rFonts w:cs="Times New Roman"/>
          <w:sz w:val="24"/>
          <w:szCs w:val="24"/>
        </w:rPr>
        <w:fldChar w:fldCharType="begin" w:fldLock="1"/>
      </w:r>
      <w:r w:rsidR="003E106B">
        <w:rPr>
          <w:rFonts w:cs="Times New Roman"/>
          <w:sz w:val="24"/>
          <w:szCs w:val="24"/>
        </w:rPr>
        <w:instrText>ADDIN CSL_CITATION { "citationItems" : [ { "id" : "ITEM-1", "itemData" : { "DOI" : "10.1016/j.biotechadv.2011.08.021.Secreted", "ISBN" : "2122633255", "ISSN" : "15378276", "PMID" : "11761304", "abstract" : "It is proposed that goals can be activated outside of awareness and then operate nonconsciously to guide self-regulation effectively (J. A. Bargh, 1990). Five experiments are reported in which the goal either to perform well or to cooperate was activated, without the awareness of participants, through a priming manipulation. In Experiment 1 priming of the goal to perform well caused participants to perform comparatively better on an intellectual task. In Experiment 2 priming of the goal to cooperate caused participants to replenish a commonly held resource more readily. Experiment 3 used a dissociation paradigm to rule out perceptual-construal alternative explanations. Experiments 4 and 5 demonstrated that action guided by nonconsciously activated goals manifests two classic content-free features of the pursuit of consciously held goals. Nonconsciously activated goals effectively guide action, enabling adaptation to ongoing situational demands", "author" : [ { "dropping-particle" : "", "family" : "Bargh", "given" : "John A", "non-dropping-particle" : "", "parse-names" : false, "suffix" : "" }, { "dropping-particle" : "", "family" : "Gollwitzer", "given" : "Peter M", "non-dropping-particle" : "", "parse-names" : false, "suffix" : "" }, { "dropping-particle" : "", "family" : "Lee-chai", "given" : "Annette", "non-dropping-particle" : "", "parse-names" : false, "suffix" : "" }, { "dropping-particle" : "", "family" : "Barndollar", "given" : "Kimberly", "non-dropping-particle" : "", "parse-names" : false, "suffix" : "" }, { "dropping-particle" : "", "family" : "Trotschel", "given" : "Roman", "non-dropping-particle" : "", "parse-names" : false, "suffix" : "" } ], "container-title" : "Journal of Personality and Social Psychology", "id" : "ITEM-1", "issue" : "6", "issued" : { "date-parts" : [ [ "2001" ] ] }, "page" : "1014-1027", "title" : "The Automated Will: Nonconscious Activation and Pursuit of Behavioral Goals", "type" : "article-journal", "volume" : "81" }, "uris" : [ "http://www.mendeley.com/documents/?uuid=02b8ed9b-aa65-3b87-9899-469a0de25210" ] } ], "mendeley" : { "formattedCitation" : "(J. A. Bargh et al., 2001)", "manualFormatting" : "(Bargh et al., 2001)", "plainTextFormattedCitation" : "(J. A. Bargh et al., 2001)", "previouslyFormattedCitation" : "(J. A. Bargh et al., 2001)" }, "properties" : { "noteIndex" : 0 }, "schema" : "https://github.com/citation-style-language/schema/raw/master/csl-citation.json" }</w:instrText>
      </w:r>
      <w:r w:rsidR="00B06E70">
        <w:rPr>
          <w:rFonts w:cs="Times New Roman"/>
          <w:sz w:val="24"/>
          <w:szCs w:val="24"/>
        </w:rPr>
        <w:fldChar w:fldCharType="separate"/>
      </w:r>
      <w:r w:rsidR="003E106B">
        <w:rPr>
          <w:rFonts w:cs="Times New Roman"/>
          <w:noProof/>
          <w:sz w:val="24"/>
          <w:szCs w:val="24"/>
        </w:rPr>
        <w:t>(</w:t>
      </w:r>
      <w:r w:rsidR="003E106B" w:rsidRPr="003E106B">
        <w:rPr>
          <w:rFonts w:cs="Times New Roman"/>
          <w:noProof/>
          <w:sz w:val="24"/>
          <w:szCs w:val="24"/>
        </w:rPr>
        <w:t>Bargh et al., 2001)</w:t>
      </w:r>
      <w:r w:rsidR="00B06E70">
        <w:rPr>
          <w:rFonts w:cs="Times New Roman"/>
          <w:sz w:val="24"/>
          <w:szCs w:val="24"/>
        </w:rPr>
        <w:fldChar w:fldCharType="end"/>
      </w:r>
      <w:r>
        <w:rPr>
          <w:sz w:val="24"/>
          <w:szCs w:val="24"/>
        </w:rPr>
        <w:t xml:space="preserve">. Bargh and colleagues (2001) primed half of their participants with words related to achieve (e.g. win) while the other half was not primed, they then asked their participants to work on a word search puzzle where they had to find as many words on a given category as they could within a limit of time. The word search puzzle task in </w:t>
      </w:r>
      <w:proofErr w:type="spellStart"/>
      <w:r>
        <w:rPr>
          <w:sz w:val="24"/>
          <w:szCs w:val="24"/>
        </w:rPr>
        <w:t>Bargh’s</w:t>
      </w:r>
      <w:proofErr w:type="spellEnd"/>
      <w:r>
        <w:rPr>
          <w:sz w:val="24"/>
          <w:szCs w:val="24"/>
        </w:rPr>
        <w:t xml:space="preserve"> experiment </w:t>
      </w:r>
      <w:r w:rsidR="000900CF">
        <w:rPr>
          <w:sz w:val="24"/>
          <w:szCs w:val="24"/>
        </w:rPr>
        <w:t xml:space="preserve">is related to the primed concept, to </w:t>
      </w:r>
      <w:r w:rsidR="00713CD1">
        <w:rPr>
          <w:sz w:val="24"/>
          <w:szCs w:val="24"/>
        </w:rPr>
        <w:t>achieve, thus it matches the concept that was primed</w:t>
      </w:r>
      <w:r w:rsidR="000900CF">
        <w:rPr>
          <w:sz w:val="24"/>
          <w:szCs w:val="24"/>
        </w:rPr>
        <w:t>.</w:t>
      </w:r>
      <w:r>
        <w:rPr>
          <w:sz w:val="24"/>
          <w:szCs w:val="24"/>
        </w:rPr>
        <w:t xml:space="preserve"> </w:t>
      </w:r>
      <w:r w:rsidR="00FB1389" w:rsidRPr="00D05EBD">
        <w:rPr>
          <w:sz w:val="24"/>
          <w:szCs w:val="24"/>
        </w:rPr>
        <w:t xml:space="preserve">The target task (script) was quite neutral, it did not provide participants with a germane opportunity to use worsening IER. It might be the case that without an IER goal, the target task (script) might not be strong enough to activate worsening IER on its own. </w:t>
      </w:r>
    </w:p>
    <w:p w:rsidR="00FB1389" w:rsidRPr="00D05EBD" w:rsidRDefault="00FB1389" w:rsidP="00AE640B">
      <w:pPr>
        <w:spacing w:line="480" w:lineRule="auto"/>
        <w:jc w:val="both"/>
        <w:rPr>
          <w:rFonts w:cs="Times New Roman"/>
          <w:sz w:val="24"/>
          <w:szCs w:val="24"/>
        </w:rPr>
      </w:pPr>
      <w:r w:rsidRPr="00D05EBD">
        <w:rPr>
          <w:rFonts w:cs="Times New Roman"/>
          <w:sz w:val="24"/>
          <w:szCs w:val="24"/>
        </w:rPr>
        <w:tab/>
      </w:r>
      <w:r w:rsidRPr="00375BED">
        <w:rPr>
          <w:rFonts w:cs="Times New Roman"/>
          <w:sz w:val="24"/>
          <w:szCs w:val="24"/>
        </w:rPr>
        <w:t xml:space="preserve">Another reason why the results </w:t>
      </w:r>
      <w:r w:rsidR="00AC0CA2" w:rsidRPr="00375BED">
        <w:rPr>
          <w:rFonts w:cs="Times New Roman"/>
          <w:sz w:val="24"/>
          <w:szCs w:val="24"/>
        </w:rPr>
        <w:t xml:space="preserve">in Study 2b </w:t>
      </w:r>
      <w:r w:rsidRPr="00375BED">
        <w:rPr>
          <w:rFonts w:cs="Times New Roman"/>
          <w:sz w:val="24"/>
          <w:szCs w:val="24"/>
        </w:rPr>
        <w:t xml:space="preserve">may have been different </w:t>
      </w:r>
      <w:r w:rsidR="00AC0CA2" w:rsidRPr="00375BED">
        <w:rPr>
          <w:rFonts w:cs="Times New Roman"/>
          <w:sz w:val="24"/>
          <w:szCs w:val="24"/>
        </w:rPr>
        <w:t xml:space="preserve">to the results </w:t>
      </w:r>
      <w:r w:rsidRPr="00375BED">
        <w:rPr>
          <w:rFonts w:cs="Times New Roman"/>
          <w:sz w:val="24"/>
          <w:szCs w:val="24"/>
        </w:rPr>
        <w:t>in Study 2a is that the nature of the sample differed. In study 2a participants were significantly younger (</w:t>
      </w:r>
      <w:r w:rsidRPr="00375BED">
        <w:rPr>
          <w:rFonts w:cs="Times New Roman"/>
          <w:i/>
          <w:sz w:val="24"/>
          <w:szCs w:val="24"/>
        </w:rPr>
        <w:t xml:space="preserve">M </w:t>
      </w:r>
      <w:r w:rsidRPr="00375BED">
        <w:rPr>
          <w:rFonts w:cs="Times New Roman"/>
          <w:sz w:val="24"/>
          <w:szCs w:val="24"/>
        </w:rPr>
        <w:t>= 19.02</w:t>
      </w:r>
      <w:r w:rsidR="00375BED" w:rsidRPr="00375BED">
        <w:rPr>
          <w:rFonts w:cs="Times New Roman"/>
          <w:sz w:val="24"/>
          <w:szCs w:val="24"/>
        </w:rPr>
        <w:t xml:space="preserve"> yr</w:t>
      </w:r>
      <w:r w:rsidRPr="00375BED">
        <w:rPr>
          <w:rFonts w:cs="Times New Roman"/>
          <w:sz w:val="24"/>
          <w:szCs w:val="24"/>
        </w:rPr>
        <w:t xml:space="preserve">, </w:t>
      </w:r>
      <w:r w:rsidRPr="00375BED">
        <w:rPr>
          <w:rFonts w:cs="Times New Roman"/>
          <w:i/>
          <w:sz w:val="24"/>
          <w:szCs w:val="24"/>
        </w:rPr>
        <w:t xml:space="preserve">SD </w:t>
      </w:r>
      <w:r w:rsidRPr="00375BED">
        <w:rPr>
          <w:rFonts w:cs="Times New Roman"/>
          <w:sz w:val="24"/>
          <w:szCs w:val="24"/>
        </w:rPr>
        <w:t>= 2.02) than participants in experiment 2b (</w:t>
      </w:r>
      <w:r w:rsidRPr="00375BED">
        <w:rPr>
          <w:rFonts w:cs="Times New Roman"/>
          <w:i/>
          <w:sz w:val="24"/>
          <w:szCs w:val="24"/>
        </w:rPr>
        <w:t xml:space="preserve">M </w:t>
      </w:r>
      <w:r w:rsidRPr="00375BED">
        <w:rPr>
          <w:rFonts w:cs="Times New Roman"/>
          <w:sz w:val="24"/>
          <w:szCs w:val="24"/>
        </w:rPr>
        <w:t>= 33.72</w:t>
      </w:r>
      <w:r w:rsidR="00375BED" w:rsidRPr="00375BED">
        <w:rPr>
          <w:rFonts w:cs="Times New Roman"/>
          <w:sz w:val="24"/>
          <w:szCs w:val="24"/>
        </w:rPr>
        <w:t xml:space="preserve"> yr</w:t>
      </w:r>
      <w:r w:rsidRPr="00375BED">
        <w:rPr>
          <w:rFonts w:cs="Times New Roman"/>
          <w:sz w:val="24"/>
          <w:szCs w:val="24"/>
        </w:rPr>
        <w:t xml:space="preserve">, </w:t>
      </w:r>
      <w:r w:rsidRPr="00375BED">
        <w:rPr>
          <w:rFonts w:cs="Times New Roman"/>
          <w:i/>
          <w:sz w:val="24"/>
          <w:szCs w:val="24"/>
        </w:rPr>
        <w:t xml:space="preserve">SD </w:t>
      </w:r>
      <w:r w:rsidRPr="00375BED">
        <w:rPr>
          <w:rFonts w:cs="Times New Roman"/>
          <w:sz w:val="24"/>
          <w:szCs w:val="24"/>
        </w:rPr>
        <w:t xml:space="preserve">= 13.3), </w:t>
      </w:r>
      <w:r w:rsidRPr="00375BED">
        <w:rPr>
          <w:rFonts w:cs="Times New Roman"/>
          <w:i/>
          <w:sz w:val="24"/>
          <w:szCs w:val="24"/>
        </w:rPr>
        <w:t>t</w:t>
      </w:r>
      <w:r w:rsidRPr="00375BED">
        <w:rPr>
          <w:rFonts w:cs="Times New Roman"/>
          <w:sz w:val="24"/>
          <w:szCs w:val="24"/>
        </w:rPr>
        <w:t xml:space="preserve">(61) = 7.3, </w:t>
      </w:r>
      <w:r w:rsidRPr="00375BED">
        <w:rPr>
          <w:rFonts w:cs="Times New Roman"/>
          <w:i/>
          <w:sz w:val="24"/>
          <w:szCs w:val="24"/>
        </w:rPr>
        <w:t xml:space="preserve">p </w:t>
      </w:r>
      <w:r w:rsidRPr="00375BED">
        <w:rPr>
          <w:rFonts w:cs="Times New Roman"/>
          <w:sz w:val="24"/>
          <w:szCs w:val="24"/>
        </w:rPr>
        <w:t xml:space="preserve">&lt; .001. </w:t>
      </w:r>
      <w:r w:rsidR="00B06E70">
        <w:rPr>
          <w:rFonts w:cs="Times New Roman"/>
          <w:sz w:val="24"/>
          <w:szCs w:val="24"/>
        </w:rPr>
        <w:fldChar w:fldCharType="begin" w:fldLock="1"/>
      </w:r>
      <w:r w:rsidR="00844B08">
        <w:rPr>
          <w:rFonts w:cs="Times New Roman"/>
          <w:sz w:val="24"/>
          <w:szCs w:val="24"/>
        </w:rPr>
        <w:instrText>ADDIN CSL_CITATION { "citationItems" : [ { "id" : "ITEM-1", "itemData" : { "DOI" : "10.1037//1089-2680.5.4.323", "author" : [ { "dropping-particle" : "", "family" : "Baumeister", "given" : "Roy F.", "non-dropping-particle" : "", "parse-names" : false, "suffix" : "" }, { "dropping-particle" : "", "family" : "Bratslavsky", "given" : "Ellen", "non-dropping-particle" : "", "parse-names" : false, "suffix" : "" }, { "dropping-particle" : "", "family" : "Vohs", "given" : "Kathleen D", "non-dropping-particle" : "", "parse-names" : false, "suffix" : "" } ], "container-title" : "Review of General Psychology", "id" : "ITEM-1", "issue" : "4", "issued" : { "date-parts" : [ [ "2001" ] ] }, "page" : "323-370", "title" : "Bad Is Stronger Than Good", "type" : "article-journal", "volume" : "5" }, "uris" : [ "http://www.mendeley.com/documents/?uuid=cc4fb4e6-ef75-3d2b-993b-7c470e5fe8e6" ] } ], "mendeley" : { "formattedCitation" : "(Baumeister et al., 2001)", "manualFormatting" : "Baumeister et al. (2001)", "plainTextFormattedCitation" : "(Baumeister et al., 2001)", "previouslyFormattedCitation" : "(Roy F. Baumeister et al., 2001)" }, "properties" : { "noteIndex" : 0 }, "schema" : "https://github.com/citation-style-language/schema/raw/master/csl-citation.json" }</w:instrText>
      </w:r>
      <w:r w:rsidR="00B06E70">
        <w:rPr>
          <w:rFonts w:cs="Times New Roman"/>
          <w:sz w:val="24"/>
          <w:szCs w:val="24"/>
        </w:rPr>
        <w:fldChar w:fldCharType="separate"/>
      </w:r>
      <w:r w:rsidR="003E106B" w:rsidRPr="003E106B">
        <w:rPr>
          <w:rFonts w:cs="Times New Roman"/>
          <w:noProof/>
          <w:sz w:val="24"/>
          <w:szCs w:val="24"/>
        </w:rPr>
        <w:t xml:space="preserve">Baumeister et al. </w:t>
      </w:r>
      <w:r w:rsidR="003E106B">
        <w:rPr>
          <w:rFonts w:cs="Times New Roman"/>
          <w:noProof/>
          <w:sz w:val="24"/>
          <w:szCs w:val="24"/>
        </w:rPr>
        <w:t>(</w:t>
      </w:r>
      <w:r w:rsidR="003E106B" w:rsidRPr="003E106B">
        <w:rPr>
          <w:rFonts w:cs="Times New Roman"/>
          <w:noProof/>
          <w:sz w:val="24"/>
          <w:szCs w:val="24"/>
        </w:rPr>
        <w:t>2001)</w:t>
      </w:r>
      <w:r w:rsidR="00B06E70">
        <w:rPr>
          <w:rFonts w:cs="Times New Roman"/>
          <w:sz w:val="24"/>
          <w:szCs w:val="24"/>
        </w:rPr>
        <w:fldChar w:fldCharType="end"/>
      </w:r>
      <w:r w:rsidR="00375BED" w:rsidRPr="00375BED">
        <w:rPr>
          <w:rFonts w:cs="Times New Roman"/>
          <w:sz w:val="24"/>
          <w:szCs w:val="24"/>
        </w:rPr>
        <w:t xml:space="preserve"> argues</w:t>
      </w:r>
      <w:r w:rsidRPr="00375BED">
        <w:rPr>
          <w:rFonts w:cs="Times New Roman"/>
          <w:sz w:val="24"/>
          <w:szCs w:val="24"/>
        </w:rPr>
        <w:t xml:space="preserve"> that younger people allocate more importance to negative stimuli than older people. The </w:t>
      </w:r>
      <w:r w:rsidRPr="00375BED">
        <w:rPr>
          <w:rFonts w:cs="Times New Roman"/>
          <w:sz w:val="24"/>
          <w:szCs w:val="24"/>
        </w:rPr>
        <w:lastRenderedPageBreak/>
        <w:t>negative prime might therefore have had a greater impact on participants in experiment 2a than 2b.</w:t>
      </w:r>
      <w:r w:rsidR="00375BED">
        <w:rPr>
          <w:rFonts w:cs="Times New Roman"/>
          <w:sz w:val="24"/>
          <w:szCs w:val="24"/>
        </w:rPr>
        <w:t xml:space="preserve"> </w:t>
      </w:r>
    </w:p>
    <w:p w:rsidR="00895D2C" w:rsidRPr="00D05EBD" w:rsidRDefault="00FB1389" w:rsidP="004E09EE">
      <w:pPr>
        <w:spacing w:line="480" w:lineRule="auto"/>
        <w:ind w:firstLine="720"/>
        <w:jc w:val="both"/>
        <w:rPr>
          <w:rFonts w:cs="Times New Roman"/>
          <w:sz w:val="24"/>
          <w:szCs w:val="24"/>
        </w:rPr>
      </w:pPr>
      <w:r w:rsidRPr="00D05EBD">
        <w:rPr>
          <w:rFonts w:cs="Times New Roman"/>
          <w:sz w:val="24"/>
          <w:szCs w:val="24"/>
        </w:rPr>
        <w:t xml:space="preserve">Given the discrepancy between the results of the two studies, it became necessary to conduct a third study to try to resolve the difference. To do this Study 2c was designed. Study 2c kept the same structure as Study 2a in that the SST was used to prime participants to make someone feel bad and that the target task asked participants to choose between two IER goals (making someone feel bad or making someone feel better), but it changed the target task in two aspects: the IER goal option was present in half of the target tasks and absent in the other half, and the nature of the target task changed. Instead of exposing participants to an interpersonal context by asking them to write an imaginary script between two people and to play the part of one of the characters in the script, Study 2c's interpersonal context took the form of a letter to a romantic ex-partner of the participants. </w:t>
      </w:r>
      <w:r w:rsidRPr="00D05EBD">
        <w:rPr>
          <w:sz w:val="24"/>
          <w:szCs w:val="24"/>
        </w:rPr>
        <w:t xml:space="preserve">Providing participants with a situation where they had to interact with someone they were likely to have some negative feelings towards, gave a stronger context to elicit worsening IER. </w:t>
      </w:r>
      <w:r w:rsidRPr="00D05EBD">
        <w:rPr>
          <w:rFonts w:cs="Times New Roman"/>
          <w:sz w:val="24"/>
          <w:szCs w:val="24"/>
        </w:rPr>
        <w:t xml:space="preserve">A romantic ex-partner is the kind of relationship where worsening IER is likely to occur </w:t>
      </w:r>
      <w:r w:rsidR="00B06E70">
        <w:rPr>
          <w:rFonts w:cs="Times New Roman"/>
          <w:sz w:val="24"/>
          <w:szCs w:val="24"/>
        </w:rPr>
        <w:fldChar w:fldCharType="begin" w:fldLock="1"/>
      </w:r>
      <w:r w:rsidR="00A5797A">
        <w:rPr>
          <w:rFonts w:cs="Times New Roman"/>
          <w:sz w:val="24"/>
          <w:szCs w:val="24"/>
        </w:rPr>
        <w:instrText>ADDIN CSL_CITATION { "citationItems" : [ { "id" : "ITEM-1", "itemData" : { "DOI" : "10.1037/1528-3542.6.2.224", "ISBN" : "1528-3542", "ISSN" : "1528-3542", "PMID" : "16768555", "abstract" : "Dynamic factor analysis was used to examine the structure and process of daily emotions in a sample of young adults following a romantic breakup. Participants completed a daily diary for 4 weeks reporting on their love/longing for their ex-partner, anger, and sadness. Using a lag-1 process factor analysis model, results revealed that love/longing, sadness, and anger could be reliably distinguished as separate but correlated mood states in a trivariate model. Four emotional dynamics (amplification, reversing, persistence, and cooccurrence) were operationalized and investigated. Differences in these dynamics were observed on the basis of overall adjustment to the separation and attachment styles. Findings are discussed in terms of attachment and contemporary emotion theories, as well as the need to operationalize time-based affective processes.", "author" : [ { "dropping-particle" : "", "family" : "Sbarra", "given" : "David A.", "non-dropping-particle" : "", "parse-names" : false, "suffix" : "" }, { "dropping-particle" : "", "family" : "Ferrer", "given" : "Emilio", "non-dropping-particle" : "", "parse-names" : false, "suffix" : "" } ], "container-title" : "Emotion", "id" : "ITEM-1", "issue" : "2", "issued" : { "date-parts" : [ [ "2006" ] ] }, "page" : "224-38", "title" : "The structure and process of emotional experience following nonmarital relationship dissolution: dynamic factor analyses of love, anger, and sadness.", "type" : "article-journal", "volume" : "6" }, "uris" : [ "http://www.mendeley.com/documents/?uuid=95e9142a-c0c0-450f-9240-26a953be67be" ] } ], "mendeley" : { "formattedCitation" : "(Sbarra &amp; Ferrer, 2006)", "plainTextFormattedCitation" : "(Sbarra &amp; Ferrer, 2006)", "previouslyFormattedCitation" : "(Sbarra &amp; Ferrer, 2006)" }, "properties" : { "noteIndex" : 0 }, "schema" : "https://github.com/citation-style-language/schema/raw/master/csl-citation.json" }</w:instrText>
      </w:r>
      <w:r w:rsidR="00B06E70">
        <w:rPr>
          <w:rFonts w:cs="Times New Roman"/>
          <w:sz w:val="24"/>
          <w:szCs w:val="24"/>
        </w:rPr>
        <w:fldChar w:fldCharType="separate"/>
      </w:r>
      <w:r w:rsidR="00FD192C" w:rsidRPr="00FD192C">
        <w:rPr>
          <w:rFonts w:cs="Times New Roman"/>
          <w:noProof/>
          <w:sz w:val="24"/>
          <w:szCs w:val="24"/>
        </w:rPr>
        <w:t>(Sbarra &amp; Ferrer, 2006)</w:t>
      </w:r>
      <w:r w:rsidR="00B06E70">
        <w:rPr>
          <w:rFonts w:cs="Times New Roman"/>
          <w:sz w:val="24"/>
          <w:szCs w:val="24"/>
        </w:rPr>
        <w:fldChar w:fldCharType="end"/>
      </w:r>
      <w:r w:rsidRPr="00D05EBD">
        <w:rPr>
          <w:rFonts w:cs="Times New Roman"/>
          <w:sz w:val="24"/>
          <w:szCs w:val="24"/>
        </w:rPr>
        <w:t>.</w:t>
      </w:r>
      <w:r w:rsidRPr="00D05EBD">
        <w:rPr>
          <w:sz w:val="24"/>
          <w:szCs w:val="24"/>
        </w:rPr>
        <w:t xml:space="preserve"> </w:t>
      </w:r>
      <w:r w:rsidRPr="00D05EBD">
        <w:rPr>
          <w:rFonts w:cs="Times New Roman"/>
          <w:sz w:val="24"/>
          <w:szCs w:val="24"/>
        </w:rPr>
        <w:t>Study 2c aimed to investigate whether worsening IER behaviours would still be present in the target task if, instead of regulating the emotions of a fictional character, participants had to regulate the emotions of someone they knew well from a terminated relationship.</w:t>
      </w:r>
    </w:p>
    <w:p w:rsidR="00FB1389" w:rsidRPr="00D05EBD" w:rsidRDefault="00093982" w:rsidP="00AE640B">
      <w:pPr>
        <w:spacing w:line="480" w:lineRule="auto"/>
        <w:ind w:firstLine="720"/>
        <w:jc w:val="both"/>
        <w:rPr>
          <w:b/>
          <w:sz w:val="24"/>
          <w:szCs w:val="24"/>
        </w:rPr>
      </w:pPr>
      <w:r>
        <w:rPr>
          <w:rFonts w:cs="Times New Roman"/>
          <w:b/>
          <w:sz w:val="24"/>
          <w:szCs w:val="24"/>
        </w:rPr>
        <w:t>3.3</w:t>
      </w:r>
      <w:r w:rsidR="00FB1389" w:rsidRPr="00D05EBD">
        <w:rPr>
          <w:rFonts w:cs="Times New Roman"/>
          <w:b/>
          <w:sz w:val="24"/>
          <w:szCs w:val="24"/>
        </w:rPr>
        <w:t>.3 Study 2c</w:t>
      </w:r>
    </w:p>
    <w:p w:rsidR="00895D2C" w:rsidRPr="00D05EBD" w:rsidRDefault="00FB1389" w:rsidP="004E09EE">
      <w:pPr>
        <w:spacing w:line="480" w:lineRule="auto"/>
        <w:ind w:firstLine="720"/>
        <w:jc w:val="both"/>
        <w:rPr>
          <w:sz w:val="24"/>
          <w:szCs w:val="24"/>
        </w:rPr>
      </w:pPr>
      <w:r w:rsidRPr="00D05EBD">
        <w:rPr>
          <w:sz w:val="24"/>
          <w:szCs w:val="24"/>
          <w:lang w:val="en-US"/>
        </w:rPr>
        <w:tab/>
      </w:r>
      <w:r w:rsidRPr="00D05EBD">
        <w:rPr>
          <w:sz w:val="24"/>
          <w:szCs w:val="24"/>
        </w:rPr>
        <w:t xml:space="preserve">Study 2c aimed to replicate the findings of study 2a and 2b, namely, to see if it was possible to prime participants to worsen the emotions of someone else. Participants were randomly allocated to one of four conditions. In condition A, </w:t>
      </w:r>
      <w:r w:rsidRPr="00D05EBD">
        <w:rPr>
          <w:sz w:val="24"/>
          <w:szCs w:val="24"/>
        </w:rPr>
        <w:lastRenderedPageBreak/>
        <w:t xml:space="preserve">participants were primed to worsen the emotion of someone else and were then asked to write a letter to an ex-partner of theirs, with the option of making the ex-partner feel better or worse. In condition B, participants were also primed and asked to write a letter to an ex-partner of theirs, but they were not asked to choose between making their ex-partners feel better or worse. In condition C, participants were not primed, but the letter to their ex-partner contained the explicit instruction to adopt an IER improving or worsening goal. Finally, in condition D, participants were not primed (neutral SST), nor given the IER goal option. </w:t>
      </w:r>
      <w:proofErr w:type="spellStart"/>
      <w:r w:rsidRPr="008826DA">
        <w:rPr>
          <w:i/>
          <w:sz w:val="24"/>
          <w:szCs w:val="24"/>
        </w:rPr>
        <w:t>i</w:t>
      </w:r>
      <w:proofErr w:type="spellEnd"/>
      <w:r w:rsidRPr="008826DA">
        <w:rPr>
          <w:i/>
          <w:sz w:val="24"/>
          <w:szCs w:val="24"/>
        </w:rPr>
        <w:t xml:space="preserve">) </w:t>
      </w:r>
      <w:r w:rsidR="00A100F8" w:rsidRPr="008826DA">
        <w:rPr>
          <w:i/>
          <w:sz w:val="24"/>
          <w:szCs w:val="24"/>
        </w:rPr>
        <w:t xml:space="preserve">It </w:t>
      </w:r>
      <w:r w:rsidR="004B6458" w:rsidRPr="008826DA">
        <w:rPr>
          <w:i/>
          <w:sz w:val="24"/>
          <w:szCs w:val="24"/>
        </w:rPr>
        <w:t xml:space="preserve">was expected that participants in the </w:t>
      </w:r>
      <w:r w:rsidR="00A100F8" w:rsidRPr="008826DA">
        <w:rPr>
          <w:i/>
          <w:sz w:val="24"/>
          <w:szCs w:val="24"/>
        </w:rPr>
        <w:t xml:space="preserve">primed and IER-goal condition (A) </w:t>
      </w:r>
      <w:r w:rsidR="004B6458" w:rsidRPr="008826DA">
        <w:rPr>
          <w:i/>
          <w:sz w:val="24"/>
          <w:szCs w:val="24"/>
        </w:rPr>
        <w:t xml:space="preserve">would use more URNE strategies than participants in </w:t>
      </w:r>
      <w:r w:rsidR="00A100F8" w:rsidRPr="008826DA">
        <w:rPr>
          <w:i/>
          <w:sz w:val="24"/>
          <w:szCs w:val="24"/>
        </w:rPr>
        <w:t>the prime an no IER-goal condition (B)</w:t>
      </w:r>
      <w:r w:rsidR="004B6458" w:rsidRPr="008826DA">
        <w:rPr>
          <w:i/>
          <w:sz w:val="24"/>
          <w:szCs w:val="24"/>
        </w:rPr>
        <w:t xml:space="preserve">, </w:t>
      </w:r>
      <w:r w:rsidR="00A100F8" w:rsidRPr="008826DA">
        <w:rPr>
          <w:i/>
          <w:sz w:val="24"/>
          <w:szCs w:val="24"/>
        </w:rPr>
        <w:t xml:space="preserve">not-primed and </w:t>
      </w:r>
      <w:r w:rsidR="008826DA" w:rsidRPr="008826DA">
        <w:rPr>
          <w:i/>
          <w:sz w:val="24"/>
          <w:szCs w:val="24"/>
        </w:rPr>
        <w:t>IER-</w:t>
      </w:r>
      <w:r w:rsidR="00A100F8" w:rsidRPr="008826DA">
        <w:rPr>
          <w:i/>
          <w:sz w:val="24"/>
          <w:szCs w:val="24"/>
        </w:rPr>
        <w:t>goal condition (C)</w:t>
      </w:r>
      <w:r w:rsidR="004B6458" w:rsidRPr="008826DA">
        <w:rPr>
          <w:i/>
          <w:sz w:val="24"/>
          <w:szCs w:val="24"/>
        </w:rPr>
        <w:t xml:space="preserve">, </w:t>
      </w:r>
      <w:r w:rsidR="00A100F8" w:rsidRPr="008826DA">
        <w:rPr>
          <w:i/>
          <w:sz w:val="24"/>
          <w:szCs w:val="24"/>
        </w:rPr>
        <w:t xml:space="preserve">and not-primed and no </w:t>
      </w:r>
      <w:r w:rsidR="008826DA" w:rsidRPr="008826DA">
        <w:rPr>
          <w:i/>
          <w:sz w:val="24"/>
          <w:szCs w:val="24"/>
        </w:rPr>
        <w:t>IER-</w:t>
      </w:r>
      <w:r w:rsidR="00A100F8" w:rsidRPr="008826DA">
        <w:rPr>
          <w:i/>
          <w:sz w:val="24"/>
          <w:szCs w:val="24"/>
        </w:rPr>
        <w:t>goal condition (D)</w:t>
      </w:r>
      <w:r w:rsidR="004B6458" w:rsidRPr="008826DA">
        <w:rPr>
          <w:i/>
          <w:sz w:val="24"/>
          <w:szCs w:val="24"/>
        </w:rPr>
        <w:t>, and less URPE strategies than</w:t>
      </w:r>
      <w:r w:rsidR="004E09EE">
        <w:rPr>
          <w:i/>
          <w:sz w:val="24"/>
          <w:szCs w:val="24"/>
        </w:rPr>
        <w:t xml:space="preserve"> in B and than</w:t>
      </w:r>
      <w:r w:rsidR="004B6458" w:rsidRPr="008826DA">
        <w:rPr>
          <w:i/>
          <w:sz w:val="24"/>
          <w:szCs w:val="24"/>
        </w:rPr>
        <w:t xml:space="preserve"> participants in</w:t>
      </w:r>
      <w:r w:rsidR="008826DA" w:rsidRPr="008826DA">
        <w:rPr>
          <w:i/>
          <w:sz w:val="24"/>
          <w:szCs w:val="24"/>
        </w:rPr>
        <w:t xml:space="preserve"> the not-primed and IER-goal condition</w:t>
      </w:r>
      <w:r w:rsidR="004B6458" w:rsidRPr="008826DA">
        <w:rPr>
          <w:i/>
          <w:sz w:val="24"/>
          <w:szCs w:val="24"/>
        </w:rPr>
        <w:t xml:space="preserve"> </w:t>
      </w:r>
      <w:r w:rsidR="008826DA" w:rsidRPr="008826DA">
        <w:rPr>
          <w:i/>
          <w:sz w:val="24"/>
          <w:szCs w:val="24"/>
        </w:rPr>
        <w:t>(</w:t>
      </w:r>
      <w:r w:rsidR="004B6458" w:rsidRPr="008826DA">
        <w:rPr>
          <w:i/>
          <w:sz w:val="24"/>
          <w:szCs w:val="24"/>
        </w:rPr>
        <w:t>C</w:t>
      </w:r>
      <w:r w:rsidR="008826DA" w:rsidRPr="008826DA">
        <w:rPr>
          <w:i/>
          <w:sz w:val="24"/>
          <w:szCs w:val="24"/>
        </w:rPr>
        <w:t>)</w:t>
      </w:r>
      <w:r w:rsidR="004B6458" w:rsidRPr="008826DA">
        <w:rPr>
          <w:i/>
          <w:sz w:val="24"/>
          <w:szCs w:val="24"/>
        </w:rPr>
        <w:t xml:space="preserve"> and</w:t>
      </w:r>
      <w:r w:rsidR="008826DA" w:rsidRPr="008826DA">
        <w:rPr>
          <w:i/>
          <w:sz w:val="24"/>
          <w:szCs w:val="24"/>
        </w:rPr>
        <w:t xml:space="preserve"> </w:t>
      </w:r>
      <w:proofErr w:type="spellStart"/>
      <w:r w:rsidR="008826DA" w:rsidRPr="008826DA">
        <w:rPr>
          <w:i/>
          <w:sz w:val="24"/>
          <w:szCs w:val="24"/>
        </w:rPr>
        <w:t>than</w:t>
      </w:r>
      <w:proofErr w:type="spellEnd"/>
      <w:r w:rsidR="008826DA" w:rsidRPr="008826DA">
        <w:rPr>
          <w:i/>
          <w:sz w:val="24"/>
          <w:szCs w:val="24"/>
        </w:rPr>
        <w:t xml:space="preserve"> participants in the no prime and no IER-goal condition</w:t>
      </w:r>
      <w:r w:rsidR="004B6458" w:rsidRPr="008826DA">
        <w:rPr>
          <w:i/>
          <w:sz w:val="24"/>
          <w:szCs w:val="24"/>
        </w:rPr>
        <w:t xml:space="preserve"> </w:t>
      </w:r>
      <w:r w:rsidR="008826DA" w:rsidRPr="008826DA">
        <w:rPr>
          <w:i/>
          <w:sz w:val="24"/>
          <w:szCs w:val="24"/>
        </w:rPr>
        <w:t>(</w:t>
      </w:r>
      <w:r w:rsidR="004B6458" w:rsidRPr="008826DA">
        <w:rPr>
          <w:i/>
          <w:sz w:val="24"/>
          <w:szCs w:val="24"/>
        </w:rPr>
        <w:t>D</w:t>
      </w:r>
      <w:r w:rsidR="008826DA" w:rsidRPr="008826DA">
        <w:rPr>
          <w:i/>
          <w:sz w:val="24"/>
          <w:szCs w:val="24"/>
        </w:rPr>
        <w:t>)</w:t>
      </w:r>
      <w:r w:rsidR="00A100F8" w:rsidRPr="008826DA">
        <w:rPr>
          <w:i/>
          <w:sz w:val="24"/>
          <w:szCs w:val="24"/>
        </w:rPr>
        <w:t>.</w:t>
      </w:r>
      <w:r w:rsidR="00A100F8" w:rsidRPr="008826DA">
        <w:rPr>
          <w:sz w:val="24"/>
          <w:szCs w:val="24"/>
        </w:rPr>
        <w:t xml:space="preserve"> </w:t>
      </w:r>
      <w:r w:rsidR="00A100F8" w:rsidRPr="008826DA">
        <w:rPr>
          <w:i/>
          <w:sz w:val="24"/>
          <w:szCs w:val="24"/>
        </w:rPr>
        <w:t>ii)</w:t>
      </w:r>
      <w:r w:rsidR="004B6458" w:rsidRPr="008826DA">
        <w:rPr>
          <w:i/>
          <w:sz w:val="24"/>
          <w:szCs w:val="24"/>
        </w:rPr>
        <w:t xml:space="preserve"> </w:t>
      </w:r>
      <w:r w:rsidR="00A100F8" w:rsidRPr="008826DA">
        <w:rPr>
          <w:i/>
          <w:sz w:val="24"/>
          <w:szCs w:val="24"/>
        </w:rPr>
        <w:t xml:space="preserve">I was also expected that </w:t>
      </w:r>
      <w:r w:rsidR="004B6458" w:rsidRPr="008826DA">
        <w:rPr>
          <w:i/>
          <w:sz w:val="24"/>
          <w:szCs w:val="24"/>
        </w:rPr>
        <w:t>participants in</w:t>
      </w:r>
      <w:r w:rsidR="00A100F8" w:rsidRPr="008826DA">
        <w:rPr>
          <w:i/>
          <w:sz w:val="24"/>
          <w:szCs w:val="24"/>
        </w:rPr>
        <w:t xml:space="preserve"> the prime an no IER</w:t>
      </w:r>
      <w:r w:rsidR="008826DA" w:rsidRPr="008826DA">
        <w:rPr>
          <w:i/>
          <w:sz w:val="24"/>
          <w:szCs w:val="24"/>
        </w:rPr>
        <w:t>-</w:t>
      </w:r>
      <w:r w:rsidR="00A100F8" w:rsidRPr="008826DA">
        <w:rPr>
          <w:i/>
          <w:sz w:val="24"/>
          <w:szCs w:val="24"/>
        </w:rPr>
        <w:t>goal condition</w:t>
      </w:r>
      <w:r w:rsidR="004B6458" w:rsidRPr="008826DA">
        <w:rPr>
          <w:i/>
          <w:sz w:val="24"/>
          <w:szCs w:val="24"/>
        </w:rPr>
        <w:t xml:space="preserve"> </w:t>
      </w:r>
      <w:r w:rsidR="00A100F8" w:rsidRPr="008826DA">
        <w:rPr>
          <w:i/>
          <w:sz w:val="24"/>
          <w:szCs w:val="24"/>
        </w:rPr>
        <w:t>(</w:t>
      </w:r>
      <w:r w:rsidR="004B6458" w:rsidRPr="008826DA">
        <w:rPr>
          <w:i/>
          <w:sz w:val="24"/>
          <w:szCs w:val="24"/>
        </w:rPr>
        <w:t>B</w:t>
      </w:r>
      <w:r w:rsidR="00A100F8" w:rsidRPr="008826DA">
        <w:rPr>
          <w:i/>
          <w:sz w:val="24"/>
          <w:szCs w:val="24"/>
        </w:rPr>
        <w:t>)</w:t>
      </w:r>
      <w:r w:rsidR="004B6458" w:rsidRPr="008826DA">
        <w:rPr>
          <w:i/>
          <w:sz w:val="24"/>
          <w:szCs w:val="24"/>
        </w:rPr>
        <w:t xml:space="preserve"> would also use less URPE strategies than participants in </w:t>
      </w:r>
      <w:r w:rsidR="008826DA" w:rsidRPr="008826DA">
        <w:rPr>
          <w:i/>
          <w:sz w:val="24"/>
          <w:szCs w:val="24"/>
        </w:rPr>
        <w:t>the not-primed and IER-goal condition (</w:t>
      </w:r>
      <w:r w:rsidR="004B6458" w:rsidRPr="008826DA">
        <w:rPr>
          <w:i/>
          <w:sz w:val="24"/>
          <w:szCs w:val="24"/>
        </w:rPr>
        <w:t>C</w:t>
      </w:r>
      <w:r w:rsidR="008826DA" w:rsidRPr="008826DA">
        <w:rPr>
          <w:i/>
          <w:sz w:val="24"/>
          <w:szCs w:val="24"/>
        </w:rPr>
        <w:t>)</w:t>
      </w:r>
      <w:r w:rsidR="004B6458" w:rsidRPr="008826DA">
        <w:rPr>
          <w:i/>
          <w:sz w:val="24"/>
          <w:szCs w:val="24"/>
        </w:rPr>
        <w:t xml:space="preserve"> and</w:t>
      </w:r>
      <w:r w:rsidR="008826DA" w:rsidRPr="008826DA">
        <w:rPr>
          <w:i/>
          <w:sz w:val="24"/>
          <w:szCs w:val="24"/>
        </w:rPr>
        <w:t xml:space="preserve"> in the not-primed and no IER goal condition</w:t>
      </w:r>
      <w:r w:rsidR="004B6458" w:rsidRPr="008826DA">
        <w:rPr>
          <w:i/>
          <w:sz w:val="24"/>
          <w:szCs w:val="24"/>
        </w:rPr>
        <w:t xml:space="preserve"> </w:t>
      </w:r>
      <w:r w:rsidR="008826DA" w:rsidRPr="008826DA">
        <w:rPr>
          <w:i/>
          <w:sz w:val="24"/>
          <w:szCs w:val="24"/>
        </w:rPr>
        <w:t>(</w:t>
      </w:r>
      <w:r w:rsidR="004B6458" w:rsidRPr="008826DA">
        <w:rPr>
          <w:i/>
          <w:sz w:val="24"/>
          <w:szCs w:val="24"/>
        </w:rPr>
        <w:t>D</w:t>
      </w:r>
      <w:r w:rsidR="008826DA" w:rsidRPr="008826DA">
        <w:rPr>
          <w:i/>
          <w:sz w:val="24"/>
          <w:szCs w:val="24"/>
        </w:rPr>
        <w:t>)</w:t>
      </w:r>
      <w:r w:rsidR="004B6458" w:rsidRPr="008826DA">
        <w:rPr>
          <w:i/>
          <w:sz w:val="24"/>
          <w:szCs w:val="24"/>
        </w:rPr>
        <w:t>.</w:t>
      </w:r>
      <w:r w:rsidRPr="008826DA">
        <w:rPr>
          <w:i/>
          <w:sz w:val="24"/>
          <w:szCs w:val="24"/>
        </w:rPr>
        <w:t xml:space="preserve"> ii</w:t>
      </w:r>
      <w:r w:rsidR="008826DA" w:rsidRPr="008826DA">
        <w:rPr>
          <w:i/>
          <w:sz w:val="24"/>
          <w:szCs w:val="24"/>
        </w:rPr>
        <w:t>i</w:t>
      </w:r>
      <w:r w:rsidRPr="008826DA">
        <w:rPr>
          <w:i/>
          <w:sz w:val="24"/>
          <w:szCs w:val="24"/>
        </w:rPr>
        <w:t xml:space="preserve">) </w:t>
      </w:r>
      <w:r w:rsidR="00A100F8" w:rsidRPr="008826DA">
        <w:rPr>
          <w:i/>
          <w:sz w:val="24"/>
          <w:szCs w:val="24"/>
        </w:rPr>
        <w:t xml:space="preserve">Finally, it was expected that </w:t>
      </w:r>
      <w:r w:rsidRPr="008826DA">
        <w:rPr>
          <w:i/>
          <w:sz w:val="24"/>
          <w:szCs w:val="24"/>
        </w:rPr>
        <w:t>participants</w:t>
      </w:r>
      <w:r w:rsidR="008826DA" w:rsidRPr="008826DA">
        <w:rPr>
          <w:i/>
          <w:sz w:val="24"/>
          <w:szCs w:val="24"/>
        </w:rPr>
        <w:t xml:space="preserve"> in the prime and IER goal condition</w:t>
      </w:r>
      <w:r w:rsidRPr="008826DA">
        <w:rPr>
          <w:i/>
          <w:sz w:val="24"/>
          <w:szCs w:val="24"/>
        </w:rPr>
        <w:t xml:space="preserve"> (A) w</w:t>
      </w:r>
      <w:r w:rsidR="008826DA" w:rsidRPr="008826DA">
        <w:rPr>
          <w:i/>
          <w:sz w:val="24"/>
          <w:szCs w:val="24"/>
        </w:rPr>
        <w:t xml:space="preserve">ould be </w:t>
      </w:r>
      <w:r w:rsidRPr="008826DA">
        <w:rPr>
          <w:i/>
          <w:sz w:val="24"/>
          <w:szCs w:val="24"/>
        </w:rPr>
        <w:t>more likely to choose the</w:t>
      </w:r>
      <w:r w:rsidR="008826DA" w:rsidRPr="008826DA">
        <w:rPr>
          <w:i/>
          <w:sz w:val="24"/>
          <w:szCs w:val="24"/>
        </w:rPr>
        <w:t xml:space="preserve"> worsening IER goal than the not</w:t>
      </w:r>
      <w:r w:rsidRPr="008826DA">
        <w:rPr>
          <w:i/>
          <w:sz w:val="24"/>
          <w:szCs w:val="24"/>
        </w:rPr>
        <w:t>-primed</w:t>
      </w:r>
      <w:r w:rsidR="008826DA" w:rsidRPr="008826DA">
        <w:rPr>
          <w:i/>
          <w:sz w:val="24"/>
          <w:szCs w:val="24"/>
        </w:rPr>
        <w:t xml:space="preserve"> and IER goal condition participants</w:t>
      </w:r>
      <w:r w:rsidRPr="008826DA">
        <w:rPr>
          <w:i/>
          <w:sz w:val="24"/>
          <w:szCs w:val="24"/>
        </w:rPr>
        <w:t xml:space="preserve"> (C ).</w:t>
      </w:r>
      <w:r w:rsidRPr="00D05EBD">
        <w:rPr>
          <w:sz w:val="24"/>
          <w:szCs w:val="24"/>
        </w:rPr>
        <w:t xml:space="preserve"> </w:t>
      </w:r>
    </w:p>
    <w:p w:rsidR="00FB1389" w:rsidRPr="00D05EBD" w:rsidRDefault="00093982" w:rsidP="00AE640B">
      <w:pPr>
        <w:spacing w:line="480" w:lineRule="auto"/>
        <w:jc w:val="both"/>
        <w:rPr>
          <w:b/>
          <w:sz w:val="24"/>
          <w:szCs w:val="24"/>
        </w:rPr>
      </w:pPr>
      <w:r>
        <w:rPr>
          <w:b/>
          <w:sz w:val="24"/>
          <w:szCs w:val="24"/>
        </w:rPr>
        <w:tab/>
      </w:r>
      <w:r>
        <w:rPr>
          <w:b/>
          <w:sz w:val="24"/>
          <w:szCs w:val="24"/>
        </w:rPr>
        <w:tab/>
        <w:t>3.3</w:t>
      </w:r>
      <w:r w:rsidR="00FB1389" w:rsidRPr="00D05EBD">
        <w:rPr>
          <w:b/>
          <w:sz w:val="24"/>
          <w:szCs w:val="24"/>
        </w:rPr>
        <w:t>.3.1 Method</w:t>
      </w:r>
    </w:p>
    <w:p w:rsidR="00FB1389" w:rsidRPr="00D05EBD" w:rsidRDefault="00FB1389" w:rsidP="00AE640B">
      <w:pPr>
        <w:spacing w:line="480" w:lineRule="auto"/>
        <w:jc w:val="both"/>
        <w:rPr>
          <w:i/>
          <w:sz w:val="24"/>
          <w:szCs w:val="24"/>
        </w:rPr>
      </w:pPr>
      <w:r w:rsidRPr="00D05EBD">
        <w:rPr>
          <w:sz w:val="24"/>
          <w:szCs w:val="24"/>
        </w:rPr>
        <w:tab/>
      </w:r>
      <w:r w:rsidRPr="00D05EBD">
        <w:rPr>
          <w:sz w:val="24"/>
          <w:szCs w:val="24"/>
        </w:rPr>
        <w:tab/>
      </w:r>
      <w:r w:rsidRPr="00D05EBD">
        <w:rPr>
          <w:sz w:val="24"/>
          <w:szCs w:val="24"/>
        </w:rPr>
        <w:tab/>
      </w:r>
      <w:r w:rsidR="00093982">
        <w:rPr>
          <w:i/>
          <w:sz w:val="24"/>
          <w:szCs w:val="24"/>
        </w:rPr>
        <w:t>3.3</w:t>
      </w:r>
      <w:r w:rsidRPr="00D05EBD">
        <w:rPr>
          <w:i/>
          <w:sz w:val="24"/>
          <w:szCs w:val="24"/>
        </w:rPr>
        <w:t>.3.1.1 Participants</w:t>
      </w:r>
    </w:p>
    <w:p w:rsidR="00FB1389" w:rsidRPr="00D05EBD" w:rsidRDefault="00FB1389" w:rsidP="00AE640B">
      <w:pPr>
        <w:spacing w:line="480" w:lineRule="auto"/>
        <w:jc w:val="both"/>
        <w:rPr>
          <w:sz w:val="24"/>
          <w:szCs w:val="24"/>
        </w:rPr>
      </w:pPr>
      <w:r w:rsidRPr="00D05EBD">
        <w:rPr>
          <w:i/>
          <w:sz w:val="24"/>
          <w:szCs w:val="24"/>
        </w:rPr>
        <w:tab/>
      </w:r>
      <w:r w:rsidRPr="00D05EBD">
        <w:rPr>
          <w:sz w:val="24"/>
          <w:szCs w:val="24"/>
        </w:rPr>
        <w:t>63 participants took part in this study (50 women). All participants were students from the University of Sheffield. Age</w:t>
      </w:r>
      <w:r w:rsidR="003665CE">
        <w:rPr>
          <w:sz w:val="24"/>
          <w:szCs w:val="24"/>
        </w:rPr>
        <w:t>s ranged from 18 to 38 years</w:t>
      </w:r>
      <w:r w:rsidRPr="00D05EBD">
        <w:rPr>
          <w:sz w:val="24"/>
          <w:szCs w:val="24"/>
        </w:rPr>
        <w:t xml:space="preserve"> </w:t>
      </w:r>
      <w:r w:rsidRPr="00D05EBD">
        <w:rPr>
          <w:i/>
          <w:sz w:val="24"/>
          <w:szCs w:val="24"/>
        </w:rPr>
        <w:t xml:space="preserve">(M = </w:t>
      </w:r>
      <w:r w:rsidRPr="00D05EBD">
        <w:rPr>
          <w:sz w:val="24"/>
          <w:szCs w:val="24"/>
        </w:rPr>
        <w:t>19.32</w:t>
      </w:r>
      <w:r w:rsidR="003665CE">
        <w:rPr>
          <w:sz w:val="24"/>
          <w:szCs w:val="24"/>
        </w:rPr>
        <w:t xml:space="preserve"> yr</w:t>
      </w:r>
      <w:r w:rsidRPr="00D05EBD">
        <w:rPr>
          <w:sz w:val="24"/>
          <w:szCs w:val="24"/>
        </w:rPr>
        <w:t xml:space="preserve">, </w:t>
      </w:r>
      <w:r w:rsidRPr="00D05EBD">
        <w:rPr>
          <w:i/>
          <w:sz w:val="24"/>
          <w:szCs w:val="24"/>
        </w:rPr>
        <w:t xml:space="preserve">SD = </w:t>
      </w:r>
      <w:r w:rsidRPr="00D05EBD">
        <w:rPr>
          <w:sz w:val="24"/>
          <w:szCs w:val="24"/>
        </w:rPr>
        <w:t xml:space="preserve">3.03). Participants were randomly assigned to one of four conditions: a) primed to </w:t>
      </w:r>
      <w:r w:rsidRPr="00D05EBD">
        <w:rPr>
          <w:sz w:val="24"/>
          <w:szCs w:val="24"/>
        </w:rPr>
        <w:lastRenderedPageBreak/>
        <w:t xml:space="preserve">worsen the emotions of someone else with the IER goal option, b) primed to worsen the emotions of someone else with no IER goal option, c) not primed but given the IER goal option, and d) no-prime no-goal control group. An </w:t>
      </w:r>
      <w:proofErr w:type="spellStart"/>
      <w:r w:rsidRPr="00D05EBD">
        <w:rPr>
          <w:sz w:val="24"/>
          <w:szCs w:val="24"/>
        </w:rPr>
        <w:t>apriori</w:t>
      </w:r>
      <w:proofErr w:type="spellEnd"/>
      <w:r w:rsidRPr="00D05EBD">
        <w:rPr>
          <w:sz w:val="24"/>
          <w:szCs w:val="24"/>
        </w:rPr>
        <w:t xml:space="preserve"> power analysis i</w:t>
      </w:r>
      <w:r w:rsidR="00666A55">
        <w:rPr>
          <w:sz w:val="24"/>
          <w:szCs w:val="24"/>
        </w:rPr>
        <w:t>ndicated that 40 participants were</w:t>
      </w:r>
      <w:r w:rsidRPr="00D05EBD">
        <w:rPr>
          <w:sz w:val="24"/>
          <w:szCs w:val="24"/>
        </w:rPr>
        <w:t xml:space="preserve"> enough for a power at .80. </w:t>
      </w:r>
    </w:p>
    <w:p w:rsidR="00FB1389" w:rsidRPr="00D05EBD" w:rsidRDefault="00FB1389" w:rsidP="00AE640B">
      <w:pPr>
        <w:spacing w:line="480" w:lineRule="auto"/>
        <w:jc w:val="both"/>
        <w:rPr>
          <w:i/>
          <w:sz w:val="24"/>
          <w:szCs w:val="24"/>
        </w:rPr>
      </w:pPr>
      <w:r w:rsidRPr="00D05EBD">
        <w:rPr>
          <w:sz w:val="24"/>
          <w:szCs w:val="24"/>
        </w:rPr>
        <w:tab/>
      </w:r>
      <w:r w:rsidRPr="00D05EBD">
        <w:rPr>
          <w:sz w:val="24"/>
          <w:szCs w:val="24"/>
        </w:rPr>
        <w:tab/>
      </w:r>
      <w:r w:rsidRPr="00D05EBD">
        <w:rPr>
          <w:sz w:val="24"/>
          <w:szCs w:val="24"/>
        </w:rPr>
        <w:tab/>
      </w:r>
      <w:r w:rsidR="00093982">
        <w:rPr>
          <w:i/>
          <w:sz w:val="24"/>
          <w:szCs w:val="24"/>
        </w:rPr>
        <w:t>3.3</w:t>
      </w:r>
      <w:r w:rsidRPr="00D05EBD">
        <w:rPr>
          <w:i/>
          <w:sz w:val="24"/>
          <w:szCs w:val="24"/>
        </w:rPr>
        <w:t>.3.1.2 Procedure</w:t>
      </w:r>
    </w:p>
    <w:p w:rsidR="00FB1389" w:rsidRPr="00D05EBD" w:rsidRDefault="00FB1389" w:rsidP="00AE640B">
      <w:pPr>
        <w:spacing w:line="480" w:lineRule="auto"/>
        <w:jc w:val="both"/>
        <w:rPr>
          <w:sz w:val="24"/>
          <w:szCs w:val="24"/>
        </w:rPr>
      </w:pPr>
      <w:r w:rsidRPr="00D05EBD">
        <w:rPr>
          <w:sz w:val="24"/>
          <w:szCs w:val="24"/>
        </w:rPr>
        <w:tab/>
        <w:t>The experiment took part in the department of Psychology at the University of Sheffield. First</w:t>
      </w:r>
      <w:r w:rsidR="00EC1C4E">
        <w:rPr>
          <w:sz w:val="24"/>
          <w:szCs w:val="24"/>
        </w:rPr>
        <w:t>,</w:t>
      </w:r>
      <w:r w:rsidRPr="00D05EBD">
        <w:rPr>
          <w:sz w:val="24"/>
          <w:szCs w:val="24"/>
        </w:rPr>
        <w:t xml:space="preserve"> participants read an information sheet where they were given information about the experiment that included the </w:t>
      </w:r>
      <w:r w:rsidR="0022461E">
        <w:rPr>
          <w:sz w:val="24"/>
          <w:szCs w:val="24"/>
        </w:rPr>
        <w:t xml:space="preserve">allegedly </w:t>
      </w:r>
      <w:r w:rsidRPr="00D05EBD">
        <w:rPr>
          <w:sz w:val="24"/>
          <w:szCs w:val="24"/>
        </w:rPr>
        <w:t xml:space="preserve">purpose of the experiment (to investigate the use of English language on native English speakers). They were informed their answers would be anonymous and that the study had received ethical approval from the Research Ethics Committee in the Department of Psychology at the University of Sheffield. If the participants agreed to take part they signed a consent form. After signing the consent form, participants were given the SST and left alone in a cubicle to solve it without distractions. </w:t>
      </w:r>
      <w:r w:rsidRPr="00132A7D">
        <w:rPr>
          <w:sz w:val="24"/>
          <w:szCs w:val="24"/>
        </w:rPr>
        <w:t>Once they finished the SST, they called the experimenter, who was waiting outside, and received the target task which consisted of writing a letter to an ex-partner of theirs.</w:t>
      </w:r>
      <w:r w:rsidR="00EC1C4E">
        <w:rPr>
          <w:sz w:val="24"/>
          <w:szCs w:val="24"/>
        </w:rPr>
        <w:t xml:space="preserve"> </w:t>
      </w:r>
      <w:r w:rsidR="00132A7D">
        <w:rPr>
          <w:sz w:val="24"/>
          <w:szCs w:val="24"/>
        </w:rPr>
        <w:t xml:space="preserve">If the participant had not had any romantic relationship before, they were asked to imagine one. </w:t>
      </w:r>
      <w:r w:rsidRPr="00D05EBD">
        <w:rPr>
          <w:sz w:val="24"/>
          <w:szCs w:val="24"/>
        </w:rPr>
        <w:t xml:space="preserve">Once participants had finished writing the letter to their ex-partner, they put it in an envelope and sealed it. The letter was then placed by participants in a mail box the experimenter used for this Study. Participants were informed the mail box would not be opened until the Study had reached the desired sample size, thus their letter would be mixed with lots of other letters making it even more difficult for the experimenter to know which letter belonged to which participant. After placing the letter in the mail box, participants called the </w:t>
      </w:r>
      <w:r w:rsidRPr="00D05EBD">
        <w:rPr>
          <w:sz w:val="24"/>
          <w:szCs w:val="24"/>
        </w:rPr>
        <w:lastRenderedPageBreak/>
        <w:t>exper</w:t>
      </w:r>
      <w:r w:rsidR="00397DD9">
        <w:rPr>
          <w:sz w:val="24"/>
          <w:szCs w:val="24"/>
        </w:rPr>
        <w:t>imenter again who gave them the</w:t>
      </w:r>
      <w:r w:rsidR="00BE30C8">
        <w:rPr>
          <w:sz w:val="24"/>
          <w:szCs w:val="24"/>
        </w:rPr>
        <w:t xml:space="preserve"> </w:t>
      </w:r>
      <w:r w:rsidRPr="00D05EBD">
        <w:rPr>
          <w:sz w:val="24"/>
          <w:szCs w:val="24"/>
        </w:rPr>
        <w:t>Social Desirability</w:t>
      </w:r>
      <w:r w:rsidR="00397DD9">
        <w:rPr>
          <w:sz w:val="24"/>
          <w:szCs w:val="24"/>
        </w:rPr>
        <w:t xml:space="preserve"> Short</w:t>
      </w:r>
      <w:r w:rsidRPr="00D05EBD">
        <w:rPr>
          <w:sz w:val="24"/>
          <w:szCs w:val="24"/>
        </w:rPr>
        <w:t xml:space="preserve"> Scale. Finally, after completion of the Social Desirability </w:t>
      </w:r>
      <w:r w:rsidR="00397DD9">
        <w:rPr>
          <w:sz w:val="24"/>
          <w:szCs w:val="24"/>
        </w:rPr>
        <w:t xml:space="preserve">Short </w:t>
      </w:r>
      <w:r w:rsidRPr="00D05EBD">
        <w:rPr>
          <w:sz w:val="24"/>
          <w:szCs w:val="24"/>
        </w:rPr>
        <w:t xml:space="preserve">Scale, participants called the experimenter who then debriefed them by asking them the same 6 questions used in the debrief in Study 2a, plus three extra ones: 7) </w:t>
      </w:r>
      <w:r w:rsidRPr="00397DD9">
        <w:rPr>
          <w:i/>
          <w:sz w:val="24"/>
          <w:szCs w:val="24"/>
        </w:rPr>
        <w:t>On a scale from 1 to 5 where 1 means not at all and 5 very, how easy was it for you to write the letter?</w:t>
      </w:r>
      <w:r w:rsidRPr="00D05EBD">
        <w:rPr>
          <w:sz w:val="24"/>
          <w:szCs w:val="24"/>
        </w:rPr>
        <w:t xml:space="preserve">; 8) </w:t>
      </w:r>
      <w:r w:rsidRPr="00397DD9">
        <w:rPr>
          <w:i/>
          <w:sz w:val="24"/>
          <w:szCs w:val="24"/>
        </w:rPr>
        <w:t>Were you surprised by the tone of what you wrote in the letter?</w:t>
      </w:r>
      <w:r w:rsidRPr="00D05EBD">
        <w:rPr>
          <w:sz w:val="24"/>
          <w:szCs w:val="24"/>
        </w:rPr>
        <w:t xml:space="preserve"> and 9) </w:t>
      </w:r>
      <w:r w:rsidRPr="00397DD9">
        <w:rPr>
          <w:i/>
          <w:sz w:val="24"/>
          <w:szCs w:val="24"/>
        </w:rPr>
        <w:t>To what extent do you think that your letter was trying to make your ex-partner feel better or worse?</w:t>
      </w:r>
      <w:r w:rsidRPr="00D05EBD">
        <w:rPr>
          <w:sz w:val="24"/>
          <w:szCs w:val="24"/>
        </w:rPr>
        <w:t xml:space="preserve"> Questions 7 and 8 of the debriefing procedure were included to explore the effortless feature of automatic processes, and question 9 was included to explore the </w:t>
      </w:r>
      <w:r w:rsidR="001B6794">
        <w:rPr>
          <w:sz w:val="24"/>
          <w:szCs w:val="24"/>
        </w:rPr>
        <w:t>un</w:t>
      </w:r>
      <w:r w:rsidRPr="00D05EBD">
        <w:rPr>
          <w:sz w:val="24"/>
          <w:szCs w:val="24"/>
        </w:rPr>
        <w:t xml:space="preserve">intentional feature of automatic processes </w:t>
      </w:r>
      <w:r w:rsidR="00B06E70">
        <w:rPr>
          <w:sz w:val="24"/>
          <w:szCs w:val="24"/>
        </w:rPr>
        <w:fldChar w:fldCharType="begin" w:fldLock="1"/>
      </w:r>
      <w:r w:rsidR="00A5797A">
        <w:rPr>
          <w:sz w:val="24"/>
          <w:szCs w:val="24"/>
        </w:rPr>
        <w:instrText>ADDIN CSL_CITATION { "citationItems" : [ { "id" : "ITEM-1", "itemData" : { "DOI" : "10.1037/0022-3514.71.2.230", "ISBN" : "0022-3514\\n1939-1315", "ISSN" : "0022-3514", "PMID" : "8765481", "abstract" : "Previous research has shown that trait concepts and stereotype become active automatically in the presence of relevant behavior or stereotyped-group features. Through the use of the same priming procedures as in previous impression formation research, Experiment 1 showed that participants whose concept of rudeness was printed interrupted the experimenter more quickly and frequently than did participants primed with polite-related stimuli. In Experiment 2, participants for whom an elderly stereotype was primed walked more slowly down the hallway when leaving the experiment than did control participants, consistent with the content of that stereotype. In Experiment 3, participants for whom the African American stereotype was primed subliminally reacted with more hostility to a vexatious request of the experimenter. Implications of this automatic behavior priming effect for self-fulfilling prophecies are discussed, as is whether social behavior is necessarily mediated by conscious choice processes.", "author" : [ { "dropping-particle" : "", "family" : "Bargh", "given" : "John A.", "non-dropping-particle" : "", "parse-names" : false, "suffix" : "" }, { "dropping-particle" : "", "family" : "Chen", "given" : "Mark", "non-dropping-particle" : "", "parse-names" : false, "suffix" : "" }, { "dropping-particle" : "", "family" : "Burrows", "given" : "Lara", "non-dropping-particle" : "", "parse-names" : false, "suffix" : "" } ], "container-title" : "Journal of personality and social psychology", "id" : "ITEM-1", "issue" : "2", "issued" : { "date-parts" : [ [ "1996" ] ] }, "page" : "230-244", "title" : "Automaticity of social behavior: Direct effects of trait construct and stereotype-activation on action.", "type" : "article-journal", "volume" : "71" }, "uris" : [ "http://www.mendeley.com/documents/?uuid=55a5884c-98c2-3691-95f6-50a23fe9c58c" ] } ], "mendeley" : { "formattedCitation" : "(J. A. Bargh et al., 1996)", "manualFormatting" : "(Bargh et al., 1996)", "plainTextFormattedCitation" : "(J. A. Bargh et al., 1996)", "previouslyFormattedCitation" : "(J. A. Bargh et al., 1996)" }, "properties" : { "noteIndex" : 0 }, "schema" : "https://github.com/citation-style-language/schema/raw/master/csl-citation.json" }</w:instrText>
      </w:r>
      <w:r w:rsidR="00B06E70">
        <w:rPr>
          <w:sz w:val="24"/>
          <w:szCs w:val="24"/>
        </w:rPr>
        <w:fldChar w:fldCharType="separate"/>
      </w:r>
      <w:r w:rsidR="00A5797A">
        <w:rPr>
          <w:noProof/>
          <w:sz w:val="24"/>
          <w:szCs w:val="24"/>
        </w:rPr>
        <w:t>(</w:t>
      </w:r>
      <w:r w:rsidR="00A5797A" w:rsidRPr="00A5797A">
        <w:rPr>
          <w:noProof/>
          <w:sz w:val="24"/>
          <w:szCs w:val="24"/>
        </w:rPr>
        <w:t>Bargh et al., 1996)</w:t>
      </w:r>
      <w:r w:rsidR="00B06E70">
        <w:rPr>
          <w:sz w:val="24"/>
          <w:szCs w:val="24"/>
        </w:rPr>
        <w:fldChar w:fldCharType="end"/>
      </w:r>
      <w:r w:rsidRPr="00D05EBD">
        <w:rPr>
          <w:sz w:val="24"/>
          <w:szCs w:val="24"/>
        </w:rPr>
        <w:t>. A couple of weeks later, participants were contacted via email a</w:t>
      </w:r>
      <w:r w:rsidR="001B6794">
        <w:rPr>
          <w:sz w:val="24"/>
          <w:szCs w:val="24"/>
        </w:rPr>
        <w:t>nd invited to complete a follow-</w:t>
      </w:r>
      <w:r w:rsidRPr="00D05EBD">
        <w:rPr>
          <w:sz w:val="24"/>
          <w:szCs w:val="24"/>
        </w:rPr>
        <w:t>up questionnair</w:t>
      </w:r>
      <w:r w:rsidR="004E09EE">
        <w:rPr>
          <w:sz w:val="24"/>
          <w:szCs w:val="24"/>
        </w:rPr>
        <w:t>e which consisted of answering</w:t>
      </w:r>
      <w:r w:rsidRPr="00D05EBD">
        <w:rPr>
          <w:sz w:val="24"/>
          <w:szCs w:val="24"/>
        </w:rPr>
        <w:t xml:space="preserve"> ques</w:t>
      </w:r>
      <w:r w:rsidR="001B6794">
        <w:rPr>
          <w:sz w:val="24"/>
          <w:szCs w:val="24"/>
        </w:rPr>
        <w:t>tions</w:t>
      </w:r>
      <w:r w:rsidRPr="00D05EBD">
        <w:rPr>
          <w:sz w:val="24"/>
          <w:szCs w:val="24"/>
        </w:rPr>
        <w:t xml:space="preserve"> exploring their explicit attitudes towards their ex-partners. Although participants were not informed they would be answering this questionnaire when they first agreed to take part in this Study, in the email inviting them to answer th</w:t>
      </w:r>
      <w:r w:rsidR="001B6794">
        <w:rPr>
          <w:sz w:val="24"/>
          <w:szCs w:val="24"/>
        </w:rPr>
        <w:t>e</w:t>
      </w:r>
      <w:r w:rsidRPr="00D05EBD">
        <w:rPr>
          <w:sz w:val="24"/>
          <w:szCs w:val="24"/>
        </w:rPr>
        <w:t xml:space="preserve"> questionnaire</w:t>
      </w:r>
      <w:r w:rsidR="001B6794">
        <w:rPr>
          <w:sz w:val="24"/>
          <w:szCs w:val="24"/>
        </w:rPr>
        <w:t xml:space="preserve"> about their explicit attitudes towards their ex-partners</w:t>
      </w:r>
      <w:r w:rsidRPr="00D05EBD">
        <w:rPr>
          <w:sz w:val="24"/>
          <w:szCs w:val="24"/>
        </w:rPr>
        <w:t>, they were explained</w:t>
      </w:r>
      <w:r w:rsidR="001B6794">
        <w:rPr>
          <w:sz w:val="24"/>
          <w:szCs w:val="24"/>
        </w:rPr>
        <w:t xml:space="preserve"> that</w:t>
      </w:r>
      <w:r w:rsidRPr="00D05EBD">
        <w:rPr>
          <w:sz w:val="24"/>
          <w:szCs w:val="24"/>
        </w:rPr>
        <w:t xml:space="preserve"> their answers would help the researcher understand the significance of the letters. 45 participants completed the questionnaire</w:t>
      </w:r>
      <w:r w:rsidRPr="00973AEB">
        <w:rPr>
          <w:rStyle w:val="Refdenotaalpie"/>
        </w:rPr>
        <w:footnoteReference w:id="25"/>
      </w:r>
      <w:r w:rsidRPr="00D05EBD">
        <w:rPr>
          <w:sz w:val="24"/>
          <w:szCs w:val="24"/>
        </w:rPr>
        <w:t xml:space="preserve">. </w:t>
      </w:r>
    </w:p>
    <w:p w:rsidR="00FB1389" w:rsidRPr="00D05EBD" w:rsidRDefault="00FB1389" w:rsidP="00AE640B">
      <w:pPr>
        <w:spacing w:line="480" w:lineRule="auto"/>
        <w:jc w:val="both"/>
        <w:rPr>
          <w:i/>
          <w:sz w:val="24"/>
          <w:szCs w:val="24"/>
        </w:rPr>
      </w:pPr>
      <w:r w:rsidRPr="00D05EBD">
        <w:rPr>
          <w:sz w:val="24"/>
          <w:szCs w:val="24"/>
        </w:rPr>
        <w:tab/>
      </w:r>
      <w:r w:rsidRPr="00D05EBD">
        <w:rPr>
          <w:sz w:val="24"/>
          <w:szCs w:val="24"/>
        </w:rPr>
        <w:tab/>
      </w:r>
      <w:r w:rsidRPr="00D05EBD">
        <w:rPr>
          <w:sz w:val="24"/>
          <w:szCs w:val="24"/>
        </w:rPr>
        <w:tab/>
      </w:r>
      <w:r w:rsidR="00093982">
        <w:rPr>
          <w:i/>
          <w:sz w:val="24"/>
          <w:szCs w:val="24"/>
        </w:rPr>
        <w:t>3.3</w:t>
      </w:r>
      <w:r w:rsidRPr="00D05EBD">
        <w:rPr>
          <w:i/>
          <w:sz w:val="24"/>
          <w:szCs w:val="24"/>
        </w:rPr>
        <w:t>.3.1.3 Materials</w:t>
      </w:r>
    </w:p>
    <w:p w:rsidR="00FB1389" w:rsidRPr="00D05EBD" w:rsidRDefault="00FB1389" w:rsidP="00AE640B">
      <w:pPr>
        <w:spacing w:line="480" w:lineRule="auto"/>
        <w:jc w:val="both"/>
        <w:rPr>
          <w:i/>
          <w:sz w:val="24"/>
          <w:szCs w:val="24"/>
        </w:rPr>
      </w:pPr>
      <w:r w:rsidRPr="00D05EBD">
        <w:rPr>
          <w:i/>
          <w:sz w:val="24"/>
          <w:szCs w:val="24"/>
        </w:rPr>
        <w:tab/>
      </w:r>
      <w:r w:rsidRPr="00D05EBD">
        <w:rPr>
          <w:i/>
          <w:sz w:val="24"/>
          <w:szCs w:val="24"/>
        </w:rPr>
        <w:tab/>
        <w:t>Scrambled Sentence Task</w:t>
      </w:r>
    </w:p>
    <w:p w:rsidR="00FB1389" w:rsidRPr="00D05EBD" w:rsidRDefault="00FB1389" w:rsidP="00AE640B">
      <w:pPr>
        <w:spacing w:line="480" w:lineRule="auto"/>
        <w:jc w:val="both"/>
        <w:rPr>
          <w:sz w:val="24"/>
          <w:szCs w:val="24"/>
        </w:rPr>
      </w:pPr>
      <w:r w:rsidRPr="00D05EBD">
        <w:rPr>
          <w:sz w:val="24"/>
          <w:szCs w:val="24"/>
        </w:rPr>
        <w:tab/>
        <w:t xml:space="preserve">This study used the same priming task as the one used in Study 2a for the primed and IER goal condition (A and C), and the same priming task used in Study 2b for the primed and no IER goal condition (B and D). </w:t>
      </w:r>
    </w:p>
    <w:p w:rsidR="00FB1389" w:rsidRPr="00D05EBD" w:rsidRDefault="00FB1389" w:rsidP="00AE640B">
      <w:pPr>
        <w:spacing w:line="480" w:lineRule="auto"/>
        <w:jc w:val="both"/>
        <w:rPr>
          <w:i/>
          <w:sz w:val="24"/>
          <w:szCs w:val="24"/>
        </w:rPr>
      </w:pPr>
      <w:r w:rsidRPr="00D05EBD">
        <w:rPr>
          <w:i/>
          <w:sz w:val="24"/>
          <w:szCs w:val="24"/>
        </w:rPr>
        <w:lastRenderedPageBreak/>
        <w:tab/>
      </w:r>
      <w:r w:rsidRPr="00D05EBD">
        <w:rPr>
          <w:i/>
          <w:sz w:val="24"/>
          <w:szCs w:val="24"/>
        </w:rPr>
        <w:tab/>
        <w:t>Letter to an ex-partner</w:t>
      </w:r>
    </w:p>
    <w:p w:rsidR="00FB1389" w:rsidRPr="00D05EBD" w:rsidRDefault="00FB1389" w:rsidP="00C06FB0">
      <w:pPr>
        <w:spacing w:line="480" w:lineRule="auto"/>
        <w:jc w:val="both"/>
        <w:rPr>
          <w:i/>
          <w:sz w:val="24"/>
          <w:szCs w:val="24"/>
        </w:rPr>
      </w:pPr>
      <w:r w:rsidRPr="00D05EBD">
        <w:rPr>
          <w:sz w:val="24"/>
          <w:szCs w:val="24"/>
        </w:rPr>
        <w:tab/>
        <w:t xml:space="preserve">The instructions for the letter to the ex-partner in the goal condition were as follow: </w:t>
      </w:r>
      <w:r w:rsidRPr="00D05EBD">
        <w:rPr>
          <w:i/>
          <w:sz w:val="24"/>
          <w:szCs w:val="24"/>
        </w:rPr>
        <w:t xml:space="preserve">This task involves writing a letter to an ex-partner of yours (i.e., an old girlfriend or boyfriend). You can change any information you include in the letter that you think might provide clues for the experimenter to trace your identity or the identity of your partner (i.e. names, locations, dates, etc.). Letters will be read only by the experimenter after the collection of the whole sample. It is recommended you cover all the space provided below to write your letter. If you need more space, use the reverse side of the page. You can choose whether to try to make your ex-partner feel better or worse when they read your letter. Please tick on one of these options below. </w:t>
      </w:r>
    </w:p>
    <w:p w:rsidR="00FB1389" w:rsidRPr="00C06FB0" w:rsidRDefault="00FB1389" w:rsidP="00C06FB0">
      <w:pPr>
        <w:spacing w:line="480" w:lineRule="auto"/>
        <w:jc w:val="both"/>
        <w:rPr>
          <w:i/>
          <w:sz w:val="24"/>
          <w:szCs w:val="24"/>
        </w:rPr>
      </w:pPr>
      <w:r w:rsidRPr="00C06FB0">
        <w:rPr>
          <w:i/>
          <w:sz w:val="24"/>
          <w:szCs w:val="24"/>
        </w:rPr>
        <w:t>_____ I will try to make my ex-partner feel better</w:t>
      </w:r>
    </w:p>
    <w:p w:rsidR="00FB1389" w:rsidRPr="00C06FB0" w:rsidRDefault="00FB1389" w:rsidP="00C06FB0">
      <w:pPr>
        <w:spacing w:line="480" w:lineRule="auto"/>
        <w:jc w:val="both"/>
        <w:rPr>
          <w:i/>
          <w:sz w:val="24"/>
          <w:szCs w:val="24"/>
        </w:rPr>
      </w:pPr>
      <w:r w:rsidRPr="00C06FB0">
        <w:rPr>
          <w:i/>
          <w:sz w:val="24"/>
          <w:szCs w:val="24"/>
        </w:rPr>
        <w:t>_____ I will try to make my ex-partner feel worse</w:t>
      </w:r>
      <w:r w:rsidRPr="00C06FB0">
        <w:rPr>
          <w:i/>
          <w:sz w:val="24"/>
          <w:szCs w:val="24"/>
        </w:rPr>
        <w:tab/>
      </w:r>
    </w:p>
    <w:p w:rsidR="00FB1389" w:rsidRPr="00D05EBD" w:rsidRDefault="00FB1389" w:rsidP="00AE640B">
      <w:pPr>
        <w:spacing w:line="480" w:lineRule="auto"/>
        <w:ind w:firstLine="720"/>
        <w:jc w:val="both"/>
        <w:rPr>
          <w:sz w:val="24"/>
          <w:szCs w:val="24"/>
        </w:rPr>
      </w:pPr>
      <w:r w:rsidRPr="00D05EBD">
        <w:rPr>
          <w:sz w:val="24"/>
          <w:szCs w:val="24"/>
        </w:rPr>
        <w:t xml:space="preserve">In the no goal </w:t>
      </w:r>
      <w:r w:rsidR="006C6A32" w:rsidRPr="00D05EBD">
        <w:rPr>
          <w:sz w:val="24"/>
          <w:szCs w:val="24"/>
        </w:rPr>
        <w:t>condition,</w:t>
      </w:r>
      <w:r w:rsidRPr="00D05EBD">
        <w:rPr>
          <w:sz w:val="24"/>
          <w:szCs w:val="24"/>
        </w:rPr>
        <w:t xml:space="preserve"> the instructions were the same with the exception of </w:t>
      </w:r>
      <w:r w:rsidR="004F60BE">
        <w:rPr>
          <w:sz w:val="24"/>
          <w:szCs w:val="24"/>
        </w:rPr>
        <w:t>the removal of the IER-goal option (whether to make the</w:t>
      </w:r>
      <w:r w:rsidRPr="00D05EBD">
        <w:rPr>
          <w:sz w:val="24"/>
          <w:szCs w:val="24"/>
        </w:rPr>
        <w:t xml:space="preserve"> ex-partner feel better or worse</w:t>
      </w:r>
      <w:r w:rsidR="004F60BE">
        <w:rPr>
          <w:sz w:val="24"/>
          <w:szCs w:val="24"/>
        </w:rPr>
        <w:t>)</w:t>
      </w:r>
      <w:r w:rsidRPr="00D05EBD">
        <w:rPr>
          <w:sz w:val="24"/>
          <w:szCs w:val="24"/>
        </w:rPr>
        <w:t xml:space="preserve">. Participants were informed their letter would be read only by the experimenter and by a research assistant and that everything they wrote would be treated with </w:t>
      </w:r>
      <w:r w:rsidR="00572C26">
        <w:rPr>
          <w:sz w:val="24"/>
          <w:szCs w:val="24"/>
        </w:rPr>
        <w:t xml:space="preserve">strict </w:t>
      </w:r>
      <w:r w:rsidRPr="00D05EBD">
        <w:rPr>
          <w:sz w:val="24"/>
          <w:szCs w:val="24"/>
        </w:rPr>
        <w:t xml:space="preserve">confidentiality. </w:t>
      </w:r>
    </w:p>
    <w:p w:rsidR="00FB1389" w:rsidRPr="00D05EBD" w:rsidRDefault="00FB1389" w:rsidP="00AE640B">
      <w:pPr>
        <w:spacing w:line="480" w:lineRule="auto"/>
        <w:jc w:val="both"/>
        <w:rPr>
          <w:i/>
          <w:sz w:val="24"/>
          <w:szCs w:val="24"/>
        </w:rPr>
      </w:pPr>
      <w:r w:rsidRPr="00D05EBD">
        <w:rPr>
          <w:i/>
          <w:sz w:val="24"/>
          <w:szCs w:val="24"/>
        </w:rPr>
        <w:tab/>
      </w:r>
      <w:r w:rsidRPr="00D05EBD">
        <w:rPr>
          <w:i/>
          <w:sz w:val="24"/>
          <w:szCs w:val="24"/>
        </w:rPr>
        <w:tab/>
        <w:t>Social-Desirability Short Scale</w:t>
      </w:r>
    </w:p>
    <w:p w:rsidR="00FB1389" w:rsidRPr="00D05EBD" w:rsidRDefault="00FB1389" w:rsidP="00AE640B">
      <w:pPr>
        <w:spacing w:line="480" w:lineRule="auto"/>
        <w:jc w:val="both"/>
        <w:rPr>
          <w:sz w:val="24"/>
          <w:szCs w:val="24"/>
        </w:rPr>
      </w:pPr>
      <w:r w:rsidRPr="00D05EBD">
        <w:rPr>
          <w:sz w:val="24"/>
          <w:szCs w:val="24"/>
        </w:rPr>
        <w:tab/>
        <w:t xml:space="preserve">The present study used the same Social-Desirability Short Scale </w:t>
      </w:r>
      <w:r w:rsidR="00B06E70">
        <w:rPr>
          <w:sz w:val="24"/>
          <w:szCs w:val="24"/>
        </w:rPr>
        <w:fldChar w:fldCharType="begin" w:fldLock="1"/>
      </w:r>
      <w:r w:rsidR="001D3E14">
        <w:rPr>
          <w:sz w:val="24"/>
          <w:szCs w:val="24"/>
        </w:rPr>
        <w:instrText>ADDIN CSL_CITATION { "citationItems" : [ { "id" : "ITEM-1", "itemData" : { "DOI" : "10.1080/00224545.1984.9924522", "ISBN" : "00224545", "ISSN" : "0022-4545", "PMID" : "5392230", "abstract" : "Eight items from the Marlowe-Crowne Social Desirability (MCSD) Scale were administered to 95 Ss living in Sydney, Australia, and a 6-item scale also derived from the MCSD Scale was readministered to 122 Ss from New South Wales and 200 other Sydney Ss. Results indicate that, contrary to findings by J. G. O'Gorman (see record 1974-23029-001), short MCSD scales may have satisfactory alphas with general population samples. It is suggested that O'Gorman's results may show the effect of coercion on social-desirability responding. (8 ref) ((c) 1999 APA/PsycINFO, all rights reserved)", "author" : [ { "dropping-particle" : "", "family" : "Ray", "given" : "John J", "non-dropping-particle" : "", "parse-names" : false, "suffix" : "" } ], "container-title" : "The Journal of Social Psychology", "id" : "ITEM-1", "issue" : "1", "issued" : { "date-parts" : [ [ "1984" ] ] }, "page" : "133-134", "title" : "The Reliability of Short Social Desirability Scales", "type" : "article", "volume" : "123" }, "uris" : [ "http://www.mendeley.com/documents/?uuid=efaf8890-0fbe-3577-a997-82b9f9549fe2" ] } ], "mendeley" : { "formattedCitation" : "(Ray, 1984)", "plainTextFormattedCitation" : "(Ray, 1984)", "previouslyFormattedCitation" : "(Ray, 1984)" }, "properties" : { "noteIndex" : 0 }, "schema" : "https://github.com/citation-style-language/schema/raw/master/csl-citation.json" }</w:instrText>
      </w:r>
      <w:r w:rsidR="00B06E70">
        <w:rPr>
          <w:sz w:val="24"/>
          <w:szCs w:val="24"/>
        </w:rPr>
        <w:fldChar w:fldCharType="separate"/>
      </w:r>
      <w:r w:rsidR="001D3E14" w:rsidRPr="001D3E14">
        <w:rPr>
          <w:noProof/>
          <w:sz w:val="24"/>
          <w:szCs w:val="24"/>
        </w:rPr>
        <w:t>(Ray, 1984)</w:t>
      </w:r>
      <w:r w:rsidR="00B06E70">
        <w:rPr>
          <w:sz w:val="24"/>
          <w:szCs w:val="24"/>
        </w:rPr>
        <w:fldChar w:fldCharType="end"/>
      </w:r>
      <w:r w:rsidRPr="00D05EBD">
        <w:rPr>
          <w:sz w:val="24"/>
          <w:szCs w:val="24"/>
        </w:rPr>
        <w:t xml:space="preserve"> as the one used in Studies 2a and 2b.</w:t>
      </w:r>
    </w:p>
    <w:p w:rsidR="00FB1389" w:rsidRPr="00D05EBD" w:rsidRDefault="00FB1389" w:rsidP="00AE640B">
      <w:pPr>
        <w:spacing w:line="480" w:lineRule="auto"/>
        <w:jc w:val="both"/>
        <w:rPr>
          <w:i/>
          <w:sz w:val="24"/>
          <w:szCs w:val="24"/>
        </w:rPr>
      </w:pPr>
      <w:r w:rsidRPr="00D05EBD">
        <w:rPr>
          <w:sz w:val="24"/>
          <w:szCs w:val="24"/>
        </w:rPr>
        <w:tab/>
      </w:r>
      <w:r w:rsidRPr="00D05EBD">
        <w:rPr>
          <w:sz w:val="24"/>
          <w:szCs w:val="24"/>
        </w:rPr>
        <w:tab/>
      </w:r>
      <w:r w:rsidRPr="00D05EBD">
        <w:rPr>
          <w:i/>
          <w:sz w:val="24"/>
          <w:szCs w:val="24"/>
        </w:rPr>
        <w:t>Explicit attitudes towards ex-partner</w:t>
      </w:r>
    </w:p>
    <w:p w:rsidR="00FB1389" w:rsidRPr="00D05EBD" w:rsidRDefault="00FB1389" w:rsidP="00AE640B">
      <w:pPr>
        <w:spacing w:line="480" w:lineRule="auto"/>
        <w:ind w:firstLine="720"/>
        <w:jc w:val="both"/>
        <w:rPr>
          <w:sz w:val="24"/>
          <w:szCs w:val="24"/>
        </w:rPr>
      </w:pPr>
      <w:r w:rsidRPr="00D05EBD">
        <w:rPr>
          <w:sz w:val="24"/>
          <w:szCs w:val="24"/>
        </w:rPr>
        <w:lastRenderedPageBreak/>
        <w:t>A</w:t>
      </w:r>
      <w:r w:rsidR="00C72E8C">
        <w:rPr>
          <w:sz w:val="24"/>
          <w:szCs w:val="24"/>
        </w:rPr>
        <w:t>n</w:t>
      </w:r>
      <w:r w:rsidRPr="00D05EBD">
        <w:rPr>
          <w:sz w:val="24"/>
          <w:szCs w:val="24"/>
        </w:rPr>
        <w:t xml:space="preserve"> explicit attitudes towards an ex-partner scale </w:t>
      </w:r>
      <w:r w:rsidR="00B06E70">
        <w:rPr>
          <w:sz w:val="24"/>
          <w:szCs w:val="24"/>
        </w:rPr>
        <w:fldChar w:fldCharType="begin" w:fldLock="1"/>
      </w:r>
      <w:r w:rsidR="0058193B">
        <w:rPr>
          <w:sz w:val="24"/>
          <w:szCs w:val="24"/>
        </w:rPr>
        <w:instrText>ADDIN CSL_CITATION { "citationItems" : [ { "id" : "ITEM-1", "itemData" : { "DOI" : "10.1111/j.1475-6811.2010.01308.x", "ISSN" : "13504126", "abstract" : "The present research examined the hypothesis that positive implicit attitudes toward a former romantic partner might be detrimental to well-being as these attitudes lead to more suffering. In a cross-sectional study (N = 144), implicit ex-partner attitudes measured with an Affect Misattribution Procedure were negatively related to well-being only for those participants who had not found a new partner after breakup. In contrast, positive explicit ex-partner attitudes were related to greater well-being, again only for those who were still alone. Contrary to the view that time will heal all wounds, the current research suggests that engaging with a new partner will make both implicit and explicit ex-partner attitudes irrelevant. \u00a9 2010 IARR.", "author" : [ { "dropping-particle" : "", "family" : "Imhoff", "given" : "Roland", "non-dropping-particle" : "", "parse-names" : false, "suffix" : "" }, { "dropping-particle" : "", "family" : "Banse", "given" : "Rainer", "non-dropping-particle" : "", "parse-names" : false, "suffix" : "" } ], "container-title" : "Personal Relationships", "id" : "ITEM-1", "issued" : { "date-parts" : [ [ "2011" ] ] }, "title" : "Implicit and explicit attitudes toward ex-partners differentially predict breakup adjustment", "type" : "article-journal" }, "uris" : [ "http://www.mendeley.com/documents/?uuid=13260dfe-3fba-3517-b0b1-97298d48dfc8" ] } ], "mendeley" : { "formattedCitation" : "(Imhoff &amp; Banse, 2011)", "plainTextFormattedCitation" : "(Imhoff &amp; Banse, 2011)", "previouslyFormattedCitation" : "(Imhoff &amp; Banse, 2011)" }, "properties" : { "noteIndex" : 0 }, "schema" : "https://github.com/citation-style-language/schema/raw/master/csl-citation.json" }</w:instrText>
      </w:r>
      <w:r w:rsidR="00B06E70">
        <w:rPr>
          <w:sz w:val="24"/>
          <w:szCs w:val="24"/>
        </w:rPr>
        <w:fldChar w:fldCharType="separate"/>
      </w:r>
      <w:r w:rsidR="00A5797A" w:rsidRPr="00A5797A">
        <w:rPr>
          <w:noProof/>
          <w:sz w:val="24"/>
          <w:szCs w:val="24"/>
        </w:rPr>
        <w:t>(Imhoff &amp; Banse, 2011)</w:t>
      </w:r>
      <w:r w:rsidR="00B06E70">
        <w:rPr>
          <w:sz w:val="24"/>
          <w:szCs w:val="24"/>
        </w:rPr>
        <w:fldChar w:fldCharType="end"/>
      </w:r>
      <w:r w:rsidRPr="00D05EBD">
        <w:rPr>
          <w:sz w:val="24"/>
          <w:szCs w:val="24"/>
        </w:rPr>
        <w:t xml:space="preserve"> was used to explore the participants’ explicit attitudes towards their ex-partners and to see whether these attitudes influenced the use of IER strategies participants used in the letter they wrote to their ex-partner. The scale consisted of 18 items answered on a 5-point Likert scale from 0 (strongly disagree) to 4 (strongly agree). Examples of the items included: </w:t>
      </w:r>
      <w:r w:rsidRPr="00D05EBD">
        <w:rPr>
          <w:i/>
          <w:sz w:val="24"/>
          <w:szCs w:val="24"/>
        </w:rPr>
        <w:t xml:space="preserve">My ex-partner is not made for a serious relationship, My ex-partner has many qualities. </w:t>
      </w:r>
      <w:r w:rsidRPr="00D05EBD">
        <w:rPr>
          <w:sz w:val="24"/>
          <w:szCs w:val="24"/>
        </w:rPr>
        <w:t xml:space="preserve">Two more items were added to the scale in order to have a better understanding of how much participants liked their ex-partner: </w:t>
      </w:r>
      <w:r w:rsidRPr="00D05EBD">
        <w:rPr>
          <w:i/>
          <w:sz w:val="24"/>
          <w:szCs w:val="24"/>
        </w:rPr>
        <w:t xml:space="preserve">I dislike my ex-partner, My ex-partner means a lot to me. </w:t>
      </w:r>
      <w:r w:rsidRPr="00D05EBD">
        <w:rPr>
          <w:sz w:val="24"/>
          <w:szCs w:val="24"/>
        </w:rPr>
        <w:t>The total 20 items proved to have adequate internal reliability (</w:t>
      </w:r>
      <w:r w:rsidRPr="00D05EBD">
        <w:rPr>
          <w:i/>
          <w:sz w:val="24"/>
          <w:szCs w:val="24"/>
        </w:rPr>
        <w:t xml:space="preserve">α </w:t>
      </w:r>
      <w:r w:rsidRPr="00D05EBD">
        <w:rPr>
          <w:sz w:val="24"/>
          <w:szCs w:val="24"/>
        </w:rPr>
        <w:t>= .75).</w:t>
      </w:r>
    </w:p>
    <w:p w:rsidR="00FB1389" w:rsidRPr="00D05EBD" w:rsidRDefault="00FB1389" w:rsidP="00AE640B">
      <w:pPr>
        <w:spacing w:line="480" w:lineRule="auto"/>
        <w:jc w:val="both"/>
        <w:rPr>
          <w:i/>
          <w:sz w:val="24"/>
          <w:szCs w:val="24"/>
        </w:rPr>
      </w:pPr>
      <w:r w:rsidRPr="00D05EBD">
        <w:rPr>
          <w:sz w:val="24"/>
          <w:szCs w:val="24"/>
        </w:rPr>
        <w:tab/>
      </w:r>
      <w:r w:rsidRPr="00D05EBD">
        <w:rPr>
          <w:sz w:val="24"/>
          <w:szCs w:val="24"/>
        </w:rPr>
        <w:tab/>
      </w:r>
      <w:r w:rsidRPr="00D05EBD">
        <w:rPr>
          <w:sz w:val="24"/>
          <w:szCs w:val="24"/>
        </w:rPr>
        <w:tab/>
      </w:r>
      <w:r w:rsidR="00093982">
        <w:rPr>
          <w:i/>
          <w:sz w:val="24"/>
          <w:szCs w:val="24"/>
        </w:rPr>
        <w:t>3.3</w:t>
      </w:r>
      <w:r w:rsidRPr="00D05EBD">
        <w:rPr>
          <w:i/>
          <w:sz w:val="24"/>
          <w:szCs w:val="24"/>
        </w:rPr>
        <w:t>.3.1.4 Coding strategy</w:t>
      </w:r>
    </w:p>
    <w:p w:rsidR="00FB1389" w:rsidRDefault="00FB1389" w:rsidP="00AE640B">
      <w:pPr>
        <w:spacing w:line="480" w:lineRule="auto"/>
        <w:jc w:val="both"/>
        <w:rPr>
          <w:rFonts w:cs="Times New Roman"/>
          <w:sz w:val="24"/>
          <w:szCs w:val="24"/>
        </w:rPr>
      </w:pPr>
      <w:r w:rsidRPr="00D05EBD">
        <w:rPr>
          <w:sz w:val="24"/>
          <w:szCs w:val="24"/>
        </w:rPr>
        <w:tab/>
        <w:t xml:space="preserve">Participants script letters were first coded by the experimenter and secondly coded by an independent coder who was blind to the purpose of the experiment. The second coder was different from the second coder in Study 2a and from the second coder in Study 2b. As in the previous studies, Qualitative Content Analysis was used as the coding strategy. </w:t>
      </w:r>
      <w:r w:rsidRPr="00D05EBD">
        <w:rPr>
          <w:rFonts w:cs="Times New Roman"/>
          <w:sz w:val="24"/>
          <w:szCs w:val="24"/>
        </w:rPr>
        <w:t xml:space="preserve">The </w:t>
      </w:r>
      <w:proofErr w:type="spellStart"/>
      <w:r w:rsidRPr="00D05EBD">
        <w:rPr>
          <w:rFonts w:cs="Times New Roman"/>
          <w:sz w:val="24"/>
          <w:szCs w:val="24"/>
        </w:rPr>
        <w:t>intraclass</w:t>
      </w:r>
      <w:proofErr w:type="spellEnd"/>
      <w:r w:rsidRPr="00D05EBD">
        <w:rPr>
          <w:rFonts w:cs="Times New Roman"/>
          <w:sz w:val="24"/>
          <w:szCs w:val="24"/>
        </w:rPr>
        <w:t xml:space="preserve"> correlation coefficient (ICC) values ranged from strong to almost perfect, indicating that both coders classified the IER on the letters in a very similar way</w:t>
      </w:r>
      <w:r w:rsidRPr="00973AEB">
        <w:rPr>
          <w:rStyle w:val="Refdenotaalpie"/>
        </w:rPr>
        <w:footnoteReference w:id="26"/>
      </w:r>
      <w:r w:rsidRPr="00D05EBD">
        <w:rPr>
          <w:rFonts w:cs="Times New Roman"/>
          <w:sz w:val="24"/>
          <w:szCs w:val="24"/>
        </w:rPr>
        <w:t>. The I</w:t>
      </w:r>
      <w:r w:rsidR="00A5797A">
        <w:rPr>
          <w:rFonts w:cs="Times New Roman"/>
          <w:sz w:val="24"/>
          <w:szCs w:val="24"/>
        </w:rPr>
        <w:t>CC values can be seen in Table III.</w:t>
      </w:r>
      <w:r w:rsidRPr="00D05EBD">
        <w:rPr>
          <w:rFonts w:cs="Times New Roman"/>
          <w:sz w:val="24"/>
          <w:szCs w:val="24"/>
        </w:rPr>
        <w:t>7.</w:t>
      </w:r>
    </w:p>
    <w:p w:rsidR="004E09EE" w:rsidRDefault="004E09EE" w:rsidP="00AE640B">
      <w:pPr>
        <w:spacing w:line="480" w:lineRule="auto"/>
        <w:jc w:val="both"/>
        <w:rPr>
          <w:rFonts w:cs="Times New Roman"/>
          <w:sz w:val="24"/>
          <w:szCs w:val="24"/>
        </w:rPr>
      </w:pPr>
    </w:p>
    <w:p w:rsidR="004E09EE" w:rsidRDefault="004E09EE" w:rsidP="00AE640B">
      <w:pPr>
        <w:spacing w:line="480" w:lineRule="auto"/>
        <w:jc w:val="both"/>
        <w:rPr>
          <w:rFonts w:cs="Times New Roman"/>
          <w:sz w:val="24"/>
          <w:szCs w:val="24"/>
        </w:rPr>
      </w:pPr>
    </w:p>
    <w:p w:rsidR="004E09EE" w:rsidRPr="00D05EBD" w:rsidRDefault="004E09EE" w:rsidP="00AE640B">
      <w:pPr>
        <w:spacing w:line="480" w:lineRule="auto"/>
        <w:jc w:val="both"/>
        <w:rPr>
          <w:rFonts w:cs="Times New Roman"/>
          <w:sz w:val="24"/>
          <w:szCs w:val="24"/>
        </w:rPr>
      </w:pPr>
    </w:p>
    <w:tbl>
      <w:tblPr>
        <w:tblW w:w="5773" w:type="dxa"/>
        <w:tblCellMar>
          <w:left w:w="70" w:type="dxa"/>
          <w:right w:w="70" w:type="dxa"/>
        </w:tblCellMar>
        <w:tblLook w:val="04A0"/>
      </w:tblPr>
      <w:tblGrid>
        <w:gridCol w:w="2921"/>
        <w:gridCol w:w="925"/>
        <w:gridCol w:w="968"/>
        <w:gridCol w:w="959"/>
      </w:tblGrid>
      <w:tr w:rsidR="00FB1389" w:rsidRPr="00A5797A" w:rsidTr="00D05EBD">
        <w:trPr>
          <w:trHeight w:val="407"/>
        </w:trPr>
        <w:tc>
          <w:tcPr>
            <w:tcW w:w="0" w:type="auto"/>
            <w:gridSpan w:val="4"/>
            <w:tcBorders>
              <w:top w:val="nil"/>
              <w:left w:val="nil"/>
              <w:bottom w:val="single" w:sz="4" w:space="0" w:color="auto"/>
              <w:right w:val="nil"/>
            </w:tcBorders>
            <w:shd w:val="clear" w:color="auto" w:fill="auto"/>
            <w:vAlign w:val="bottom"/>
            <w:hideMark/>
          </w:tcPr>
          <w:p w:rsidR="00FB1389" w:rsidRPr="00A5797A" w:rsidRDefault="00A5797A" w:rsidP="00A5797A">
            <w:pPr>
              <w:spacing w:after="0" w:line="240" w:lineRule="auto"/>
              <w:jc w:val="both"/>
              <w:rPr>
                <w:rFonts w:eastAsia="Times New Roman" w:cs="Times New Roman"/>
                <w:color w:val="000000"/>
                <w:lang w:eastAsia="es-ES"/>
              </w:rPr>
            </w:pPr>
            <w:r>
              <w:rPr>
                <w:rFonts w:eastAsia="Times New Roman" w:cs="Times New Roman"/>
                <w:color w:val="000000"/>
                <w:lang w:eastAsia="es-ES"/>
              </w:rPr>
              <w:lastRenderedPageBreak/>
              <w:t>Table III</w:t>
            </w:r>
            <w:r w:rsidR="00FB1389" w:rsidRPr="00A5797A">
              <w:rPr>
                <w:rFonts w:eastAsia="Times New Roman" w:cs="Times New Roman"/>
                <w:color w:val="000000"/>
                <w:lang w:eastAsia="es-ES"/>
              </w:rPr>
              <w:t>.7 ICC values</w:t>
            </w:r>
          </w:p>
        </w:tc>
      </w:tr>
      <w:tr w:rsidR="00FB1389" w:rsidRPr="00A5797A" w:rsidTr="00D05EBD">
        <w:trPr>
          <w:trHeight w:val="360"/>
        </w:trPr>
        <w:tc>
          <w:tcPr>
            <w:tcW w:w="0" w:type="auto"/>
            <w:tcBorders>
              <w:top w:val="nil"/>
              <w:left w:val="nil"/>
              <w:bottom w:val="single" w:sz="4" w:space="0" w:color="auto"/>
              <w:right w:val="nil"/>
            </w:tcBorders>
            <w:shd w:val="clear" w:color="auto" w:fill="auto"/>
            <w:noWrap/>
            <w:vAlign w:val="bottom"/>
            <w:hideMark/>
          </w:tcPr>
          <w:p w:rsidR="00FB1389" w:rsidRPr="00A5797A" w:rsidRDefault="00FB1389" w:rsidP="00A5797A">
            <w:pPr>
              <w:spacing w:after="0" w:line="240" w:lineRule="auto"/>
              <w:jc w:val="both"/>
              <w:rPr>
                <w:rFonts w:eastAsia="Times New Roman" w:cs="Times New Roman"/>
                <w:color w:val="000000"/>
                <w:lang w:eastAsia="es-ES"/>
              </w:rPr>
            </w:pPr>
            <w:r w:rsidRPr="00A5797A">
              <w:rPr>
                <w:rFonts w:eastAsia="Times New Roman" w:cs="Times New Roman"/>
                <w:color w:val="000000"/>
                <w:lang w:eastAsia="es-ES"/>
              </w:rPr>
              <w:t> </w:t>
            </w:r>
          </w:p>
        </w:tc>
        <w:tc>
          <w:tcPr>
            <w:tcW w:w="0" w:type="auto"/>
            <w:tcBorders>
              <w:top w:val="nil"/>
              <w:left w:val="nil"/>
              <w:bottom w:val="single" w:sz="4" w:space="0" w:color="auto"/>
              <w:right w:val="nil"/>
            </w:tcBorders>
            <w:shd w:val="clear" w:color="auto" w:fill="auto"/>
            <w:vAlign w:val="center"/>
            <w:hideMark/>
          </w:tcPr>
          <w:p w:rsidR="00FB1389" w:rsidRPr="00A5797A" w:rsidRDefault="00FB1389" w:rsidP="00A5797A">
            <w:pPr>
              <w:spacing w:after="0" w:line="240" w:lineRule="auto"/>
              <w:jc w:val="both"/>
              <w:rPr>
                <w:rFonts w:eastAsia="Times New Roman" w:cs="Times New Roman"/>
                <w:color w:val="000000"/>
                <w:lang w:eastAsia="es-ES"/>
              </w:rPr>
            </w:pPr>
            <w:r w:rsidRPr="00A5797A">
              <w:rPr>
                <w:rFonts w:eastAsia="Times New Roman" w:cs="Times New Roman"/>
                <w:color w:val="000000"/>
                <w:lang w:eastAsia="es-ES"/>
              </w:rPr>
              <w:t>URPE</w:t>
            </w:r>
          </w:p>
        </w:tc>
        <w:tc>
          <w:tcPr>
            <w:tcW w:w="0" w:type="auto"/>
            <w:tcBorders>
              <w:top w:val="nil"/>
              <w:left w:val="nil"/>
              <w:bottom w:val="single" w:sz="4" w:space="0" w:color="auto"/>
              <w:right w:val="nil"/>
            </w:tcBorders>
            <w:shd w:val="clear" w:color="auto" w:fill="auto"/>
            <w:vAlign w:val="center"/>
            <w:hideMark/>
          </w:tcPr>
          <w:p w:rsidR="00FB1389" w:rsidRPr="00A5797A" w:rsidRDefault="00FB1389" w:rsidP="00A5797A">
            <w:pPr>
              <w:spacing w:after="0" w:line="240" w:lineRule="auto"/>
              <w:jc w:val="both"/>
              <w:rPr>
                <w:rFonts w:eastAsia="Times New Roman" w:cs="Times New Roman"/>
                <w:color w:val="000000"/>
                <w:lang w:eastAsia="es-ES"/>
              </w:rPr>
            </w:pPr>
            <w:r w:rsidRPr="00A5797A">
              <w:rPr>
                <w:rFonts w:eastAsia="Times New Roman" w:cs="Times New Roman"/>
                <w:color w:val="000000"/>
                <w:lang w:eastAsia="es-ES"/>
              </w:rPr>
              <w:t>URNE</w:t>
            </w:r>
          </w:p>
        </w:tc>
        <w:tc>
          <w:tcPr>
            <w:tcW w:w="0" w:type="auto"/>
            <w:tcBorders>
              <w:top w:val="nil"/>
              <w:left w:val="nil"/>
              <w:bottom w:val="single" w:sz="4" w:space="0" w:color="auto"/>
              <w:right w:val="nil"/>
            </w:tcBorders>
            <w:shd w:val="clear" w:color="auto" w:fill="auto"/>
            <w:vAlign w:val="center"/>
            <w:hideMark/>
          </w:tcPr>
          <w:p w:rsidR="00FB1389" w:rsidRPr="00A5797A" w:rsidRDefault="00FB1389" w:rsidP="00A5797A">
            <w:pPr>
              <w:spacing w:after="0" w:line="240" w:lineRule="auto"/>
              <w:jc w:val="both"/>
              <w:rPr>
                <w:rFonts w:eastAsia="Times New Roman" w:cs="Times New Roman"/>
                <w:color w:val="000000"/>
                <w:lang w:eastAsia="es-ES"/>
              </w:rPr>
            </w:pPr>
            <w:r w:rsidRPr="00A5797A">
              <w:rPr>
                <w:rFonts w:eastAsia="Times New Roman" w:cs="Times New Roman"/>
                <w:color w:val="000000"/>
                <w:lang w:eastAsia="es-ES"/>
              </w:rPr>
              <w:t>DRNE</w:t>
            </w:r>
          </w:p>
        </w:tc>
      </w:tr>
      <w:tr w:rsidR="00FB1389" w:rsidRPr="00A5797A" w:rsidTr="00D05EBD">
        <w:trPr>
          <w:trHeight w:val="626"/>
        </w:trPr>
        <w:tc>
          <w:tcPr>
            <w:tcW w:w="0" w:type="auto"/>
            <w:tcBorders>
              <w:top w:val="nil"/>
              <w:left w:val="nil"/>
              <w:bottom w:val="nil"/>
              <w:right w:val="nil"/>
            </w:tcBorders>
            <w:shd w:val="clear" w:color="auto" w:fill="auto"/>
            <w:vAlign w:val="center"/>
            <w:hideMark/>
          </w:tcPr>
          <w:p w:rsidR="00FB1389" w:rsidRPr="00A5797A" w:rsidRDefault="00FB1389" w:rsidP="00A5797A">
            <w:pPr>
              <w:spacing w:after="0" w:line="240" w:lineRule="auto"/>
              <w:jc w:val="both"/>
              <w:rPr>
                <w:rFonts w:eastAsia="Times New Roman" w:cs="Times New Roman"/>
                <w:color w:val="000000"/>
                <w:lang w:eastAsia="es-ES"/>
              </w:rPr>
            </w:pPr>
            <w:r w:rsidRPr="00A5797A">
              <w:rPr>
                <w:rFonts w:eastAsia="Times New Roman" w:cs="Times New Roman"/>
                <w:color w:val="000000"/>
                <w:lang w:eastAsia="es-ES"/>
              </w:rPr>
              <w:t>Absolute agreement</w:t>
            </w:r>
          </w:p>
        </w:tc>
        <w:tc>
          <w:tcPr>
            <w:tcW w:w="0" w:type="auto"/>
            <w:tcBorders>
              <w:top w:val="nil"/>
              <w:left w:val="nil"/>
              <w:bottom w:val="nil"/>
              <w:right w:val="nil"/>
            </w:tcBorders>
            <w:shd w:val="clear" w:color="auto" w:fill="auto"/>
            <w:noWrap/>
            <w:vAlign w:val="center"/>
            <w:hideMark/>
          </w:tcPr>
          <w:p w:rsidR="00FB1389" w:rsidRPr="00A5797A" w:rsidRDefault="00FB1389" w:rsidP="00A5797A">
            <w:pPr>
              <w:spacing w:after="0" w:line="240" w:lineRule="auto"/>
              <w:jc w:val="both"/>
              <w:rPr>
                <w:rFonts w:eastAsia="Times New Roman" w:cs="Times New Roman"/>
                <w:color w:val="000000"/>
                <w:lang w:eastAsia="es-ES"/>
              </w:rPr>
            </w:pPr>
            <w:r w:rsidRPr="00A5797A">
              <w:rPr>
                <w:rFonts w:eastAsia="Times New Roman" w:cs="Times New Roman"/>
                <w:color w:val="000000"/>
                <w:lang w:eastAsia="es-ES"/>
              </w:rPr>
              <w:t>0.91</w:t>
            </w:r>
          </w:p>
        </w:tc>
        <w:tc>
          <w:tcPr>
            <w:tcW w:w="0" w:type="auto"/>
            <w:tcBorders>
              <w:top w:val="nil"/>
              <w:left w:val="nil"/>
              <w:bottom w:val="nil"/>
              <w:right w:val="nil"/>
            </w:tcBorders>
            <w:shd w:val="clear" w:color="auto" w:fill="auto"/>
            <w:noWrap/>
            <w:vAlign w:val="center"/>
            <w:hideMark/>
          </w:tcPr>
          <w:p w:rsidR="00FB1389" w:rsidRPr="00A5797A" w:rsidRDefault="00FB1389" w:rsidP="00A5797A">
            <w:pPr>
              <w:spacing w:after="0" w:line="240" w:lineRule="auto"/>
              <w:jc w:val="both"/>
              <w:rPr>
                <w:rFonts w:eastAsia="Times New Roman" w:cs="Times New Roman"/>
                <w:color w:val="000000"/>
                <w:lang w:eastAsia="es-ES"/>
              </w:rPr>
            </w:pPr>
            <w:r w:rsidRPr="00A5797A">
              <w:rPr>
                <w:rFonts w:eastAsia="Times New Roman" w:cs="Times New Roman"/>
                <w:color w:val="000000"/>
                <w:lang w:eastAsia="es-ES"/>
              </w:rPr>
              <w:t>0.95</w:t>
            </w:r>
          </w:p>
        </w:tc>
        <w:tc>
          <w:tcPr>
            <w:tcW w:w="0" w:type="auto"/>
            <w:tcBorders>
              <w:top w:val="nil"/>
              <w:left w:val="nil"/>
              <w:bottom w:val="nil"/>
              <w:right w:val="nil"/>
            </w:tcBorders>
            <w:shd w:val="clear" w:color="auto" w:fill="auto"/>
            <w:noWrap/>
            <w:vAlign w:val="center"/>
            <w:hideMark/>
          </w:tcPr>
          <w:p w:rsidR="00FB1389" w:rsidRPr="00A5797A" w:rsidRDefault="00FB1389" w:rsidP="00A5797A">
            <w:pPr>
              <w:spacing w:after="0" w:line="240" w:lineRule="auto"/>
              <w:jc w:val="both"/>
              <w:rPr>
                <w:rFonts w:eastAsia="Times New Roman" w:cs="Times New Roman"/>
                <w:color w:val="000000"/>
                <w:lang w:eastAsia="es-ES"/>
              </w:rPr>
            </w:pPr>
            <w:r w:rsidRPr="00A5797A">
              <w:rPr>
                <w:rFonts w:eastAsia="Times New Roman" w:cs="Times New Roman"/>
                <w:color w:val="000000"/>
                <w:lang w:eastAsia="es-ES"/>
              </w:rPr>
              <w:t>0.95</w:t>
            </w:r>
          </w:p>
        </w:tc>
      </w:tr>
      <w:tr w:rsidR="00FB1389" w:rsidRPr="00A5797A" w:rsidTr="00D05EBD">
        <w:trPr>
          <w:trHeight w:val="642"/>
        </w:trPr>
        <w:tc>
          <w:tcPr>
            <w:tcW w:w="0" w:type="auto"/>
            <w:tcBorders>
              <w:top w:val="nil"/>
              <w:left w:val="nil"/>
              <w:bottom w:val="double" w:sz="6" w:space="0" w:color="auto"/>
              <w:right w:val="nil"/>
            </w:tcBorders>
            <w:shd w:val="clear" w:color="auto" w:fill="auto"/>
            <w:vAlign w:val="center"/>
            <w:hideMark/>
          </w:tcPr>
          <w:p w:rsidR="00FB1389" w:rsidRPr="00A5797A" w:rsidRDefault="00FB1389" w:rsidP="00A5797A">
            <w:pPr>
              <w:spacing w:after="0" w:line="240" w:lineRule="auto"/>
              <w:jc w:val="both"/>
              <w:rPr>
                <w:rFonts w:eastAsia="Times New Roman" w:cs="Times New Roman"/>
                <w:color w:val="000000"/>
                <w:lang w:eastAsia="es-ES"/>
              </w:rPr>
            </w:pPr>
            <w:r w:rsidRPr="00A5797A">
              <w:rPr>
                <w:rFonts w:eastAsia="Times New Roman" w:cs="Times New Roman"/>
                <w:color w:val="000000"/>
                <w:lang w:eastAsia="es-ES"/>
              </w:rPr>
              <w:t>Consistency (alpha)</w:t>
            </w:r>
          </w:p>
        </w:tc>
        <w:tc>
          <w:tcPr>
            <w:tcW w:w="0" w:type="auto"/>
            <w:tcBorders>
              <w:top w:val="nil"/>
              <w:left w:val="nil"/>
              <w:bottom w:val="double" w:sz="6" w:space="0" w:color="auto"/>
              <w:right w:val="nil"/>
            </w:tcBorders>
            <w:shd w:val="clear" w:color="auto" w:fill="auto"/>
            <w:noWrap/>
            <w:vAlign w:val="center"/>
            <w:hideMark/>
          </w:tcPr>
          <w:p w:rsidR="00FB1389" w:rsidRPr="00A5797A" w:rsidRDefault="00FB1389" w:rsidP="00A5797A">
            <w:pPr>
              <w:spacing w:after="0" w:line="240" w:lineRule="auto"/>
              <w:jc w:val="both"/>
              <w:rPr>
                <w:rFonts w:eastAsia="Times New Roman" w:cs="Times New Roman"/>
                <w:color w:val="000000"/>
                <w:lang w:eastAsia="es-ES"/>
              </w:rPr>
            </w:pPr>
            <w:r w:rsidRPr="00A5797A">
              <w:rPr>
                <w:rFonts w:eastAsia="Times New Roman" w:cs="Times New Roman"/>
                <w:color w:val="000000"/>
                <w:lang w:eastAsia="es-ES"/>
              </w:rPr>
              <w:t>0.93</w:t>
            </w:r>
          </w:p>
        </w:tc>
        <w:tc>
          <w:tcPr>
            <w:tcW w:w="0" w:type="auto"/>
            <w:tcBorders>
              <w:top w:val="nil"/>
              <w:left w:val="nil"/>
              <w:bottom w:val="double" w:sz="6" w:space="0" w:color="auto"/>
              <w:right w:val="nil"/>
            </w:tcBorders>
            <w:shd w:val="clear" w:color="auto" w:fill="auto"/>
            <w:noWrap/>
            <w:vAlign w:val="center"/>
            <w:hideMark/>
          </w:tcPr>
          <w:p w:rsidR="00FB1389" w:rsidRPr="00A5797A" w:rsidRDefault="00FB1389" w:rsidP="00A5797A">
            <w:pPr>
              <w:spacing w:after="0" w:line="240" w:lineRule="auto"/>
              <w:jc w:val="both"/>
              <w:rPr>
                <w:rFonts w:eastAsia="Times New Roman" w:cs="Times New Roman"/>
                <w:color w:val="000000"/>
                <w:lang w:eastAsia="es-ES"/>
              </w:rPr>
            </w:pPr>
            <w:r w:rsidRPr="00A5797A">
              <w:rPr>
                <w:rFonts w:eastAsia="Times New Roman" w:cs="Times New Roman"/>
                <w:color w:val="000000"/>
                <w:lang w:eastAsia="es-ES"/>
              </w:rPr>
              <w:t>0.96</w:t>
            </w:r>
          </w:p>
        </w:tc>
        <w:tc>
          <w:tcPr>
            <w:tcW w:w="0" w:type="auto"/>
            <w:tcBorders>
              <w:top w:val="nil"/>
              <w:left w:val="nil"/>
              <w:bottom w:val="double" w:sz="6" w:space="0" w:color="auto"/>
              <w:right w:val="nil"/>
            </w:tcBorders>
            <w:shd w:val="clear" w:color="auto" w:fill="auto"/>
            <w:noWrap/>
            <w:vAlign w:val="center"/>
            <w:hideMark/>
          </w:tcPr>
          <w:p w:rsidR="00FB1389" w:rsidRPr="00A5797A" w:rsidRDefault="00FB1389" w:rsidP="00A5797A">
            <w:pPr>
              <w:spacing w:after="0" w:line="240" w:lineRule="auto"/>
              <w:jc w:val="both"/>
              <w:rPr>
                <w:rFonts w:eastAsia="Times New Roman" w:cs="Times New Roman"/>
                <w:color w:val="000000"/>
                <w:lang w:eastAsia="es-ES"/>
              </w:rPr>
            </w:pPr>
            <w:r w:rsidRPr="00A5797A">
              <w:rPr>
                <w:rFonts w:eastAsia="Times New Roman" w:cs="Times New Roman"/>
                <w:color w:val="000000"/>
                <w:lang w:eastAsia="es-ES"/>
              </w:rPr>
              <w:t>0.95</w:t>
            </w:r>
          </w:p>
        </w:tc>
      </w:tr>
    </w:tbl>
    <w:p w:rsidR="00FB1389" w:rsidRPr="00D05EBD" w:rsidRDefault="00FB1389" w:rsidP="00AE640B">
      <w:pPr>
        <w:spacing w:line="480" w:lineRule="auto"/>
        <w:jc w:val="both"/>
        <w:rPr>
          <w:sz w:val="24"/>
          <w:szCs w:val="24"/>
        </w:rPr>
      </w:pPr>
    </w:p>
    <w:p w:rsidR="00FB1389" w:rsidRPr="00D05EBD" w:rsidRDefault="00FB1389" w:rsidP="00AE640B">
      <w:pPr>
        <w:spacing w:line="480" w:lineRule="auto"/>
        <w:jc w:val="both"/>
        <w:rPr>
          <w:b/>
          <w:sz w:val="24"/>
          <w:szCs w:val="24"/>
        </w:rPr>
      </w:pPr>
      <w:r w:rsidRPr="00D05EBD">
        <w:rPr>
          <w:sz w:val="24"/>
          <w:szCs w:val="24"/>
        </w:rPr>
        <w:tab/>
      </w:r>
      <w:r w:rsidRPr="00D05EBD">
        <w:rPr>
          <w:sz w:val="24"/>
          <w:szCs w:val="24"/>
        </w:rPr>
        <w:tab/>
      </w:r>
      <w:r w:rsidR="00093982">
        <w:rPr>
          <w:b/>
          <w:sz w:val="24"/>
          <w:szCs w:val="24"/>
        </w:rPr>
        <w:t>3.3</w:t>
      </w:r>
      <w:r w:rsidRPr="00D05EBD">
        <w:rPr>
          <w:b/>
          <w:sz w:val="24"/>
          <w:szCs w:val="24"/>
        </w:rPr>
        <w:t>.3.2 Results</w:t>
      </w:r>
    </w:p>
    <w:p w:rsidR="00FB1389" w:rsidRDefault="00FB1389" w:rsidP="00AE640B">
      <w:pPr>
        <w:spacing w:line="480" w:lineRule="auto"/>
        <w:ind w:firstLine="720"/>
        <w:jc w:val="both"/>
        <w:rPr>
          <w:rFonts w:eastAsia="Times New Roman" w:cs="Times New Roman"/>
          <w:sz w:val="24"/>
          <w:szCs w:val="24"/>
        </w:rPr>
      </w:pPr>
      <w:r w:rsidRPr="00D05EBD">
        <w:rPr>
          <w:rFonts w:eastAsia="Times New Roman" w:cs="Times New Roman"/>
          <w:sz w:val="24"/>
          <w:szCs w:val="24"/>
        </w:rPr>
        <w:t>In accordance with mixed-</w:t>
      </w:r>
      <w:r w:rsidR="00367A7E" w:rsidRPr="00D05EBD">
        <w:rPr>
          <w:rFonts w:eastAsia="Times New Roman" w:cs="Times New Roman"/>
          <w:sz w:val="24"/>
          <w:szCs w:val="24"/>
        </w:rPr>
        <w:t>design</w:t>
      </w:r>
      <w:r w:rsidRPr="00D05EBD">
        <w:rPr>
          <w:rFonts w:eastAsia="Times New Roman" w:cs="Times New Roman"/>
          <w:sz w:val="24"/>
          <w:szCs w:val="24"/>
        </w:rPr>
        <w:t xml:space="preserve"> ANOVA assumptions, the three DVs (URPE, URNE, and DRNE) were checked for outliers and normal distribution prior to analyses. </w:t>
      </w:r>
      <w:r w:rsidR="00367A7E">
        <w:rPr>
          <w:rFonts w:eastAsia="Times New Roman" w:cs="Times New Roman"/>
          <w:sz w:val="24"/>
          <w:szCs w:val="24"/>
        </w:rPr>
        <w:t>As in studies 2a and 2b, to correct for non</w:t>
      </w:r>
      <w:r w:rsidRPr="00D05EBD">
        <w:rPr>
          <w:rFonts w:eastAsia="Times New Roman" w:cs="Times New Roman"/>
          <w:sz w:val="24"/>
          <w:szCs w:val="24"/>
        </w:rPr>
        <w:t>-normality, squared root transformations were obtained for all DVs</w:t>
      </w:r>
      <w:r w:rsidR="00367A7E">
        <w:rPr>
          <w:rFonts w:eastAsia="Times New Roman" w:cs="Times New Roman"/>
          <w:sz w:val="24"/>
          <w:szCs w:val="24"/>
        </w:rPr>
        <w:t xml:space="preserve"> and outliers were treated in the same way as in studies 2a and 2b</w:t>
      </w:r>
      <w:r w:rsidRPr="00D05EBD">
        <w:rPr>
          <w:rFonts w:eastAsia="Times New Roman" w:cs="Times New Roman"/>
          <w:sz w:val="24"/>
          <w:szCs w:val="24"/>
        </w:rPr>
        <w:t xml:space="preserve">. </w:t>
      </w:r>
    </w:p>
    <w:p w:rsidR="008627D4" w:rsidRPr="00787F32" w:rsidRDefault="008627D4" w:rsidP="00787F32">
      <w:pPr>
        <w:spacing w:line="480" w:lineRule="auto"/>
        <w:ind w:firstLine="720"/>
        <w:jc w:val="both"/>
        <w:rPr>
          <w:rFonts w:cs="Times New Roman"/>
          <w:sz w:val="24"/>
          <w:szCs w:val="24"/>
        </w:rPr>
      </w:pPr>
      <w:r>
        <w:rPr>
          <w:rFonts w:cs="Times New Roman"/>
          <w:sz w:val="24"/>
          <w:szCs w:val="24"/>
        </w:rPr>
        <w:t>As in Studies 2a and 2b, t</w:t>
      </w:r>
      <w:r w:rsidRPr="00D05EBD">
        <w:rPr>
          <w:rFonts w:cs="Times New Roman"/>
          <w:sz w:val="24"/>
          <w:szCs w:val="24"/>
        </w:rPr>
        <w:t>o check that the frequencies of IER strategies were not affected by how much participants wrote in each condition an independent-samples t-test was conducted. There was no significant difference in the scores for length of the script of participants in the priming condition (</w:t>
      </w:r>
      <w:r w:rsidRPr="00D05EBD">
        <w:rPr>
          <w:rFonts w:cs="Times New Roman"/>
          <w:i/>
          <w:sz w:val="24"/>
          <w:szCs w:val="24"/>
        </w:rPr>
        <w:t>M</w:t>
      </w:r>
      <w:r w:rsidRPr="00D05EBD">
        <w:rPr>
          <w:rFonts w:cs="Times New Roman"/>
          <w:sz w:val="24"/>
          <w:szCs w:val="24"/>
        </w:rPr>
        <w:t xml:space="preserve"> = </w:t>
      </w:r>
      <w:r w:rsidR="00154FFD">
        <w:rPr>
          <w:rFonts w:cs="Times New Roman"/>
          <w:sz w:val="24"/>
          <w:szCs w:val="24"/>
        </w:rPr>
        <w:t>144.39</w:t>
      </w:r>
      <w:r w:rsidRPr="00D05EBD">
        <w:rPr>
          <w:rFonts w:cs="Times New Roman"/>
          <w:sz w:val="24"/>
          <w:szCs w:val="24"/>
        </w:rPr>
        <w:t xml:space="preserve">, </w:t>
      </w:r>
      <w:r w:rsidRPr="00D05EBD">
        <w:rPr>
          <w:rFonts w:cs="Times New Roman"/>
          <w:i/>
          <w:sz w:val="24"/>
          <w:szCs w:val="24"/>
        </w:rPr>
        <w:t xml:space="preserve">SD </w:t>
      </w:r>
      <w:r w:rsidRPr="00D05EBD">
        <w:rPr>
          <w:rFonts w:cs="Times New Roman"/>
          <w:sz w:val="24"/>
          <w:szCs w:val="24"/>
        </w:rPr>
        <w:t xml:space="preserve">= </w:t>
      </w:r>
      <w:r w:rsidR="00154FFD">
        <w:rPr>
          <w:rFonts w:cs="Times New Roman"/>
          <w:sz w:val="24"/>
          <w:szCs w:val="24"/>
        </w:rPr>
        <w:t>34.93</w:t>
      </w:r>
      <w:r w:rsidRPr="00D05EBD">
        <w:rPr>
          <w:rFonts w:cs="Times New Roman"/>
          <w:sz w:val="24"/>
          <w:szCs w:val="24"/>
        </w:rPr>
        <w:t xml:space="preserve">) and of participants in the control condition </w:t>
      </w:r>
      <w:r w:rsidRPr="00D05EBD">
        <w:rPr>
          <w:rFonts w:cs="Times New Roman"/>
          <w:i/>
          <w:sz w:val="24"/>
          <w:szCs w:val="24"/>
        </w:rPr>
        <w:t xml:space="preserve">(M </w:t>
      </w:r>
      <w:r w:rsidRPr="00D05EBD">
        <w:rPr>
          <w:rFonts w:cs="Times New Roman"/>
          <w:sz w:val="24"/>
          <w:szCs w:val="24"/>
        </w:rPr>
        <w:t xml:space="preserve">= </w:t>
      </w:r>
      <w:r w:rsidR="00154FFD">
        <w:rPr>
          <w:rFonts w:cs="Times New Roman"/>
          <w:sz w:val="24"/>
          <w:szCs w:val="24"/>
        </w:rPr>
        <w:t>150</w:t>
      </w:r>
      <w:r w:rsidRPr="00D05EBD">
        <w:rPr>
          <w:rFonts w:cs="Times New Roman"/>
          <w:sz w:val="24"/>
          <w:szCs w:val="24"/>
        </w:rPr>
        <w:t xml:space="preserve">, </w:t>
      </w:r>
      <w:r w:rsidRPr="00D05EBD">
        <w:rPr>
          <w:rFonts w:cs="Times New Roman"/>
          <w:i/>
          <w:sz w:val="24"/>
          <w:szCs w:val="24"/>
        </w:rPr>
        <w:t xml:space="preserve">SD </w:t>
      </w:r>
      <w:r w:rsidRPr="00D05EBD">
        <w:rPr>
          <w:rFonts w:cs="Times New Roman"/>
          <w:sz w:val="24"/>
          <w:szCs w:val="24"/>
        </w:rPr>
        <w:t xml:space="preserve">= </w:t>
      </w:r>
      <w:r w:rsidR="00154FFD">
        <w:rPr>
          <w:rFonts w:cs="Times New Roman"/>
          <w:sz w:val="24"/>
          <w:szCs w:val="24"/>
        </w:rPr>
        <w:t>36.18</w:t>
      </w:r>
      <w:r w:rsidRPr="00D05EBD">
        <w:rPr>
          <w:rFonts w:cs="Times New Roman"/>
          <w:sz w:val="24"/>
          <w:szCs w:val="24"/>
        </w:rPr>
        <w:t xml:space="preserve">); </w:t>
      </w:r>
      <w:r w:rsidRPr="00D05EBD">
        <w:rPr>
          <w:rFonts w:cs="Times New Roman"/>
          <w:i/>
          <w:sz w:val="24"/>
          <w:szCs w:val="24"/>
        </w:rPr>
        <w:t>t</w:t>
      </w:r>
      <w:r w:rsidRPr="00D05EBD">
        <w:rPr>
          <w:rFonts w:cs="Times New Roman"/>
          <w:sz w:val="24"/>
          <w:szCs w:val="24"/>
        </w:rPr>
        <w:t>(</w:t>
      </w:r>
      <w:r w:rsidR="00154FFD">
        <w:rPr>
          <w:rFonts w:cs="Times New Roman"/>
          <w:sz w:val="24"/>
          <w:szCs w:val="24"/>
        </w:rPr>
        <w:t>61</w:t>
      </w:r>
      <w:r w:rsidRPr="00D05EBD">
        <w:rPr>
          <w:rFonts w:cs="Times New Roman"/>
          <w:sz w:val="24"/>
          <w:szCs w:val="24"/>
        </w:rPr>
        <w:t>) = 0</w:t>
      </w:r>
      <w:r w:rsidR="00154FFD">
        <w:rPr>
          <w:rFonts w:cs="Times New Roman"/>
          <w:sz w:val="24"/>
          <w:szCs w:val="24"/>
        </w:rPr>
        <w:t>.62</w:t>
      </w:r>
      <w:r w:rsidRPr="00D05EBD">
        <w:rPr>
          <w:rFonts w:cs="Times New Roman"/>
          <w:sz w:val="24"/>
          <w:szCs w:val="24"/>
        </w:rPr>
        <w:t xml:space="preserve"> , </w:t>
      </w:r>
      <w:r w:rsidRPr="00D05EBD">
        <w:rPr>
          <w:rFonts w:cs="Times New Roman"/>
          <w:i/>
          <w:sz w:val="24"/>
          <w:szCs w:val="24"/>
        </w:rPr>
        <w:t xml:space="preserve">p </w:t>
      </w:r>
      <w:r w:rsidRPr="00D05EBD">
        <w:rPr>
          <w:rFonts w:cs="Times New Roman"/>
          <w:sz w:val="24"/>
          <w:szCs w:val="24"/>
        </w:rPr>
        <w:t>= .</w:t>
      </w:r>
      <w:r w:rsidR="00154FFD">
        <w:rPr>
          <w:rFonts w:cs="Times New Roman"/>
          <w:sz w:val="24"/>
          <w:szCs w:val="24"/>
        </w:rPr>
        <w:t>53</w:t>
      </w:r>
      <w:r w:rsidRPr="00D05EBD">
        <w:rPr>
          <w:rFonts w:cs="Times New Roman"/>
          <w:sz w:val="24"/>
          <w:szCs w:val="24"/>
        </w:rPr>
        <w:t>.</w:t>
      </w:r>
      <w:r w:rsidRPr="00D05EBD">
        <w:rPr>
          <w:rFonts w:cs="Times New Roman"/>
          <w:i/>
          <w:sz w:val="24"/>
          <w:szCs w:val="24"/>
        </w:rPr>
        <w:t xml:space="preserve"> </w:t>
      </w:r>
      <w:r w:rsidR="00C238CF">
        <w:rPr>
          <w:rFonts w:cs="Times New Roman"/>
          <w:sz w:val="24"/>
          <w:szCs w:val="24"/>
        </w:rPr>
        <w:t>These results suggest</w:t>
      </w:r>
      <w:r w:rsidRPr="00D05EBD">
        <w:rPr>
          <w:rFonts w:cs="Times New Roman"/>
          <w:sz w:val="24"/>
          <w:szCs w:val="24"/>
        </w:rPr>
        <w:t xml:space="preserve"> that the frequencies of IER strategies were not affected by the length of the participant script.</w:t>
      </w:r>
    </w:p>
    <w:p w:rsidR="00FB1389" w:rsidRPr="00D05EBD" w:rsidRDefault="00FB1389" w:rsidP="00AE640B">
      <w:pPr>
        <w:autoSpaceDE w:val="0"/>
        <w:autoSpaceDN w:val="0"/>
        <w:adjustRightInd w:val="0"/>
        <w:spacing w:after="0" w:line="480" w:lineRule="auto"/>
        <w:ind w:firstLine="720"/>
        <w:jc w:val="both"/>
        <w:rPr>
          <w:rFonts w:cs="Times New Roman"/>
          <w:sz w:val="24"/>
          <w:szCs w:val="24"/>
        </w:rPr>
      </w:pPr>
      <w:r w:rsidRPr="00D05EBD">
        <w:rPr>
          <w:rFonts w:cs="Times New Roman"/>
          <w:sz w:val="24"/>
          <w:szCs w:val="24"/>
        </w:rPr>
        <w:t>To test the first prediction, IER responses (URNE, URPE, and DRNE) were subjected to a 2-</w:t>
      </w:r>
      <w:r w:rsidR="00C63C27">
        <w:rPr>
          <w:rFonts w:cs="Times New Roman"/>
          <w:sz w:val="24"/>
          <w:szCs w:val="24"/>
        </w:rPr>
        <w:t>between subjects</w:t>
      </w:r>
      <w:r w:rsidRPr="00D05EBD">
        <w:rPr>
          <w:rFonts w:cs="Times New Roman"/>
          <w:sz w:val="24"/>
          <w:szCs w:val="24"/>
        </w:rPr>
        <w:t>, SST (control,</w:t>
      </w:r>
      <w:r w:rsidR="00C63C27">
        <w:rPr>
          <w:rFonts w:cs="Times New Roman"/>
          <w:sz w:val="24"/>
          <w:szCs w:val="24"/>
        </w:rPr>
        <w:t xml:space="preserve"> experimental) and goal (with IER-</w:t>
      </w:r>
      <w:r w:rsidRPr="00D05EBD">
        <w:rPr>
          <w:rFonts w:cs="Times New Roman"/>
          <w:sz w:val="24"/>
          <w:szCs w:val="24"/>
        </w:rPr>
        <w:t xml:space="preserve">goal, without </w:t>
      </w:r>
      <w:r w:rsidR="00C63C27">
        <w:rPr>
          <w:rFonts w:cs="Times New Roman"/>
          <w:sz w:val="24"/>
          <w:szCs w:val="24"/>
        </w:rPr>
        <w:t>IER-</w:t>
      </w:r>
      <w:r w:rsidRPr="00D05EBD">
        <w:rPr>
          <w:rFonts w:cs="Times New Roman"/>
          <w:sz w:val="24"/>
          <w:szCs w:val="24"/>
        </w:rPr>
        <w:t xml:space="preserve">goal) mix-design ANOVA with URNE, URPE and DRNE frequencies as the dependent variables and social desirability as a covariate in a first analysis, and liking or disliking of the ex-partner as a covariate in a second analysis. </w:t>
      </w:r>
    </w:p>
    <w:p w:rsidR="00A5797A" w:rsidRPr="00A5797A" w:rsidRDefault="00FB1389" w:rsidP="00C06FB0">
      <w:pPr>
        <w:autoSpaceDE w:val="0"/>
        <w:autoSpaceDN w:val="0"/>
        <w:adjustRightInd w:val="0"/>
        <w:spacing w:after="0" w:line="480" w:lineRule="auto"/>
        <w:ind w:firstLine="720"/>
        <w:jc w:val="both"/>
        <w:rPr>
          <w:rFonts w:cs="Times New Roman"/>
          <w:sz w:val="24"/>
          <w:szCs w:val="24"/>
        </w:rPr>
      </w:pPr>
      <w:proofErr w:type="spellStart"/>
      <w:r w:rsidRPr="00D05EBD">
        <w:rPr>
          <w:rFonts w:eastAsia="Wingdings-Regular" w:cs="ClassicalGaramondBT-Roman"/>
          <w:color w:val="000000"/>
          <w:sz w:val="24"/>
          <w:szCs w:val="24"/>
        </w:rPr>
        <w:lastRenderedPageBreak/>
        <w:t>Mauchly’s</w:t>
      </w:r>
      <w:proofErr w:type="spellEnd"/>
      <w:r w:rsidRPr="00D05EBD">
        <w:rPr>
          <w:rFonts w:eastAsia="Wingdings-Regular" w:cs="ClassicalGaramondBT-Roman"/>
          <w:color w:val="000000"/>
          <w:sz w:val="24"/>
          <w:szCs w:val="24"/>
        </w:rPr>
        <w:t xml:space="preserve"> test indicated that the assumption of </w:t>
      </w:r>
      <w:proofErr w:type="spellStart"/>
      <w:r w:rsidRPr="00D05EBD">
        <w:rPr>
          <w:rFonts w:eastAsia="Wingdings-Regular" w:cs="ClassicalGaramondBT-Roman"/>
          <w:color w:val="000000"/>
          <w:sz w:val="24"/>
          <w:szCs w:val="24"/>
        </w:rPr>
        <w:t>sphericity</w:t>
      </w:r>
      <w:proofErr w:type="spellEnd"/>
      <w:r w:rsidRPr="00D05EBD">
        <w:rPr>
          <w:rFonts w:eastAsia="Wingdings-Regular" w:cs="ClassicalGaramondBT-Roman"/>
          <w:color w:val="000000"/>
          <w:sz w:val="24"/>
          <w:szCs w:val="24"/>
        </w:rPr>
        <w:t xml:space="preserve"> was violated for the main effects of regulation, </w:t>
      </w:r>
      <w:r w:rsidRPr="00D05EBD">
        <w:rPr>
          <w:rFonts w:eastAsia="Wingdings-Regular" w:cs="MTMI"/>
          <w:i/>
          <w:iCs/>
          <w:color w:val="000000"/>
          <w:sz w:val="24"/>
          <w:szCs w:val="24"/>
        </w:rPr>
        <w:t>χ</w:t>
      </w:r>
      <w:r w:rsidRPr="00D05EBD">
        <w:rPr>
          <w:rFonts w:eastAsia="Wingdings-Regular" w:cs="ClassicalGaramondBT-Roman"/>
          <w:color w:val="000000"/>
          <w:sz w:val="24"/>
          <w:szCs w:val="24"/>
        </w:rPr>
        <w:t xml:space="preserve">2(2) =10.00, </w:t>
      </w:r>
      <w:r w:rsidRPr="00D05EBD">
        <w:rPr>
          <w:rFonts w:eastAsia="Wingdings-Regular" w:cs="ClassicalGaramondBT-Italic"/>
          <w:i/>
          <w:iCs/>
          <w:color w:val="000000"/>
          <w:sz w:val="24"/>
          <w:szCs w:val="24"/>
        </w:rPr>
        <w:t xml:space="preserve">p </w:t>
      </w:r>
      <w:r w:rsidRPr="00D05EBD">
        <w:rPr>
          <w:rFonts w:eastAsia="Wingdings-Regular" w:cs="Symbol"/>
          <w:color w:val="000000"/>
          <w:sz w:val="24"/>
          <w:szCs w:val="24"/>
        </w:rPr>
        <w:t xml:space="preserve">&gt; </w:t>
      </w:r>
      <w:r w:rsidRPr="00D05EBD">
        <w:rPr>
          <w:rFonts w:eastAsia="Wingdings-Regular" w:cs="ClassicalGaramondBT-Roman"/>
          <w:color w:val="000000"/>
          <w:sz w:val="24"/>
          <w:szCs w:val="24"/>
        </w:rPr>
        <w:t>.05. Thus the Greenhouse-</w:t>
      </w:r>
      <w:proofErr w:type="spellStart"/>
      <w:r w:rsidRPr="00D05EBD">
        <w:rPr>
          <w:rFonts w:eastAsia="Wingdings-Regular" w:cs="ClassicalGaramondBT-Roman"/>
          <w:color w:val="000000"/>
          <w:sz w:val="24"/>
          <w:szCs w:val="24"/>
        </w:rPr>
        <w:t>Geisser</w:t>
      </w:r>
      <w:proofErr w:type="spellEnd"/>
      <w:r w:rsidRPr="00D05EBD">
        <w:rPr>
          <w:rFonts w:eastAsia="Wingdings-Regular" w:cs="ClassicalGaramondBT-Roman"/>
          <w:color w:val="000000"/>
          <w:sz w:val="24"/>
          <w:szCs w:val="24"/>
        </w:rPr>
        <w:t xml:space="preserve"> correction was used. </w:t>
      </w:r>
    </w:p>
    <w:tbl>
      <w:tblPr>
        <w:tblW w:w="5000" w:type="pct"/>
        <w:tblLook w:val="04A0"/>
      </w:tblPr>
      <w:tblGrid>
        <w:gridCol w:w="1479"/>
        <w:gridCol w:w="1480"/>
        <w:gridCol w:w="1480"/>
        <w:gridCol w:w="1480"/>
        <w:gridCol w:w="1480"/>
        <w:gridCol w:w="1483"/>
      </w:tblGrid>
      <w:tr w:rsidR="00FB1389" w:rsidRPr="00C06FB0" w:rsidTr="00D05EBD">
        <w:trPr>
          <w:trHeight w:val="300"/>
        </w:trPr>
        <w:tc>
          <w:tcPr>
            <w:tcW w:w="5000" w:type="pct"/>
            <w:gridSpan w:val="6"/>
            <w:tcBorders>
              <w:top w:val="nil"/>
              <w:left w:val="nil"/>
              <w:bottom w:val="single" w:sz="4" w:space="0" w:color="000000"/>
              <w:right w:val="single" w:sz="4" w:space="0" w:color="000000"/>
            </w:tcBorders>
            <w:shd w:val="clear" w:color="auto" w:fill="auto"/>
            <w:vAlign w:val="center"/>
            <w:hideMark/>
          </w:tcPr>
          <w:p w:rsidR="00FB1389" w:rsidRPr="00C06FB0" w:rsidRDefault="00A5797A" w:rsidP="00C06FB0">
            <w:pPr>
              <w:spacing w:after="0" w:line="240" w:lineRule="auto"/>
              <w:jc w:val="both"/>
              <w:rPr>
                <w:rFonts w:eastAsia="Times New Roman" w:cs="Times New Roman"/>
                <w:bCs/>
                <w:color w:val="000000"/>
                <w:sz w:val="18"/>
                <w:szCs w:val="18"/>
              </w:rPr>
            </w:pPr>
            <w:r w:rsidRPr="00C06FB0">
              <w:rPr>
                <w:rFonts w:eastAsia="Times New Roman" w:cs="Times New Roman"/>
                <w:bCs/>
                <w:color w:val="000000"/>
                <w:sz w:val="18"/>
                <w:szCs w:val="18"/>
              </w:rPr>
              <w:t>Table III</w:t>
            </w:r>
            <w:r w:rsidR="00FB1389" w:rsidRPr="00C06FB0">
              <w:rPr>
                <w:rFonts w:eastAsia="Times New Roman" w:cs="Times New Roman"/>
                <w:bCs/>
                <w:color w:val="000000"/>
                <w:sz w:val="18"/>
                <w:szCs w:val="18"/>
              </w:rPr>
              <w:t>.8. Means and standard deviations of IER strategies as a function of condition and goal</w:t>
            </w:r>
          </w:p>
        </w:tc>
      </w:tr>
      <w:tr w:rsidR="00FB1389" w:rsidRPr="00C06FB0" w:rsidTr="00C06FB0">
        <w:trPr>
          <w:trHeight w:val="387"/>
        </w:trPr>
        <w:tc>
          <w:tcPr>
            <w:tcW w:w="833" w:type="pct"/>
            <w:tcBorders>
              <w:top w:val="nil"/>
              <w:left w:val="nil"/>
              <w:bottom w:val="single" w:sz="4" w:space="0" w:color="000000"/>
              <w:right w:val="single" w:sz="4" w:space="0" w:color="000000"/>
            </w:tcBorders>
            <w:shd w:val="clear" w:color="auto" w:fill="auto"/>
            <w:vAlign w:val="bottom"/>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IER strategies</w:t>
            </w:r>
          </w:p>
        </w:tc>
        <w:tc>
          <w:tcPr>
            <w:tcW w:w="833" w:type="pct"/>
            <w:tcBorders>
              <w:top w:val="nil"/>
              <w:left w:val="nil"/>
              <w:bottom w:val="single" w:sz="4" w:space="0" w:color="000000"/>
              <w:right w:val="single" w:sz="4" w:space="0" w:color="000000"/>
            </w:tcBorders>
            <w:shd w:val="clear" w:color="auto" w:fill="auto"/>
            <w:vAlign w:val="bottom"/>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SST</w:t>
            </w:r>
          </w:p>
        </w:tc>
        <w:tc>
          <w:tcPr>
            <w:tcW w:w="833" w:type="pct"/>
            <w:tcBorders>
              <w:top w:val="nil"/>
              <w:left w:val="nil"/>
              <w:bottom w:val="single" w:sz="4" w:space="0" w:color="000000"/>
              <w:right w:val="single" w:sz="4" w:space="0" w:color="000000"/>
            </w:tcBorders>
            <w:shd w:val="clear" w:color="auto" w:fill="auto"/>
            <w:vAlign w:val="bottom"/>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Goal</w:t>
            </w:r>
          </w:p>
        </w:tc>
        <w:tc>
          <w:tcPr>
            <w:tcW w:w="833" w:type="pct"/>
            <w:tcBorders>
              <w:top w:val="nil"/>
              <w:left w:val="nil"/>
              <w:bottom w:val="single" w:sz="4" w:space="0" w:color="000000"/>
              <w:right w:val="single" w:sz="4" w:space="0" w:color="000000"/>
            </w:tcBorders>
            <w:shd w:val="clear" w:color="auto" w:fill="auto"/>
            <w:vAlign w:val="bottom"/>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Mean</w:t>
            </w:r>
          </w:p>
        </w:tc>
        <w:tc>
          <w:tcPr>
            <w:tcW w:w="833" w:type="pct"/>
            <w:tcBorders>
              <w:top w:val="nil"/>
              <w:left w:val="nil"/>
              <w:bottom w:val="single" w:sz="4" w:space="0" w:color="000000"/>
              <w:right w:val="single" w:sz="4" w:space="0" w:color="000000"/>
            </w:tcBorders>
            <w:shd w:val="clear" w:color="auto" w:fill="auto"/>
            <w:vAlign w:val="bottom"/>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Std. Deviation</w:t>
            </w:r>
          </w:p>
        </w:tc>
        <w:tc>
          <w:tcPr>
            <w:tcW w:w="833" w:type="pct"/>
            <w:tcBorders>
              <w:top w:val="nil"/>
              <w:left w:val="nil"/>
              <w:bottom w:val="single" w:sz="4" w:space="0" w:color="000000"/>
              <w:right w:val="nil"/>
            </w:tcBorders>
            <w:shd w:val="clear" w:color="auto" w:fill="auto"/>
            <w:vAlign w:val="bottom"/>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N</w:t>
            </w:r>
          </w:p>
        </w:tc>
      </w:tr>
      <w:tr w:rsidR="00FB1389" w:rsidRPr="00C06FB0" w:rsidTr="00D05EBD">
        <w:trPr>
          <w:trHeight w:val="300"/>
        </w:trPr>
        <w:tc>
          <w:tcPr>
            <w:tcW w:w="833" w:type="pct"/>
            <w:vMerge w:val="restart"/>
            <w:tcBorders>
              <w:top w:val="nil"/>
              <w:left w:val="nil"/>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URPE</w:t>
            </w:r>
          </w:p>
        </w:tc>
        <w:tc>
          <w:tcPr>
            <w:tcW w:w="833" w:type="pct"/>
            <w:vMerge w:val="restart"/>
            <w:tcBorders>
              <w:top w:val="nil"/>
              <w:left w:val="single" w:sz="4" w:space="0" w:color="000000"/>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Neutral</w:t>
            </w: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No 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4.31</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3.93</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13</w:t>
            </w:r>
          </w:p>
        </w:tc>
      </w:tr>
      <w:tr w:rsidR="00FB1389" w:rsidRPr="00C06FB0" w:rsidTr="00D05EBD">
        <w:trPr>
          <w:trHeight w:val="300"/>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3.88</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2.70</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17</w:t>
            </w:r>
          </w:p>
        </w:tc>
      </w:tr>
      <w:tr w:rsidR="00FB1389" w:rsidRPr="00C06FB0" w:rsidTr="00C06FB0">
        <w:trPr>
          <w:trHeight w:val="261"/>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Total</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4.07</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3.23</w:t>
            </w:r>
          </w:p>
        </w:tc>
        <w:tc>
          <w:tcPr>
            <w:tcW w:w="833" w:type="pct"/>
            <w:tcBorders>
              <w:top w:val="nil"/>
              <w:left w:val="nil"/>
              <w:bottom w:val="single" w:sz="4" w:space="0" w:color="000000"/>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30</w:t>
            </w:r>
          </w:p>
        </w:tc>
      </w:tr>
      <w:tr w:rsidR="00FB1389" w:rsidRPr="00C06FB0" w:rsidTr="00D05EBD">
        <w:trPr>
          <w:trHeight w:val="300"/>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val="restart"/>
            <w:tcBorders>
              <w:top w:val="nil"/>
              <w:left w:val="single" w:sz="4" w:space="0" w:color="000000"/>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Prime</w:t>
            </w: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No 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5.00</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3.31</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17</w:t>
            </w:r>
          </w:p>
        </w:tc>
      </w:tr>
      <w:tr w:rsidR="00FB1389" w:rsidRPr="00C06FB0" w:rsidTr="00D05EBD">
        <w:trPr>
          <w:trHeight w:val="300"/>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2.91</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1.93</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16</w:t>
            </w:r>
          </w:p>
        </w:tc>
      </w:tr>
      <w:tr w:rsidR="00FB1389" w:rsidRPr="00C06FB0" w:rsidTr="00D05EBD">
        <w:trPr>
          <w:trHeight w:val="300"/>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Total</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3.98</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2.89</w:t>
            </w:r>
          </w:p>
        </w:tc>
        <w:tc>
          <w:tcPr>
            <w:tcW w:w="833" w:type="pct"/>
            <w:tcBorders>
              <w:top w:val="nil"/>
              <w:left w:val="nil"/>
              <w:bottom w:val="single" w:sz="4" w:space="0" w:color="000000"/>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33</w:t>
            </w:r>
          </w:p>
        </w:tc>
      </w:tr>
      <w:tr w:rsidR="00FB1389" w:rsidRPr="00C06FB0" w:rsidTr="00D05EBD">
        <w:trPr>
          <w:trHeight w:val="300"/>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val="restart"/>
            <w:tcBorders>
              <w:top w:val="nil"/>
              <w:left w:val="single" w:sz="4" w:space="0" w:color="000000"/>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Total</w:t>
            </w: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No 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4.70</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3.54</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30</w:t>
            </w:r>
          </w:p>
        </w:tc>
      </w:tr>
      <w:tr w:rsidR="00FB1389" w:rsidRPr="00C06FB0" w:rsidTr="00D05EBD">
        <w:trPr>
          <w:trHeight w:val="300"/>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3.41</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2.38</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33</w:t>
            </w:r>
          </w:p>
        </w:tc>
      </w:tr>
      <w:tr w:rsidR="00FB1389" w:rsidRPr="00C06FB0" w:rsidTr="00C06FB0">
        <w:trPr>
          <w:trHeight w:val="103"/>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Total</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4.02</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3.04</w:t>
            </w:r>
          </w:p>
        </w:tc>
        <w:tc>
          <w:tcPr>
            <w:tcW w:w="833" w:type="pct"/>
            <w:tcBorders>
              <w:top w:val="nil"/>
              <w:left w:val="nil"/>
              <w:bottom w:val="single" w:sz="4" w:space="0" w:color="000000"/>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63</w:t>
            </w:r>
          </w:p>
        </w:tc>
      </w:tr>
      <w:tr w:rsidR="00FB1389" w:rsidRPr="00C06FB0" w:rsidTr="00D05EBD">
        <w:trPr>
          <w:trHeight w:val="300"/>
        </w:trPr>
        <w:tc>
          <w:tcPr>
            <w:tcW w:w="833" w:type="pct"/>
            <w:vMerge w:val="restart"/>
            <w:tcBorders>
              <w:top w:val="nil"/>
              <w:left w:val="nil"/>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URNE</w:t>
            </w:r>
          </w:p>
        </w:tc>
        <w:tc>
          <w:tcPr>
            <w:tcW w:w="833" w:type="pct"/>
            <w:vMerge w:val="restart"/>
            <w:tcBorders>
              <w:top w:val="nil"/>
              <w:left w:val="single" w:sz="4" w:space="0" w:color="000000"/>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Neutral</w:t>
            </w: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No 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5.04</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3.88</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13</w:t>
            </w:r>
          </w:p>
        </w:tc>
      </w:tr>
      <w:tr w:rsidR="00FB1389" w:rsidRPr="00C06FB0" w:rsidTr="00D05EBD">
        <w:trPr>
          <w:trHeight w:val="300"/>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3.56</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3.07</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17</w:t>
            </w:r>
          </w:p>
        </w:tc>
      </w:tr>
      <w:tr w:rsidR="00FB1389" w:rsidRPr="00C06FB0" w:rsidTr="00D05EBD">
        <w:trPr>
          <w:trHeight w:val="300"/>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Total</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4.20</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3.46</w:t>
            </w:r>
          </w:p>
        </w:tc>
        <w:tc>
          <w:tcPr>
            <w:tcW w:w="833" w:type="pct"/>
            <w:tcBorders>
              <w:top w:val="nil"/>
              <w:left w:val="nil"/>
              <w:bottom w:val="single" w:sz="4" w:space="0" w:color="000000"/>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30</w:t>
            </w:r>
          </w:p>
        </w:tc>
      </w:tr>
      <w:tr w:rsidR="00FB1389" w:rsidRPr="00C06FB0" w:rsidTr="00D05EBD">
        <w:trPr>
          <w:trHeight w:val="300"/>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val="restart"/>
            <w:tcBorders>
              <w:top w:val="nil"/>
              <w:left w:val="single" w:sz="4" w:space="0" w:color="000000"/>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Prime</w:t>
            </w: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No 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3.12</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2.56</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17</w:t>
            </w:r>
          </w:p>
        </w:tc>
      </w:tr>
      <w:tr w:rsidR="00FB1389" w:rsidRPr="00C06FB0" w:rsidTr="00D05EBD">
        <w:trPr>
          <w:trHeight w:val="300"/>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4.38</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4.28</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16</w:t>
            </w:r>
          </w:p>
        </w:tc>
      </w:tr>
      <w:tr w:rsidR="00FB1389" w:rsidRPr="00C06FB0" w:rsidTr="00D05EBD">
        <w:trPr>
          <w:trHeight w:val="300"/>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Total</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3.73</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3.50</w:t>
            </w:r>
          </w:p>
        </w:tc>
        <w:tc>
          <w:tcPr>
            <w:tcW w:w="833" w:type="pct"/>
            <w:tcBorders>
              <w:top w:val="nil"/>
              <w:left w:val="nil"/>
              <w:bottom w:val="single" w:sz="4" w:space="0" w:color="000000"/>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33</w:t>
            </w:r>
          </w:p>
        </w:tc>
      </w:tr>
      <w:tr w:rsidR="00FB1389" w:rsidRPr="00C06FB0" w:rsidTr="00D05EBD">
        <w:trPr>
          <w:trHeight w:val="300"/>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val="restart"/>
            <w:tcBorders>
              <w:top w:val="nil"/>
              <w:left w:val="single" w:sz="4" w:space="0" w:color="000000"/>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Total</w:t>
            </w: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No 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3.95</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3.28</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30</w:t>
            </w:r>
          </w:p>
        </w:tc>
      </w:tr>
      <w:tr w:rsidR="00FB1389" w:rsidRPr="00C06FB0" w:rsidTr="00D05EBD">
        <w:trPr>
          <w:trHeight w:val="300"/>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3.95</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3.67</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33</w:t>
            </w:r>
          </w:p>
        </w:tc>
      </w:tr>
      <w:tr w:rsidR="00FB1389" w:rsidRPr="00C06FB0" w:rsidTr="00C06FB0">
        <w:trPr>
          <w:trHeight w:val="227"/>
        </w:trPr>
        <w:tc>
          <w:tcPr>
            <w:tcW w:w="833" w:type="pct"/>
            <w:vMerge/>
            <w:tcBorders>
              <w:top w:val="nil"/>
              <w:left w:val="nil"/>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Total</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3.95</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3.46</w:t>
            </w:r>
          </w:p>
        </w:tc>
        <w:tc>
          <w:tcPr>
            <w:tcW w:w="833" w:type="pct"/>
            <w:tcBorders>
              <w:top w:val="nil"/>
              <w:left w:val="nil"/>
              <w:bottom w:val="single" w:sz="4" w:space="0" w:color="000000"/>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63</w:t>
            </w:r>
          </w:p>
        </w:tc>
      </w:tr>
      <w:tr w:rsidR="00FB1389" w:rsidRPr="00C06FB0" w:rsidTr="00D05EBD">
        <w:trPr>
          <w:trHeight w:val="300"/>
        </w:trPr>
        <w:tc>
          <w:tcPr>
            <w:tcW w:w="833" w:type="pct"/>
            <w:vMerge w:val="restart"/>
            <w:tcBorders>
              <w:top w:val="nil"/>
              <w:left w:val="nil"/>
              <w:bottom w:val="double" w:sz="6"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DRNE</w:t>
            </w:r>
          </w:p>
        </w:tc>
        <w:tc>
          <w:tcPr>
            <w:tcW w:w="833" w:type="pct"/>
            <w:vMerge w:val="restart"/>
            <w:tcBorders>
              <w:top w:val="nil"/>
              <w:left w:val="single" w:sz="4" w:space="0" w:color="000000"/>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Neutral</w:t>
            </w: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No 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2.27</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1.42</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13</w:t>
            </w:r>
          </w:p>
        </w:tc>
      </w:tr>
      <w:tr w:rsidR="00FB1389" w:rsidRPr="00C06FB0" w:rsidTr="00D05EBD">
        <w:trPr>
          <w:trHeight w:val="300"/>
        </w:trPr>
        <w:tc>
          <w:tcPr>
            <w:tcW w:w="833" w:type="pct"/>
            <w:vMerge/>
            <w:tcBorders>
              <w:top w:val="nil"/>
              <w:left w:val="nil"/>
              <w:bottom w:val="double" w:sz="6"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4.35</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2.85</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17</w:t>
            </w:r>
          </w:p>
        </w:tc>
      </w:tr>
      <w:tr w:rsidR="00FB1389" w:rsidRPr="00C06FB0" w:rsidTr="00D05EBD">
        <w:trPr>
          <w:trHeight w:val="300"/>
        </w:trPr>
        <w:tc>
          <w:tcPr>
            <w:tcW w:w="833" w:type="pct"/>
            <w:vMerge/>
            <w:tcBorders>
              <w:top w:val="nil"/>
              <w:left w:val="nil"/>
              <w:bottom w:val="double" w:sz="6"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Total</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3.45</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2.54</w:t>
            </w:r>
          </w:p>
        </w:tc>
        <w:tc>
          <w:tcPr>
            <w:tcW w:w="833" w:type="pct"/>
            <w:tcBorders>
              <w:top w:val="nil"/>
              <w:left w:val="nil"/>
              <w:bottom w:val="single" w:sz="4" w:space="0" w:color="000000"/>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30</w:t>
            </w:r>
          </w:p>
        </w:tc>
      </w:tr>
      <w:tr w:rsidR="00FB1389" w:rsidRPr="00C06FB0" w:rsidTr="00D05EBD">
        <w:trPr>
          <w:trHeight w:val="300"/>
        </w:trPr>
        <w:tc>
          <w:tcPr>
            <w:tcW w:w="833" w:type="pct"/>
            <w:vMerge/>
            <w:tcBorders>
              <w:top w:val="nil"/>
              <w:left w:val="nil"/>
              <w:bottom w:val="double" w:sz="6"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val="restart"/>
            <w:tcBorders>
              <w:top w:val="nil"/>
              <w:left w:val="single" w:sz="4" w:space="0" w:color="000000"/>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Prime</w:t>
            </w: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No 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3.74</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2.95</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17</w:t>
            </w:r>
          </w:p>
        </w:tc>
      </w:tr>
      <w:tr w:rsidR="00FB1389" w:rsidRPr="00C06FB0" w:rsidTr="00D05EBD">
        <w:trPr>
          <w:trHeight w:val="300"/>
        </w:trPr>
        <w:tc>
          <w:tcPr>
            <w:tcW w:w="833" w:type="pct"/>
            <w:vMerge/>
            <w:tcBorders>
              <w:top w:val="nil"/>
              <w:left w:val="nil"/>
              <w:bottom w:val="double" w:sz="6"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5.34</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3.63</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16</w:t>
            </w:r>
          </w:p>
        </w:tc>
      </w:tr>
      <w:tr w:rsidR="00FB1389" w:rsidRPr="00C06FB0" w:rsidTr="00D05EBD">
        <w:trPr>
          <w:trHeight w:val="300"/>
        </w:trPr>
        <w:tc>
          <w:tcPr>
            <w:tcW w:w="833" w:type="pct"/>
            <w:vMerge/>
            <w:tcBorders>
              <w:top w:val="nil"/>
              <w:left w:val="nil"/>
              <w:bottom w:val="double" w:sz="6"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single" w:sz="4"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single" w:sz="4"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Total</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4.52</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3.35</w:t>
            </w:r>
          </w:p>
        </w:tc>
        <w:tc>
          <w:tcPr>
            <w:tcW w:w="833" w:type="pct"/>
            <w:tcBorders>
              <w:top w:val="nil"/>
              <w:left w:val="nil"/>
              <w:bottom w:val="single" w:sz="4" w:space="0" w:color="000000"/>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33</w:t>
            </w:r>
          </w:p>
        </w:tc>
      </w:tr>
      <w:tr w:rsidR="00FB1389" w:rsidRPr="00C06FB0" w:rsidTr="00D05EBD">
        <w:trPr>
          <w:trHeight w:val="300"/>
        </w:trPr>
        <w:tc>
          <w:tcPr>
            <w:tcW w:w="833" w:type="pct"/>
            <w:vMerge/>
            <w:tcBorders>
              <w:top w:val="nil"/>
              <w:left w:val="nil"/>
              <w:bottom w:val="double" w:sz="6"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val="restart"/>
            <w:tcBorders>
              <w:top w:val="nil"/>
              <w:left w:val="single" w:sz="4" w:space="0" w:color="000000"/>
              <w:bottom w:val="double" w:sz="6"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Total</w:t>
            </w: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No 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3.10</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2.49</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30</w:t>
            </w:r>
          </w:p>
        </w:tc>
      </w:tr>
      <w:tr w:rsidR="00FB1389" w:rsidRPr="00C06FB0" w:rsidTr="00C06FB0">
        <w:trPr>
          <w:trHeight w:val="246"/>
        </w:trPr>
        <w:tc>
          <w:tcPr>
            <w:tcW w:w="833" w:type="pct"/>
            <w:vMerge/>
            <w:tcBorders>
              <w:top w:val="nil"/>
              <w:left w:val="nil"/>
              <w:bottom w:val="double" w:sz="6"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double" w:sz="6"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nil"/>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Goal</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4.83</w:t>
            </w:r>
          </w:p>
        </w:tc>
        <w:tc>
          <w:tcPr>
            <w:tcW w:w="833" w:type="pct"/>
            <w:tcBorders>
              <w:top w:val="nil"/>
              <w:left w:val="nil"/>
              <w:bottom w:val="nil"/>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3.24</w:t>
            </w:r>
          </w:p>
        </w:tc>
        <w:tc>
          <w:tcPr>
            <w:tcW w:w="833" w:type="pct"/>
            <w:tcBorders>
              <w:top w:val="nil"/>
              <w:left w:val="nil"/>
              <w:bottom w:val="nil"/>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33</w:t>
            </w:r>
          </w:p>
        </w:tc>
      </w:tr>
      <w:tr w:rsidR="00FB1389" w:rsidRPr="00C06FB0" w:rsidTr="00D05EBD">
        <w:trPr>
          <w:trHeight w:val="315"/>
        </w:trPr>
        <w:tc>
          <w:tcPr>
            <w:tcW w:w="833" w:type="pct"/>
            <w:vMerge/>
            <w:tcBorders>
              <w:top w:val="nil"/>
              <w:left w:val="nil"/>
              <w:bottom w:val="double" w:sz="6"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vMerge/>
            <w:tcBorders>
              <w:top w:val="nil"/>
              <w:left w:val="single" w:sz="4" w:space="0" w:color="000000"/>
              <w:bottom w:val="double" w:sz="6" w:space="0" w:color="000000"/>
              <w:right w:val="single" w:sz="4" w:space="0" w:color="000000"/>
            </w:tcBorders>
            <w:vAlign w:val="center"/>
            <w:hideMark/>
          </w:tcPr>
          <w:p w:rsidR="00FB1389" w:rsidRPr="00C06FB0" w:rsidRDefault="00FB1389" w:rsidP="00C06FB0">
            <w:pPr>
              <w:spacing w:after="0" w:line="240" w:lineRule="auto"/>
              <w:jc w:val="both"/>
              <w:rPr>
                <w:rFonts w:eastAsia="Times New Roman" w:cs="Arial"/>
                <w:color w:val="000000"/>
                <w:sz w:val="18"/>
                <w:szCs w:val="18"/>
              </w:rPr>
            </w:pPr>
          </w:p>
        </w:tc>
        <w:tc>
          <w:tcPr>
            <w:tcW w:w="833" w:type="pct"/>
            <w:tcBorders>
              <w:top w:val="nil"/>
              <w:left w:val="nil"/>
              <w:bottom w:val="double" w:sz="6" w:space="0" w:color="000000"/>
              <w:right w:val="single" w:sz="4" w:space="0" w:color="000000"/>
            </w:tcBorders>
            <w:shd w:val="clear" w:color="auto" w:fill="auto"/>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Total</w:t>
            </w:r>
          </w:p>
        </w:tc>
        <w:tc>
          <w:tcPr>
            <w:tcW w:w="833" w:type="pct"/>
            <w:tcBorders>
              <w:top w:val="nil"/>
              <w:left w:val="nil"/>
              <w:bottom w:val="double" w:sz="6"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4.01</w:t>
            </w:r>
          </w:p>
        </w:tc>
        <w:tc>
          <w:tcPr>
            <w:tcW w:w="833" w:type="pct"/>
            <w:tcBorders>
              <w:top w:val="nil"/>
              <w:left w:val="nil"/>
              <w:bottom w:val="double" w:sz="6" w:space="0" w:color="000000"/>
              <w:right w:val="single" w:sz="4" w:space="0" w:color="000000"/>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3.01</w:t>
            </w:r>
          </w:p>
        </w:tc>
        <w:tc>
          <w:tcPr>
            <w:tcW w:w="833" w:type="pct"/>
            <w:tcBorders>
              <w:top w:val="nil"/>
              <w:left w:val="nil"/>
              <w:bottom w:val="double" w:sz="6" w:space="0" w:color="000000"/>
              <w:right w:val="nil"/>
            </w:tcBorders>
            <w:shd w:val="clear" w:color="auto" w:fill="auto"/>
            <w:noWrap/>
            <w:vAlign w:val="center"/>
            <w:hideMark/>
          </w:tcPr>
          <w:p w:rsidR="00FB1389" w:rsidRPr="00C06FB0" w:rsidRDefault="00FB1389" w:rsidP="00C06FB0">
            <w:pPr>
              <w:spacing w:after="0" w:line="240" w:lineRule="auto"/>
              <w:jc w:val="both"/>
              <w:rPr>
                <w:rFonts w:eastAsia="Times New Roman" w:cs="Arial"/>
                <w:color w:val="000000"/>
                <w:sz w:val="18"/>
                <w:szCs w:val="18"/>
              </w:rPr>
            </w:pPr>
            <w:r w:rsidRPr="00C06FB0">
              <w:rPr>
                <w:rFonts w:eastAsia="Times New Roman" w:cs="Arial"/>
                <w:color w:val="000000"/>
                <w:sz w:val="18"/>
                <w:szCs w:val="18"/>
              </w:rPr>
              <w:t>63</w:t>
            </w:r>
          </w:p>
        </w:tc>
      </w:tr>
    </w:tbl>
    <w:p w:rsidR="004E09EE" w:rsidRDefault="004E09EE" w:rsidP="00C06FB0">
      <w:pPr>
        <w:spacing w:line="480" w:lineRule="auto"/>
        <w:ind w:firstLine="720"/>
        <w:jc w:val="both"/>
        <w:rPr>
          <w:rFonts w:cs="Times New Roman"/>
          <w:sz w:val="24"/>
          <w:szCs w:val="24"/>
        </w:rPr>
      </w:pPr>
    </w:p>
    <w:p w:rsidR="00FB1389" w:rsidRPr="00D05EBD" w:rsidRDefault="00FB1389" w:rsidP="00C06FB0">
      <w:pPr>
        <w:spacing w:line="480" w:lineRule="auto"/>
        <w:ind w:firstLine="720"/>
        <w:jc w:val="both"/>
        <w:rPr>
          <w:rFonts w:cs="Times New Roman"/>
          <w:sz w:val="24"/>
          <w:szCs w:val="24"/>
        </w:rPr>
      </w:pPr>
      <w:r w:rsidRPr="00D05EBD">
        <w:rPr>
          <w:rFonts w:cs="Times New Roman"/>
          <w:sz w:val="24"/>
          <w:szCs w:val="24"/>
        </w:rPr>
        <w:t xml:space="preserve">The analysis revealed there was a non-significant interaction effect between the SST (experimental or control) and the goal option (goal, no goal) over the number of IER strategies participants used in the letters </w:t>
      </w:r>
      <w:r w:rsidRPr="00D05EBD">
        <w:rPr>
          <w:rFonts w:cs="Times New Roman"/>
          <w:i/>
          <w:sz w:val="24"/>
          <w:szCs w:val="24"/>
        </w:rPr>
        <w:t>F</w:t>
      </w:r>
      <w:r w:rsidRPr="00D05EBD">
        <w:rPr>
          <w:rFonts w:cs="Times New Roman"/>
          <w:sz w:val="24"/>
          <w:szCs w:val="24"/>
        </w:rPr>
        <w:t xml:space="preserve">(1.72,116) = 1.48, </w:t>
      </w:r>
      <w:r w:rsidRPr="00D05EBD">
        <w:rPr>
          <w:rFonts w:cs="Times New Roman"/>
          <w:i/>
          <w:sz w:val="24"/>
          <w:szCs w:val="24"/>
        </w:rPr>
        <w:t xml:space="preserve">p </w:t>
      </w:r>
      <w:r w:rsidRPr="00D05EBD">
        <w:rPr>
          <w:rFonts w:cs="Times New Roman"/>
          <w:sz w:val="24"/>
          <w:szCs w:val="24"/>
        </w:rPr>
        <w:t xml:space="preserve">&gt; .05. There was, however, a marginally significant effect of the goal option over the number of IER </w:t>
      </w:r>
      <w:r w:rsidRPr="00D05EBD">
        <w:rPr>
          <w:rFonts w:cs="Times New Roman"/>
          <w:sz w:val="24"/>
          <w:szCs w:val="24"/>
        </w:rPr>
        <w:lastRenderedPageBreak/>
        <w:t xml:space="preserve">strategies participants used </w:t>
      </w:r>
      <w:r w:rsidRPr="00D05EBD">
        <w:rPr>
          <w:rFonts w:cs="Times New Roman"/>
          <w:i/>
          <w:sz w:val="24"/>
          <w:szCs w:val="24"/>
        </w:rPr>
        <w:t>F</w:t>
      </w:r>
      <w:r w:rsidRPr="00D05EBD">
        <w:rPr>
          <w:rFonts w:cs="Times New Roman"/>
          <w:sz w:val="24"/>
          <w:szCs w:val="24"/>
        </w:rPr>
        <w:t xml:space="preserve">(1.72,116) = 2.77, </w:t>
      </w:r>
      <w:r w:rsidRPr="00D05EBD">
        <w:rPr>
          <w:rFonts w:cs="Times New Roman"/>
          <w:i/>
          <w:sz w:val="24"/>
          <w:szCs w:val="24"/>
        </w:rPr>
        <w:t xml:space="preserve">p </w:t>
      </w:r>
      <w:r w:rsidRPr="00D05EBD">
        <w:rPr>
          <w:rFonts w:cs="Times New Roman"/>
          <w:sz w:val="24"/>
          <w:szCs w:val="24"/>
        </w:rPr>
        <w:t xml:space="preserve">= .075, </w:t>
      </w:r>
      <w:r w:rsidRPr="00D05EBD">
        <w:rPr>
          <w:rFonts w:cs="Times New Roman"/>
          <w:i/>
          <w:sz w:val="24"/>
          <w:szCs w:val="24"/>
        </w:rPr>
        <w:t xml:space="preserve">d </w:t>
      </w:r>
      <w:r w:rsidRPr="00D05EBD">
        <w:rPr>
          <w:rFonts w:cs="Times New Roman"/>
          <w:sz w:val="24"/>
          <w:szCs w:val="24"/>
        </w:rPr>
        <w:t>= .44. Finally, there was a non-significant main effect of the SST (experimental or control) over the number of IER behaviours participants used in the letters</w:t>
      </w:r>
      <w:r w:rsidR="00B100D0">
        <w:rPr>
          <w:rFonts w:cs="Times New Roman"/>
          <w:sz w:val="24"/>
          <w:szCs w:val="24"/>
        </w:rPr>
        <w:t xml:space="preserve"> they wrote to their ex-partners</w:t>
      </w:r>
      <w:r w:rsidRPr="00D05EBD">
        <w:rPr>
          <w:rFonts w:cs="Times New Roman"/>
          <w:sz w:val="24"/>
          <w:szCs w:val="24"/>
        </w:rPr>
        <w:t xml:space="preserve"> </w:t>
      </w:r>
      <w:r w:rsidRPr="00D05EBD">
        <w:rPr>
          <w:rFonts w:cs="Times New Roman"/>
          <w:i/>
          <w:sz w:val="24"/>
          <w:szCs w:val="24"/>
        </w:rPr>
        <w:t>F</w:t>
      </w:r>
      <w:r w:rsidRPr="00D05EBD">
        <w:rPr>
          <w:rFonts w:cs="Times New Roman"/>
          <w:sz w:val="24"/>
          <w:szCs w:val="24"/>
        </w:rPr>
        <w:t xml:space="preserve">(1.72,116) = 1.00, </w:t>
      </w:r>
      <w:r w:rsidRPr="00D05EBD">
        <w:rPr>
          <w:rFonts w:cs="Times New Roman"/>
          <w:i/>
          <w:sz w:val="24"/>
          <w:szCs w:val="24"/>
        </w:rPr>
        <w:t xml:space="preserve">p </w:t>
      </w:r>
      <w:r w:rsidRPr="00D05EBD">
        <w:rPr>
          <w:rFonts w:cs="Times New Roman"/>
          <w:sz w:val="24"/>
          <w:szCs w:val="24"/>
        </w:rPr>
        <w:t>&gt; .05. The score participants got for social desirability did not affect their results. The results were not affected either by the liking or disliking of the ex-partner (as a covariate on a second mix-design ANOVA).</w:t>
      </w:r>
      <w:r w:rsidR="0080299B">
        <w:rPr>
          <w:rFonts w:cs="Times New Roman"/>
          <w:sz w:val="24"/>
          <w:szCs w:val="24"/>
        </w:rPr>
        <w:t xml:space="preserve"> Means and standard deviations for each of the dependant variables can be seen in III.8.</w:t>
      </w:r>
      <w:r w:rsidRPr="00D05EBD">
        <w:rPr>
          <w:rFonts w:cs="Times New Roman"/>
          <w:sz w:val="24"/>
          <w:szCs w:val="24"/>
        </w:rPr>
        <w:t xml:space="preserve"> </w:t>
      </w:r>
      <w:r w:rsidRPr="00795652">
        <w:rPr>
          <w:rFonts w:cs="Times New Roman"/>
          <w:sz w:val="24"/>
          <w:szCs w:val="24"/>
        </w:rPr>
        <w:t>These results do not s</w:t>
      </w:r>
      <w:r w:rsidR="00B100D0" w:rsidRPr="00795652">
        <w:rPr>
          <w:rFonts w:cs="Times New Roman"/>
          <w:sz w:val="24"/>
          <w:szCs w:val="24"/>
        </w:rPr>
        <w:t xml:space="preserve">upport the first </w:t>
      </w:r>
      <w:r w:rsidR="00795652" w:rsidRPr="00795652">
        <w:rPr>
          <w:rFonts w:cs="Times New Roman"/>
          <w:sz w:val="24"/>
          <w:szCs w:val="24"/>
        </w:rPr>
        <w:t>and second hypothese</w:t>
      </w:r>
      <w:r w:rsidR="00B100D0" w:rsidRPr="00795652">
        <w:rPr>
          <w:rFonts w:cs="Times New Roman"/>
          <w:sz w:val="24"/>
          <w:szCs w:val="24"/>
        </w:rPr>
        <w:t>s of S</w:t>
      </w:r>
      <w:r w:rsidR="00C238CF">
        <w:rPr>
          <w:rFonts w:cs="Times New Roman"/>
          <w:sz w:val="24"/>
          <w:szCs w:val="24"/>
        </w:rPr>
        <w:t xml:space="preserve">tudy 2c, in that </w:t>
      </w:r>
      <w:r w:rsidRPr="00795652">
        <w:rPr>
          <w:rFonts w:cs="Times New Roman"/>
          <w:sz w:val="24"/>
          <w:szCs w:val="24"/>
        </w:rPr>
        <w:t xml:space="preserve">priming </w:t>
      </w:r>
      <w:r w:rsidR="00795652" w:rsidRPr="00795652">
        <w:rPr>
          <w:rFonts w:cs="Times New Roman"/>
          <w:sz w:val="24"/>
          <w:szCs w:val="24"/>
        </w:rPr>
        <w:t>participants to worsen the emotions of someone else</w:t>
      </w:r>
      <w:r w:rsidRPr="00795652">
        <w:rPr>
          <w:rFonts w:cs="Times New Roman"/>
          <w:sz w:val="24"/>
          <w:szCs w:val="24"/>
        </w:rPr>
        <w:t xml:space="preserve"> did not affect the number of </w:t>
      </w:r>
      <w:r w:rsidR="00B100D0" w:rsidRPr="00795652">
        <w:rPr>
          <w:rFonts w:cs="Times New Roman"/>
          <w:sz w:val="24"/>
          <w:szCs w:val="24"/>
        </w:rPr>
        <w:t>URNE nor URPE</w:t>
      </w:r>
      <w:r w:rsidRPr="00795652">
        <w:rPr>
          <w:rFonts w:cs="Times New Roman"/>
          <w:sz w:val="24"/>
          <w:szCs w:val="24"/>
        </w:rPr>
        <w:t xml:space="preserve"> strategies participants used in the letter they wrote to their ex-partners</w:t>
      </w:r>
      <w:r w:rsidR="004E09EE">
        <w:rPr>
          <w:rFonts w:cs="Times New Roman"/>
          <w:sz w:val="24"/>
          <w:szCs w:val="24"/>
        </w:rPr>
        <w:t xml:space="preserve"> in comparison to participants who were not primed</w:t>
      </w:r>
      <w:r w:rsidRPr="00795652">
        <w:rPr>
          <w:rFonts w:cs="Times New Roman"/>
          <w:sz w:val="24"/>
          <w:szCs w:val="24"/>
        </w:rPr>
        <w:t xml:space="preserve">. </w:t>
      </w:r>
      <w:r w:rsidR="007E7905">
        <w:rPr>
          <w:rFonts w:cs="Times New Roman"/>
          <w:sz w:val="24"/>
          <w:szCs w:val="24"/>
        </w:rPr>
        <w:t xml:space="preserve">However, the </w:t>
      </w:r>
      <w:r w:rsidRPr="007E7905">
        <w:rPr>
          <w:rFonts w:cs="Times New Roman"/>
          <w:sz w:val="24"/>
          <w:szCs w:val="24"/>
        </w:rPr>
        <w:t xml:space="preserve">number of IER strategies participants used in the letter they wrote to their ex-partner was affected by whether they belonged </w:t>
      </w:r>
      <w:r w:rsidR="007E7905" w:rsidRPr="007E7905">
        <w:rPr>
          <w:rFonts w:cs="Times New Roman"/>
          <w:sz w:val="24"/>
          <w:szCs w:val="24"/>
        </w:rPr>
        <w:t xml:space="preserve">or not </w:t>
      </w:r>
      <w:r w:rsidRPr="007E7905">
        <w:rPr>
          <w:rFonts w:cs="Times New Roman"/>
          <w:sz w:val="24"/>
          <w:szCs w:val="24"/>
        </w:rPr>
        <w:t xml:space="preserve">to the </w:t>
      </w:r>
      <w:r w:rsidR="007E7905" w:rsidRPr="007E7905">
        <w:rPr>
          <w:rFonts w:cs="Times New Roman"/>
          <w:sz w:val="24"/>
          <w:szCs w:val="24"/>
        </w:rPr>
        <w:t>IER-goal condition</w:t>
      </w:r>
      <w:r w:rsidR="0080299B">
        <w:rPr>
          <w:rFonts w:cs="Times New Roman"/>
          <w:sz w:val="24"/>
          <w:szCs w:val="24"/>
        </w:rPr>
        <w:t>.</w:t>
      </w:r>
      <w:r w:rsidRPr="007E7905">
        <w:rPr>
          <w:rFonts w:cs="Times New Roman"/>
          <w:sz w:val="24"/>
          <w:szCs w:val="24"/>
        </w:rPr>
        <w:t xml:space="preserve"> </w:t>
      </w:r>
    </w:p>
    <w:p w:rsidR="00C06FB0" w:rsidRDefault="00FB1389" w:rsidP="00AE640B">
      <w:pPr>
        <w:spacing w:before="240" w:line="480" w:lineRule="auto"/>
        <w:jc w:val="both"/>
        <w:rPr>
          <w:rFonts w:cs="Times New Roman"/>
          <w:sz w:val="24"/>
          <w:szCs w:val="24"/>
        </w:rPr>
      </w:pPr>
      <w:r w:rsidRPr="00D05EBD">
        <w:rPr>
          <w:rFonts w:cs="Times New Roman"/>
          <w:sz w:val="24"/>
          <w:szCs w:val="24"/>
        </w:rPr>
        <w:tab/>
        <w:t>To explore how the different goals participants chose (to improve the emotions of their ex-partners, to worsen the emotions of their ex-partners, no goal) affected the frequency of IER strategies (URPE, URNE, DRNE) participants used in their letters, independent one-way between subjects ANOVAs were conducted.</w:t>
      </w:r>
    </w:p>
    <w:p w:rsidR="004E09EE" w:rsidRDefault="004E09EE" w:rsidP="00AE640B">
      <w:pPr>
        <w:spacing w:before="240" w:line="480" w:lineRule="auto"/>
        <w:jc w:val="both"/>
        <w:rPr>
          <w:rFonts w:cs="Times New Roman"/>
          <w:sz w:val="24"/>
          <w:szCs w:val="24"/>
        </w:rPr>
      </w:pPr>
    </w:p>
    <w:p w:rsidR="004E09EE" w:rsidRDefault="004E09EE" w:rsidP="00AE640B">
      <w:pPr>
        <w:spacing w:before="240" w:line="480" w:lineRule="auto"/>
        <w:jc w:val="both"/>
        <w:rPr>
          <w:rFonts w:cs="Times New Roman"/>
          <w:sz w:val="24"/>
          <w:szCs w:val="24"/>
        </w:rPr>
      </w:pPr>
    </w:p>
    <w:p w:rsidR="004E09EE" w:rsidRDefault="004E09EE" w:rsidP="00AE640B">
      <w:pPr>
        <w:spacing w:before="240" w:line="480" w:lineRule="auto"/>
        <w:jc w:val="both"/>
        <w:rPr>
          <w:rFonts w:cs="Times New Roman"/>
          <w:sz w:val="24"/>
          <w:szCs w:val="24"/>
        </w:rPr>
      </w:pPr>
    </w:p>
    <w:p w:rsidR="004E09EE" w:rsidRPr="00D05EBD" w:rsidRDefault="004E09EE" w:rsidP="00AE640B">
      <w:pPr>
        <w:spacing w:before="240" w:line="480" w:lineRule="auto"/>
        <w:jc w:val="both"/>
        <w:rPr>
          <w:rFonts w:cs="Times New Roman"/>
          <w:sz w:val="24"/>
          <w:szCs w:val="24"/>
        </w:rPr>
      </w:pPr>
    </w:p>
    <w:tbl>
      <w:tblPr>
        <w:tblW w:w="5000" w:type="pct"/>
        <w:tblLook w:val="04A0"/>
      </w:tblPr>
      <w:tblGrid>
        <w:gridCol w:w="1777"/>
        <w:gridCol w:w="1777"/>
        <w:gridCol w:w="1776"/>
        <w:gridCol w:w="1776"/>
        <w:gridCol w:w="1776"/>
      </w:tblGrid>
      <w:tr w:rsidR="00FB1389" w:rsidRPr="00D728B4" w:rsidTr="00D05EBD">
        <w:trPr>
          <w:trHeight w:val="300"/>
        </w:trPr>
        <w:tc>
          <w:tcPr>
            <w:tcW w:w="5000" w:type="pct"/>
            <w:gridSpan w:val="5"/>
            <w:tcBorders>
              <w:top w:val="nil"/>
              <w:left w:val="nil"/>
              <w:bottom w:val="single" w:sz="4" w:space="0" w:color="auto"/>
              <w:right w:val="nil"/>
            </w:tcBorders>
            <w:shd w:val="clear" w:color="auto" w:fill="auto"/>
            <w:vAlign w:val="center"/>
            <w:hideMark/>
          </w:tcPr>
          <w:p w:rsidR="00FB1389" w:rsidRPr="00D728B4" w:rsidRDefault="00D728B4" w:rsidP="00D728B4">
            <w:pPr>
              <w:spacing w:after="0" w:line="240" w:lineRule="auto"/>
              <w:jc w:val="both"/>
              <w:rPr>
                <w:rFonts w:eastAsia="Times New Roman" w:cs="Times New Roman"/>
                <w:color w:val="000000"/>
              </w:rPr>
            </w:pPr>
            <w:r>
              <w:rPr>
                <w:rFonts w:eastAsia="Times New Roman" w:cs="Times New Roman"/>
                <w:color w:val="000000"/>
              </w:rPr>
              <w:lastRenderedPageBreak/>
              <w:t>Table III</w:t>
            </w:r>
            <w:r w:rsidR="00FB1389" w:rsidRPr="00D728B4">
              <w:rPr>
                <w:rFonts w:eastAsia="Times New Roman" w:cs="Times New Roman"/>
                <w:color w:val="000000"/>
              </w:rPr>
              <w:t>.9. Means and standard deviations of IER strategies as a function of goal choice</w:t>
            </w:r>
          </w:p>
        </w:tc>
      </w:tr>
      <w:tr w:rsidR="00FB1389" w:rsidRPr="00D728B4" w:rsidTr="00D05EBD">
        <w:trPr>
          <w:trHeight w:val="495"/>
        </w:trPr>
        <w:tc>
          <w:tcPr>
            <w:tcW w:w="1000" w:type="pct"/>
            <w:tcBorders>
              <w:top w:val="nil"/>
              <w:left w:val="nil"/>
              <w:bottom w:val="single" w:sz="4" w:space="0" w:color="auto"/>
              <w:right w:val="single" w:sz="4" w:space="0" w:color="auto"/>
            </w:tcBorders>
            <w:shd w:val="clear" w:color="auto" w:fill="auto"/>
            <w:vAlign w:val="bottom"/>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IER strategies</w:t>
            </w:r>
          </w:p>
        </w:tc>
        <w:tc>
          <w:tcPr>
            <w:tcW w:w="1000" w:type="pct"/>
            <w:tcBorders>
              <w:top w:val="nil"/>
              <w:left w:val="nil"/>
              <w:bottom w:val="single" w:sz="4" w:space="0" w:color="auto"/>
              <w:right w:val="single" w:sz="4" w:space="0" w:color="auto"/>
            </w:tcBorders>
            <w:shd w:val="clear" w:color="auto" w:fill="auto"/>
            <w:vAlign w:val="bottom"/>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Goal choice</w:t>
            </w:r>
          </w:p>
        </w:tc>
        <w:tc>
          <w:tcPr>
            <w:tcW w:w="1000" w:type="pct"/>
            <w:tcBorders>
              <w:top w:val="nil"/>
              <w:left w:val="nil"/>
              <w:bottom w:val="single" w:sz="4" w:space="0" w:color="auto"/>
              <w:right w:val="single" w:sz="4" w:space="0" w:color="auto"/>
            </w:tcBorders>
            <w:shd w:val="clear" w:color="auto" w:fill="auto"/>
            <w:vAlign w:val="bottom"/>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Mean</w:t>
            </w:r>
          </w:p>
        </w:tc>
        <w:tc>
          <w:tcPr>
            <w:tcW w:w="1000" w:type="pct"/>
            <w:tcBorders>
              <w:top w:val="nil"/>
              <w:left w:val="nil"/>
              <w:bottom w:val="single" w:sz="4" w:space="0" w:color="auto"/>
              <w:right w:val="single" w:sz="4" w:space="0" w:color="auto"/>
            </w:tcBorders>
            <w:shd w:val="clear" w:color="auto" w:fill="auto"/>
            <w:vAlign w:val="bottom"/>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Std. Deviation</w:t>
            </w:r>
          </w:p>
        </w:tc>
        <w:tc>
          <w:tcPr>
            <w:tcW w:w="1000" w:type="pct"/>
            <w:tcBorders>
              <w:top w:val="nil"/>
              <w:left w:val="nil"/>
              <w:bottom w:val="single" w:sz="4" w:space="0" w:color="auto"/>
              <w:right w:val="nil"/>
            </w:tcBorders>
            <w:shd w:val="clear" w:color="auto" w:fill="auto"/>
            <w:vAlign w:val="bottom"/>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N</w:t>
            </w:r>
          </w:p>
        </w:tc>
      </w:tr>
      <w:tr w:rsidR="00FB1389" w:rsidRPr="00D728B4" w:rsidTr="00D05EBD">
        <w:trPr>
          <w:trHeight w:val="300"/>
        </w:trPr>
        <w:tc>
          <w:tcPr>
            <w:tcW w:w="1000" w:type="pct"/>
            <w:vMerge w:val="restart"/>
            <w:tcBorders>
              <w:top w:val="nil"/>
              <w:left w:val="nil"/>
              <w:bottom w:val="single" w:sz="4" w:space="0" w:color="000000"/>
              <w:right w:val="single" w:sz="4" w:space="0" w:color="auto"/>
            </w:tcBorders>
            <w:shd w:val="clear" w:color="auto" w:fill="auto"/>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URPE</w:t>
            </w:r>
          </w:p>
        </w:tc>
        <w:tc>
          <w:tcPr>
            <w:tcW w:w="1000" w:type="pct"/>
            <w:tcBorders>
              <w:top w:val="nil"/>
              <w:left w:val="nil"/>
              <w:bottom w:val="nil"/>
              <w:right w:val="single" w:sz="4" w:space="0" w:color="auto"/>
            </w:tcBorders>
            <w:shd w:val="clear" w:color="auto" w:fill="auto"/>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feel better</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4.39</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2.20</w:t>
            </w:r>
          </w:p>
        </w:tc>
        <w:tc>
          <w:tcPr>
            <w:tcW w:w="1000" w:type="pct"/>
            <w:tcBorders>
              <w:top w:val="nil"/>
              <w:left w:val="nil"/>
              <w:bottom w:val="nil"/>
              <w:right w:val="nil"/>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23</w:t>
            </w:r>
          </w:p>
        </w:tc>
      </w:tr>
      <w:tr w:rsidR="00FB1389" w:rsidRPr="00D728B4" w:rsidTr="00D05EBD">
        <w:trPr>
          <w:trHeight w:val="300"/>
        </w:trPr>
        <w:tc>
          <w:tcPr>
            <w:tcW w:w="1000" w:type="pct"/>
            <w:vMerge/>
            <w:tcBorders>
              <w:top w:val="nil"/>
              <w:left w:val="nil"/>
              <w:bottom w:val="single" w:sz="4" w:space="0" w:color="000000"/>
              <w:right w:val="single" w:sz="4" w:space="0" w:color="auto"/>
            </w:tcBorders>
            <w:vAlign w:val="center"/>
            <w:hideMark/>
          </w:tcPr>
          <w:p w:rsidR="00FB1389" w:rsidRPr="00D728B4" w:rsidRDefault="00FB1389" w:rsidP="00D728B4">
            <w:pPr>
              <w:spacing w:after="0" w:line="240" w:lineRule="auto"/>
              <w:jc w:val="both"/>
              <w:rPr>
                <w:rFonts w:eastAsia="Times New Roman" w:cs="Arial"/>
                <w:color w:val="000000"/>
              </w:rPr>
            </w:pPr>
          </w:p>
        </w:tc>
        <w:tc>
          <w:tcPr>
            <w:tcW w:w="1000" w:type="pct"/>
            <w:tcBorders>
              <w:top w:val="nil"/>
              <w:left w:val="nil"/>
              <w:bottom w:val="nil"/>
              <w:right w:val="single" w:sz="4" w:space="0" w:color="auto"/>
            </w:tcBorders>
            <w:shd w:val="clear" w:color="auto" w:fill="auto"/>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feel worse</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1.15</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0.34</w:t>
            </w:r>
          </w:p>
        </w:tc>
        <w:tc>
          <w:tcPr>
            <w:tcW w:w="1000" w:type="pct"/>
            <w:tcBorders>
              <w:top w:val="nil"/>
              <w:left w:val="nil"/>
              <w:bottom w:val="nil"/>
              <w:right w:val="nil"/>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10</w:t>
            </w:r>
          </w:p>
        </w:tc>
      </w:tr>
      <w:tr w:rsidR="00FB1389" w:rsidRPr="00D728B4" w:rsidTr="00D05EBD">
        <w:trPr>
          <w:trHeight w:val="300"/>
        </w:trPr>
        <w:tc>
          <w:tcPr>
            <w:tcW w:w="1000" w:type="pct"/>
            <w:vMerge/>
            <w:tcBorders>
              <w:top w:val="nil"/>
              <w:left w:val="nil"/>
              <w:bottom w:val="single" w:sz="4" w:space="0" w:color="000000"/>
              <w:right w:val="single" w:sz="4" w:space="0" w:color="auto"/>
            </w:tcBorders>
            <w:vAlign w:val="center"/>
            <w:hideMark/>
          </w:tcPr>
          <w:p w:rsidR="00FB1389" w:rsidRPr="00D728B4" w:rsidRDefault="00FB1389" w:rsidP="00D728B4">
            <w:pPr>
              <w:spacing w:after="0" w:line="240" w:lineRule="auto"/>
              <w:jc w:val="both"/>
              <w:rPr>
                <w:rFonts w:eastAsia="Times New Roman" w:cs="Arial"/>
                <w:color w:val="000000"/>
              </w:rPr>
            </w:pPr>
          </w:p>
        </w:tc>
        <w:tc>
          <w:tcPr>
            <w:tcW w:w="1000" w:type="pct"/>
            <w:tcBorders>
              <w:top w:val="nil"/>
              <w:left w:val="nil"/>
              <w:bottom w:val="nil"/>
              <w:right w:val="single" w:sz="4" w:space="0" w:color="auto"/>
            </w:tcBorders>
            <w:shd w:val="clear" w:color="auto" w:fill="auto"/>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No goal</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4.70</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3.54</w:t>
            </w:r>
          </w:p>
        </w:tc>
        <w:tc>
          <w:tcPr>
            <w:tcW w:w="1000" w:type="pct"/>
            <w:tcBorders>
              <w:top w:val="nil"/>
              <w:left w:val="nil"/>
              <w:bottom w:val="nil"/>
              <w:right w:val="nil"/>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30</w:t>
            </w:r>
          </w:p>
        </w:tc>
      </w:tr>
      <w:tr w:rsidR="00FB1389" w:rsidRPr="00D728B4" w:rsidTr="00D05EBD">
        <w:trPr>
          <w:trHeight w:val="300"/>
        </w:trPr>
        <w:tc>
          <w:tcPr>
            <w:tcW w:w="1000" w:type="pct"/>
            <w:vMerge/>
            <w:tcBorders>
              <w:top w:val="nil"/>
              <w:left w:val="nil"/>
              <w:bottom w:val="single" w:sz="4" w:space="0" w:color="000000"/>
              <w:right w:val="single" w:sz="4" w:space="0" w:color="auto"/>
            </w:tcBorders>
            <w:vAlign w:val="center"/>
            <w:hideMark/>
          </w:tcPr>
          <w:p w:rsidR="00FB1389" w:rsidRPr="00D728B4" w:rsidRDefault="00FB1389" w:rsidP="00D728B4">
            <w:pPr>
              <w:spacing w:after="0" w:line="240" w:lineRule="auto"/>
              <w:jc w:val="both"/>
              <w:rPr>
                <w:rFonts w:eastAsia="Times New Roman" w:cs="Arial"/>
                <w:color w:val="000000"/>
              </w:rPr>
            </w:pPr>
          </w:p>
        </w:tc>
        <w:tc>
          <w:tcPr>
            <w:tcW w:w="1000" w:type="pct"/>
            <w:tcBorders>
              <w:top w:val="nil"/>
              <w:left w:val="nil"/>
              <w:bottom w:val="single" w:sz="4" w:space="0" w:color="auto"/>
              <w:right w:val="single" w:sz="4" w:space="0" w:color="auto"/>
            </w:tcBorders>
            <w:shd w:val="clear" w:color="auto" w:fill="auto"/>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Total</w:t>
            </w:r>
          </w:p>
        </w:tc>
        <w:tc>
          <w:tcPr>
            <w:tcW w:w="1000" w:type="pct"/>
            <w:tcBorders>
              <w:top w:val="nil"/>
              <w:left w:val="nil"/>
              <w:bottom w:val="single" w:sz="4" w:space="0" w:color="auto"/>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4.02</w:t>
            </w:r>
          </w:p>
        </w:tc>
        <w:tc>
          <w:tcPr>
            <w:tcW w:w="1000" w:type="pct"/>
            <w:tcBorders>
              <w:top w:val="nil"/>
              <w:left w:val="nil"/>
              <w:bottom w:val="single" w:sz="4" w:space="0" w:color="auto"/>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3.04</w:t>
            </w:r>
          </w:p>
        </w:tc>
        <w:tc>
          <w:tcPr>
            <w:tcW w:w="1000" w:type="pct"/>
            <w:tcBorders>
              <w:top w:val="nil"/>
              <w:left w:val="nil"/>
              <w:bottom w:val="single" w:sz="4" w:space="0" w:color="auto"/>
              <w:right w:val="nil"/>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63</w:t>
            </w:r>
          </w:p>
        </w:tc>
      </w:tr>
      <w:tr w:rsidR="00FB1389" w:rsidRPr="00D728B4" w:rsidTr="00D05EBD">
        <w:trPr>
          <w:trHeight w:val="300"/>
        </w:trPr>
        <w:tc>
          <w:tcPr>
            <w:tcW w:w="1000" w:type="pct"/>
            <w:vMerge w:val="restart"/>
            <w:tcBorders>
              <w:top w:val="nil"/>
              <w:left w:val="nil"/>
              <w:bottom w:val="single" w:sz="4" w:space="0" w:color="000000"/>
              <w:right w:val="single" w:sz="4" w:space="0" w:color="auto"/>
            </w:tcBorders>
            <w:shd w:val="clear" w:color="auto" w:fill="auto"/>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URNE</w:t>
            </w:r>
          </w:p>
        </w:tc>
        <w:tc>
          <w:tcPr>
            <w:tcW w:w="1000" w:type="pct"/>
            <w:tcBorders>
              <w:top w:val="nil"/>
              <w:left w:val="nil"/>
              <w:bottom w:val="nil"/>
              <w:right w:val="single" w:sz="4" w:space="0" w:color="auto"/>
            </w:tcBorders>
            <w:shd w:val="clear" w:color="auto" w:fill="auto"/>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feel better</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1.93</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1.75</w:t>
            </w:r>
          </w:p>
        </w:tc>
        <w:tc>
          <w:tcPr>
            <w:tcW w:w="1000" w:type="pct"/>
            <w:tcBorders>
              <w:top w:val="nil"/>
              <w:left w:val="nil"/>
              <w:bottom w:val="nil"/>
              <w:right w:val="nil"/>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23</w:t>
            </w:r>
          </w:p>
        </w:tc>
      </w:tr>
      <w:tr w:rsidR="00FB1389" w:rsidRPr="00D728B4" w:rsidTr="00D05EBD">
        <w:trPr>
          <w:trHeight w:val="300"/>
        </w:trPr>
        <w:tc>
          <w:tcPr>
            <w:tcW w:w="1000" w:type="pct"/>
            <w:vMerge/>
            <w:tcBorders>
              <w:top w:val="nil"/>
              <w:left w:val="nil"/>
              <w:bottom w:val="single" w:sz="4" w:space="0" w:color="000000"/>
              <w:right w:val="single" w:sz="4" w:space="0" w:color="auto"/>
            </w:tcBorders>
            <w:vAlign w:val="center"/>
            <w:hideMark/>
          </w:tcPr>
          <w:p w:rsidR="00FB1389" w:rsidRPr="00D728B4" w:rsidRDefault="00FB1389" w:rsidP="00D728B4">
            <w:pPr>
              <w:spacing w:after="0" w:line="240" w:lineRule="auto"/>
              <w:jc w:val="both"/>
              <w:rPr>
                <w:rFonts w:eastAsia="Times New Roman" w:cs="Arial"/>
                <w:color w:val="000000"/>
              </w:rPr>
            </w:pPr>
          </w:p>
        </w:tc>
        <w:tc>
          <w:tcPr>
            <w:tcW w:w="1000" w:type="pct"/>
            <w:tcBorders>
              <w:top w:val="nil"/>
              <w:left w:val="nil"/>
              <w:bottom w:val="nil"/>
              <w:right w:val="single" w:sz="4" w:space="0" w:color="auto"/>
            </w:tcBorders>
            <w:shd w:val="clear" w:color="auto" w:fill="auto"/>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feel worse</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8.60</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2.44</w:t>
            </w:r>
          </w:p>
        </w:tc>
        <w:tc>
          <w:tcPr>
            <w:tcW w:w="1000" w:type="pct"/>
            <w:tcBorders>
              <w:top w:val="nil"/>
              <w:left w:val="nil"/>
              <w:bottom w:val="nil"/>
              <w:right w:val="nil"/>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10</w:t>
            </w:r>
          </w:p>
        </w:tc>
      </w:tr>
      <w:tr w:rsidR="00FB1389" w:rsidRPr="00D728B4" w:rsidTr="00D05EBD">
        <w:trPr>
          <w:trHeight w:val="300"/>
        </w:trPr>
        <w:tc>
          <w:tcPr>
            <w:tcW w:w="1000" w:type="pct"/>
            <w:vMerge/>
            <w:tcBorders>
              <w:top w:val="nil"/>
              <w:left w:val="nil"/>
              <w:bottom w:val="single" w:sz="4" w:space="0" w:color="000000"/>
              <w:right w:val="single" w:sz="4" w:space="0" w:color="auto"/>
            </w:tcBorders>
            <w:vAlign w:val="center"/>
            <w:hideMark/>
          </w:tcPr>
          <w:p w:rsidR="00FB1389" w:rsidRPr="00D728B4" w:rsidRDefault="00FB1389" w:rsidP="00D728B4">
            <w:pPr>
              <w:spacing w:after="0" w:line="240" w:lineRule="auto"/>
              <w:jc w:val="both"/>
              <w:rPr>
                <w:rFonts w:eastAsia="Times New Roman" w:cs="Arial"/>
                <w:color w:val="000000"/>
              </w:rPr>
            </w:pPr>
          </w:p>
        </w:tc>
        <w:tc>
          <w:tcPr>
            <w:tcW w:w="1000" w:type="pct"/>
            <w:tcBorders>
              <w:top w:val="nil"/>
              <w:left w:val="nil"/>
              <w:bottom w:val="nil"/>
              <w:right w:val="single" w:sz="4" w:space="0" w:color="auto"/>
            </w:tcBorders>
            <w:shd w:val="clear" w:color="auto" w:fill="auto"/>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No goal</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3.95</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3.28</w:t>
            </w:r>
          </w:p>
        </w:tc>
        <w:tc>
          <w:tcPr>
            <w:tcW w:w="1000" w:type="pct"/>
            <w:tcBorders>
              <w:top w:val="nil"/>
              <w:left w:val="nil"/>
              <w:bottom w:val="nil"/>
              <w:right w:val="nil"/>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30</w:t>
            </w:r>
          </w:p>
        </w:tc>
      </w:tr>
      <w:tr w:rsidR="00FB1389" w:rsidRPr="00D728B4" w:rsidTr="00D05EBD">
        <w:trPr>
          <w:trHeight w:val="300"/>
        </w:trPr>
        <w:tc>
          <w:tcPr>
            <w:tcW w:w="1000" w:type="pct"/>
            <w:vMerge/>
            <w:tcBorders>
              <w:top w:val="nil"/>
              <w:left w:val="nil"/>
              <w:bottom w:val="single" w:sz="4" w:space="0" w:color="000000"/>
              <w:right w:val="single" w:sz="4" w:space="0" w:color="auto"/>
            </w:tcBorders>
            <w:vAlign w:val="center"/>
            <w:hideMark/>
          </w:tcPr>
          <w:p w:rsidR="00FB1389" w:rsidRPr="00D728B4" w:rsidRDefault="00FB1389" w:rsidP="00D728B4">
            <w:pPr>
              <w:spacing w:after="0" w:line="240" w:lineRule="auto"/>
              <w:jc w:val="both"/>
              <w:rPr>
                <w:rFonts w:eastAsia="Times New Roman" w:cs="Arial"/>
                <w:color w:val="000000"/>
              </w:rPr>
            </w:pPr>
          </w:p>
        </w:tc>
        <w:tc>
          <w:tcPr>
            <w:tcW w:w="1000" w:type="pct"/>
            <w:tcBorders>
              <w:top w:val="nil"/>
              <w:left w:val="nil"/>
              <w:bottom w:val="single" w:sz="4" w:space="0" w:color="auto"/>
              <w:right w:val="single" w:sz="4" w:space="0" w:color="auto"/>
            </w:tcBorders>
            <w:shd w:val="clear" w:color="auto" w:fill="auto"/>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Total</w:t>
            </w:r>
          </w:p>
        </w:tc>
        <w:tc>
          <w:tcPr>
            <w:tcW w:w="1000" w:type="pct"/>
            <w:tcBorders>
              <w:top w:val="nil"/>
              <w:left w:val="nil"/>
              <w:bottom w:val="single" w:sz="4" w:space="0" w:color="auto"/>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3.95</w:t>
            </w:r>
          </w:p>
        </w:tc>
        <w:tc>
          <w:tcPr>
            <w:tcW w:w="1000" w:type="pct"/>
            <w:tcBorders>
              <w:top w:val="nil"/>
              <w:left w:val="nil"/>
              <w:bottom w:val="single" w:sz="4" w:space="0" w:color="auto"/>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3.46</w:t>
            </w:r>
          </w:p>
        </w:tc>
        <w:tc>
          <w:tcPr>
            <w:tcW w:w="1000" w:type="pct"/>
            <w:tcBorders>
              <w:top w:val="nil"/>
              <w:left w:val="nil"/>
              <w:bottom w:val="single" w:sz="4" w:space="0" w:color="auto"/>
              <w:right w:val="nil"/>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63</w:t>
            </w:r>
          </w:p>
        </w:tc>
      </w:tr>
      <w:tr w:rsidR="00FB1389" w:rsidRPr="00D728B4" w:rsidTr="00D05EBD">
        <w:trPr>
          <w:trHeight w:val="300"/>
        </w:trPr>
        <w:tc>
          <w:tcPr>
            <w:tcW w:w="1000" w:type="pct"/>
            <w:vMerge w:val="restart"/>
            <w:tcBorders>
              <w:top w:val="nil"/>
              <w:left w:val="nil"/>
              <w:bottom w:val="double" w:sz="6" w:space="0" w:color="000000"/>
              <w:right w:val="single" w:sz="4" w:space="0" w:color="auto"/>
            </w:tcBorders>
            <w:shd w:val="clear" w:color="auto" w:fill="auto"/>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DRNE</w:t>
            </w:r>
          </w:p>
        </w:tc>
        <w:tc>
          <w:tcPr>
            <w:tcW w:w="1000" w:type="pct"/>
            <w:tcBorders>
              <w:top w:val="nil"/>
              <w:left w:val="nil"/>
              <w:bottom w:val="nil"/>
              <w:right w:val="single" w:sz="4" w:space="0" w:color="auto"/>
            </w:tcBorders>
            <w:shd w:val="clear" w:color="auto" w:fill="auto"/>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feel better</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6.20</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2.95</w:t>
            </w:r>
          </w:p>
        </w:tc>
        <w:tc>
          <w:tcPr>
            <w:tcW w:w="1000" w:type="pct"/>
            <w:tcBorders>
              <w:top w:val="nil"/>
              <w:left w:val="nil"/>
              <w:bottom w:val="nil"/>
              <w:right w:val="nil"/>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23</w:t>
            </w:r>
          </w:p>
        </w:tc>
      </w:tr>
      <w:tr w:rsidR="00FB1389" w:rsidRPr="00D728B4" w:rsidTr="00D05EBD">
        <w:trPr>
          <w:trHeight w:val="300"/>
        </w:trPr>
        <w:tc>
          <w:tcPr>
            <w:tcW w:w="1000" w:type="pct"/>
            <w:vMerge/>
            <w:tcBorders>
              <w:top w:val="nil"/>
              <w:left w:val="nil"/>
              <w:bottom w:val="double" w:sz="6" w:space="0" w:color="000000"/>
              <w:right w:val="single" w:sz="4" w:space="0" w:color="auto"/>
            </w:tcBorders>
            <w:vAlign w:val="center"/>
            <w:hideMark/>
          </w:tcPr>
          <w:p w:rsidR="00FB1389" w:rsidRPr="00D728B4" w:rsidRDefault="00FB1389" w:rsidP="00D728B4">
            <w:pPr>
              <w:spacing w:after="0" w:line="240" w:lineRule="auto"/>
              <w:jc w:val="both"/>
              <w:rPr>
                <w:rFonts w:eastAsia="Times New Roman" w:cs="Arial"/>
                <w:color w:val="000000"/>
              </w:rPr>
            </w:pPr>
          </w:p>
        </w:tc>
        <w:tc>
          <w:tcPr>
            <w:tcW w:w="1000" w:type="pct"/>
            <w:tcBorders>
              <w:top w:val="nil"/>
              <w:left w:val="nil"/>
              <w:bottom w:val="nil"/>
              <w:right w:val="single" w:sz="4" w:space="0" w:color="auto"/>
            </w:tcBorders>
            <w:shd w:val="clear" w:color="auto" w:fill="auto"/>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feel worse</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1.70</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0.63</w:t>
            </w:r>
          </w:p>
        </w:tc>
        <w:tc>
          <w:tcPr>
            <w:tcW w:w="1000" w:type="pct"/>
            <w:tcBorders>
              <w:top w:val="nil"/>
              <w:left w:val="nil"/>
              <w:bottom w:val="nil"/>
              <w:right w:val="nil"/>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10</w:t>
            </w:r>
          </w:p>
        </w:tc>
      </w:tr>
      <w:tr w:rsidR="00FB1389" w:rsidRPr="00D728B4" w:rsidTr="00D05EBD">
        <w:trPr>
          <w:trHeight w:val="300"/>
        </w:trPr>
        <w:tc>
          <w:tcPr>
            <w:tcW w:w="1000" w:type="pct"/>
            <w:vMerge/>
            <w:tcBorders>
              <w:top w:val="nil"/>
              <w:left w:val="nil"/>
              <w:bottom w:val="double" w:sz="6" w:space="0" w:color="000000"/>
              <w:right w:val="single" w:sz="4" w:space="0" w:color="auto"/>
            </w:tcBorders>
            <w:vAlign w:val="center"/>
            <w:hideMark/>
          </w:tcPr>
          <w:p w:rsidR="00FB1389" w:rsidRPr="00D728B4" w:rsidRDefault="00FB1389" w:rsidP="00D728B4">
            <w:pPr>
              <w:spacing w:after="0" w:line="240" w:lineRule="auto"/>
              <w:jc w:val="both"/>
              <w:rPr>
                <w:rFonts w:eastAsia="Times New Roman" w:cs="Arial"/>
                <w:color w:val="000000"/>
              </w:rPr>
            </w:pPr>
          </w:p>
        </w:tc>
        <w:tc>
          <w:tcPr>
            <w:tcW w:w="1000" w:type="pct"/>
            <w:tcBorders>
              <w:top w:val="nil"/>
              <w:left w:val="nil"/>
              <w:bottom w:val="nil"/>
              <w:right w:val="single" w:sz="4" w:space="0" w:color="auto"/>
            </w:tcBorders>
            <w:shd w:val="clear" w:color="auto" w:fill="auto"/>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No goal</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3.10</w:t>
            </w:r>
          </w:p>
        </w:tc>
        <w:tc>
          <w:tcPr>
            <w:tcW w:w="1000" w:type="pct"/>
            <w:tcBorders>
              <w:top w:val="nil"/>
              <w:left w:val="nil"/>
              <w:bottom w:val="nil"/>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2.49</w:t>
            </w:r>
          </w:p>
        </w:tc>
        <w:tc>
          <w:tcPr>
            <w:tcW w:w="1000" w:type="pct"/>
            <w:tcBorders>
              <w:top w:val="nil"/>
              <w:left w:val="nil"/>
              <w:bottom w:val="nil"/>
              <w:right w:val="nil"/>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30</w:t>
            </w:r>
          </w:p>
        </w:tc>
      </w:tr>
      <w:tr w:rsidR="00FB1389" w:rsidRPr="00D728B4" w:rsidTr="00D05EBD">
        <w:trPr>
          <w:trHeight w:val="315"/>
        </w:trPr>
        <w:tc>
          <w:tcPr>
            <w:tcW w:w="1000" w:type="pct"/>
            <w:vMerge/>
            <w:tcBorders>
              <w:top w:val="nil"/>
              <w:left w:val="nil"/>
              <w:bottom w:val="double" w:sz="6" w:space="0" w:color="000000"/>
              <w:right w:val="single" w:sz="4" w:space="0" w:color="auto"/>
            </w:tcBorders>
            <w:vAlign w:val="center"/>
            <w:hideMark/>
          </w:tcPr>
          <w:p w:rsidR="00FB1389" w:rsidRPr="00D728B4" w:rsidRDefault="00FB1389" w:rsidP="00D728B4">
            <w:pPr>
              <w:spacing w:after="0" w:line="240" w:lineRule="auto"/>
              <w:jc w:val="both"/>
              <w:rPr>
                <w:rFonts w:eastAsia="Times New Roman" w:cs="Arial"/>
                <w:color w:val="000000"/>
              </w:rPr>
            </w:pPr>
          </w:p>
        </w:tc>
        <w:tc>
          <w:tcPr>
            <w:tcW w:w="1000" w:type="pct"/>
            <w:tcBorders>
              <w:top w:val="nil"/>
              <w:left w:val="nil"/>
              <w:bottom w:val="double" w:sz="6" w:space="0" w:color="auto"/>
              <w:right w:val="single" w:sz="4" w:space="0" w:color="auto"/>
            </w:tcBorders>
            <w:shd w:val="clear" w:color="auto" w:fill="auto"/>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Total</w:t>
            </w:r>
          </w:p>
        </w:tc>
        <w:tc>
          <w:tcPr>
            <w:tcW w:w="1000" w:type="pct"/>
            <w:tcBorders>
              <w:top w:val="nil"/>
              <w:left w:val="nil"/>
              <w:bottom w:val="double" w:sz="6" w:space="0" w:color="auto"/>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4.01</w:t>
            </w:r>
          </w:p>
        </w:tc>
        <w:tc>
          <w:tcPr>
            <w:tcW w:w="1000" w:type="pct"/>
            <w:tcBorders>
              <w:top w:val="nil"/>
              <w:left w:val="nil"/>
              <w:bottom w:val="double" w:sz="6" w:space="0" w:color="auto"/>
              <w:right w:val="single" w:sz="4" w:space="0" w:color="auto"/>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3.01</w:t>
            </w:r>
          </w:p>
        </w:tc>
        <w:tc>
          <w:tcPr>
            <w:tcW w:w="1000" w:type="pct"/>
            <w:tcBorders>
              <w:top w:val="nil"/>
              <w:left w:val="nil"/>
              <w:bottom w:val="double" w:sz="6" w:space="0" w:color="auto"/>
              <w:right w:val="nil"/>
            </w:tcBorders>
            <w:shd w:val="clear" w:color="auto" w:fill="auto"/>
            <w:noWrap/>
            <w:vAlign w:val="center"/>
            <w:hideMark/>
          </w:tcPr>
          <w:p w:rsidR="00FB1389" w:rsidRPr="00D728B4" w:rsidRDefault="00FB1389" w:rsidP="00D728B4">
            <w:pPr>
              <w:spacing w:after="0" w:line="240" w:lineRule="auto"/>
              <w:jc w:val="both"/>
              <w:rPr>
                <w:rFonts w:eastAsia="Times New Roman" w:cs="Arial"/>
                <w:color w:val="000000"/>
              </w:rPr>
            </w:pPr>
            <w:r w:rsidRPr="00D728B4">
              <w:rPr>
                <w:rFonts w:eastAsia="Times New Roman" w:cs="Arial"/>
                <w:color w:val="000000"/>
              </w:rPr>
              <w:t>63</w:t>
            </w:r>
          </w:p>
        </w:tc>
      </w:tr>
    </w:tbl>
    <w:p w:rsidR="00FB1389" w:rsidRPr="00D05EBD" w:rsidRDefault="00FB1389" w:rsidP="00AE640B">
      <w:pPr>
        <w:spacing w:before="240" w:line="480" w:lineRule="auto"/>
        <w:jc w:val="both"/>
        <w:rPr>
          <w:rFonts w:cs="Times New Roman"/>
          <w:sz w:val="24"/>
          <w:szCs w:val="24"/>
        </w:rPr>
      </w:pPr>
    </w:p>
    <w:p w:rsidR="00FB1389" w:rsidRPr="00D05EBD" w:rsidRDefault="00FB1389" w:rsidP="00AE640B">
      <w:pPr>
        <w:spacing w:before="240" w:line="480" w:lineRule="auto"/>
        <w:ind w:firstLine="720"/>
        <w:jc w:val="both"/>
        <w:rPr>
          <w:rFonts w:cs="Times New Roman"/>
          <w:sz w:val="24"/>
          <w:szCs w:val="24"/>
        </w:rPr>
      </w:pPr>
      <w:r w:rsidRPr="00D05EBD">
        <w:rPr>
          <w:rFonts w:cs="Times New Roman"/>
          <w:sz w:val="24"/>
          <w:szCs w:val="24"/>
        </w:rPr>
        <w:t>A first one-way between subjects ANOVA conducted to compare the effect of choice of goal (improve, worsen, no goal) on URPE</w:t>
      </w:r>
      <w:r w:rsidR="00C238CF">
        <w:rPr>
          <w:rFonts w:cs="Times New Roman"/>
          <w:sz w:val="24"/>
          <w:szCs w:val="24"/>
        </w:rPr>
        <w:t>,</w:t>
      </w:r>
      <w:r w:rsidRPr="00D05EBD">
        <w:rPr>
          <w:rFonts w:cs="Times New Roman"/>
          <w:sz w:val="24"/>
          <w:szCs w:val="24"/>
        </w:rPr>
        <w:t xml:space="preserve"> revealed a significant effect the choice of goal over the number of URPE strategies participants used in their letters </w:t>
      </w:r>
      <w:r w:rsidRPr="00D05EBD">
        <w:rPr>
          <w:rFonts w:cs="Times New Roman"/>
          <w:i/>
          <w:sz w:val="24"/>
          <w:szCs w:val="24"/>
        </w:rPr>
        <w:t>F</w:t>
      </w:r>
      <w:r w:rsidRPr="00D05EBD">
        <w:rPr>
          <w:rFonts w:cs="Times New Roman"/>
          <w:sz w:val="24"/>
          <w:szCs w:val="24"/>
        </w:rPr>
        <w:t xml:space="preserve">(2,60) = 6.32, </w:t>
      </w:r>
      <w:r w:rsidRPr="00D05EBD">
        <w:rPr>
          <w:rFonts w:cs="Times New Roman"/>
          <w:i/>
          <w:sz w:val="24"/>
          <w:szCs w:val="24"/>
        </w:rPr>
        <w:t xml:space="preserve">p </w:t>
      </w:r>
      <w:r w:rsidRPr="00D05EBD">
        <w:rPr>
          <w:rFonts w:cs="Times New Roman"/>
          <w:sz w:val="24"/>
          <w:szCs w:val="24"/>
        </w:rPr>
        <w:t xml:space="preserve">&lt; .01, </w:t>
      </w:r>
      <w:r w:rsidRPr="004B2694">
        <w:rPr>
          <w:rFonts w:cs="Times New Roman"/>
          <w:i/>
          <w:sz w:val="24"/>
          <w:szCs w:val="24"/>
        </w:rPr>
        <w:t xml:space="preserve">d </w:t>
      </w:r>
      <w:r w:rsidRPr="004B2694">
        <w:rPr>
          <w:rFonts w:cs="Times New Roman"/>
          <w:sz w:val="24"/>
          <w:szCs w:val="24"/>
        </w:rPr>
        <w:t>=</w:t>
      </w:r>
      <w:r w:rsidR="004B2694">
        <w:rPr>
          <w:rFonts w:cs="Times New Roman"/>
          <w:sz w:val="24"/>
          <w:szCs w:val="24"/>
        </w:rPr>
        <w:t xml:space="preserve"> -.46</w:t>
      </w:r>
      <w:r w:rsidRPr="00D05EBD">
        <w:rPr>
          <w:rFonts w:cs="Times New Roman"/>
          <w:sz w:val="24"/>
          <w:szCs w:val="24"/>
        </w:rPr>
        <w:t xml:space="preserve">. Participants who were in the no choice goal and participants who chose to improve the emotions of their ex-partner </w:t>
      </w:r>
      <w:r w:rsidRPr="00D05EBD">
        <w:rPr>
          <w:rFonts w:cs="Times New Roman"/>
          <w:i/>
          <w:sz w:val="24"/>
          <w:szCs w:val="24"/>
        </w:rPr>
        <w:t xml:space="preserve">M </w:t>
      </w:r>
      <w:r w:rsidRPr="00D05EBD">
        <w:rPr>
          <w:rFonts w:cs="Times New Roman"/>
          <w:sz w:val="24"/>
          <w:szCs w:val="24"/>
        </w:rPr>
        <w:t xml:space="preserve">= 4.70, </w:t>
      </w:r>
      <w:r w:rsidRPr="00D05EBD">
        <w:rPr>
          <w:rFonts w:cs="Times New Roman"/>
          <w:i/>
          <w:sz w:val="24"/>
          <w:szCs w:val="24"/>
        </w:rPr>
        <w:t xml:space="preserve">SD </w:t>
      </w:r>
      <w:r w:rsidRPr="00D05EBD">
        <w:rPr>
          <w:rFonts w:cs="Times New Roman"/>
          <w:sz w:val="24"/>
          <w:szCs w:val="24"/>
        </w:rPr>
        <w:t>= 3.54,</w:t>
      </w:r>
      <w:r w:rsidRPr="00D05EBD">
        <w:rPr>
          <w:rFonts w:cs="Times New Roman"/>
          <w:i/>
          <w:sz w:val="24"/>
          <w:szCs w:val="24"/>
        </w:rPr>
        <w:t xml:space="preserve"> M </w:t>
      </w:r>
      <w:r w:rsidRPr="00D05EBD">
        <w:rPr>
          <w:rFonts w:cs="Times New Roman"/>
          <w:sz w:val="24"/>
          <w:szCs w:val="24"/>
        </w:rPr>
        <w:t xml:space="preserve">= 4.39, </w:t>
      </w:r>
      <w:r w:rsidRPr="00D05EBD">
        <w:rPr>
          <w:rFonts w:cs="Times New Roman"/>
          <w:i/>
          <w:sz w:val="24"/>
          <w:szCs w:val="24"/>
        </w:rPr>
        <w:t xml:space="preserve">SD </w:t>
      </w:r>
      <w:r w:rsidRPr="00D05EBD">
        <w:rPr>
          <w:rFonts w:cs="Times New Roman"/>
          <w:sz w:val="24"/>
          <w:szCs w:val="24"/>
        </w:rPr>
        <w:t xml:space="preserve">= 2.20 respectively, use more URPE strategies on their letter than participants who chose to worsen the emotions of their ex-partner </w:t>
      </w:r>
      <w:r w:rsidRPr="00D05EBD">
        <w:rPr>
          <w:rFonts w:cs="Times New Roman"/>
          <w:i/>
          <w:sz w:val="24"/>
          <w:szCs w:val="24"/>
        </w:rPr>
        <w:t xml:space="preserve">M </w:t>
      </w:r>
      <w:r w:rsidRPr="00D05EBD">
        <w:rPr>
          <w:rFonts w:cs="Times New Roman"/>
          <w:sz w:val="24"/>
          <w:szCs w:val="24"/>
        </w:rPr>
        <w:t xml:space="preserve">= 1.15, </w:t>
      </w:r>
      <w:r w:rsidRPr="00D05EBD">
        <w:rPr>
          <w:rFonts w:cs="Times New Roman"/>
          <w:i/>
          <w:sz w:val="24"/>
          <w:szCs w:val="24"/>
        </w:rPr>
        <w:t xml:space="preserve">SD </w:t>
      </w:r>
      <w:r w:rsidRPr="00D05EBD">
        <w:rPr>
          <w:rFonts w:cs="Times New Roman"/>
          <w:sz w:val="24"/>
          <w:szCs w:val="24"/>
        </w:rPr>
        <w:t xml:space="preserve">= .34. </w:t>
      </w:r>
    </w:p>
    <w:p w:rsidR="00FB1389" w:rsidRPr="00D05EBD" w:rsidRDefault="00FB1389" w:rsidP="00AE640B">
      <w:pPr>
        <w:spacing w:before="240" w:line="480" w:lineRule="auto"/>
        <w:ind w:firstLine="720"/>
        <w:jc w:val="both"/>
        <w:rPr>
          <w:rFonts w:cs="Times New Roman"/>
          <w:sz w:val="24"/>
          <w:szCs w:val="24"/>
        </w:rPr>
      </w:pPr>
      <w:r w:rsidRPr="00D05EBD">
        <w:rPr>
          <w:rFonts w:cs="Times New Roman"/>
          <w:sz w:val="24"/>
          <w:szCs w:val="24"/>
        </w:rPr>
        <w:t xml:space="preserve">A second one-way between subjects ANOVA with choice of goal (improve, worsen, no goal), and URNE as the DV found a significant effect of the choice of goal on URNE </w:t>
      </w:r>
      <w:r w:rsidRPr="00D05EBD">
        <w:rPr>
          <w:rFonts w:cs="Times New Roman"/>
          <w:i/>
          <w:sz w:val="24"/>
          <w:szCs w:val="24"/>
        </w:rPr>
        <w:t>F</w:t>
      </w:r>
      <w:r w:rsidRPr="00D05EBD">
        <w:rPr>
          <w:rFonts w:cs="Times New Roman"/>
          <w:sz w:val="24"/>
          <w:szCs w:val="24"/>
        </w:rPr>
        <w:t xml:space="preserve">(2,60) = 21.42, </w:t>
      </w:r>
      <w:r w:rsidRPr="00D05EBD">
        <w:rPr>
          <w:rFonts w:cs="Times New Roman"/>
          <w:i/>
          <w:sz w:val="24"/>
          <w:szCs w:val="24"/>
        </w:rPr>
        <w:t xml:space="preserve">p </w:t>
      </w:r>
      <w:r w:rsidRPr="00D05EBD">
        <w:rPr>
          <w:rFonts w:cs="Times New Roman"/>
          <w:sz w:val="24"/>
          <w:szCs w:val="24"/>
        </w:rPr>
        <w:t>&lt; .001,</w:t>
      </w:r>
      <w:r w:rsidRPr="004B2694">
        <w:rPr>
          <w:rFonts w:cs="Times New Roman"/>
          <w:sz w:val="24"/>
          <w:szCs w:val="24"/>
        </w:rPr>
        <w:t xml:space="preserve"> </w:t>
      </w:r>
      <w:r w:rsidRPr="004B2694">
        <w:rPr>
          <w:rFonts w:cs="Times New Roman"/>
          <w:i/>
          <w:sz w:val="24"/>
          <w:szCs w:val="24"/>
        </w:rPr>
        <w:t xml:space="preserve">d </w:t>
      </w:r>
      <w:r w:rsidRPr="004B2694">
        <w:rPr>
          <w:rFonts w:cs="Times New Roman"/>
          <w:sz w:val="24"/>
          <w:szCs w:val="24"/>
        </w:rPr>
        <w:t xml:space="preserve">= </w:t>
      </w:r>
      <w:r w:rsidR="004B2694">
        <w:rPr>
          <w:rFonts w:cs="Times New Roman"/>
          <w:sz w:val="24"/>
          <w:szCs w:val="24"/>
        </w:rPr>
        <w:t xml:space="preserve">-.27. From </w:t>
      </w:r>
      <w:r w:rsidR="00412D0A">
        <w:rPr>
          <w:rFonts w:cs="Times New Roman"/>
          <w:sz w:val="24"/>
          <w:szCs w:val="24"/>
        </w:rPr>
        <w:t>T</w:t>
      </w:r>
      <w:r w:rsidR="004B2694">
        <w:rPr>
          <w:rFonts w:cs="Times New Roman"/>
          <w:sz w:val="24"/>
          <w:szCs w:val="24"/>
        </w:rPr>
        <w:t xml:space="preserve">able 3.9 it can be seen that participants who chose the worsening IER goal used more worsening IER strategies on their letters to their ex-partners </w:t>
      </w:r>
      <w:r w:rsidR="004B2694" w:rsidRPr="00D05EBD">
        <w:rPr>
          <w:rFonts w:cs="Times New Roman"/>
          <w:i/>
          <w:sz w:val="24"/>
          <w:szCs w:val="24"/>
        </w:rPr>
        <w:t xml:space="preserve">M </w:t>
      </w:r>
      <w:r w:rsidR="004B2694">
        <w:rPr>
          <w:rFonts w:cs="Times New Roman"/>
          <w:sz w:val="24"/>
          <w:szCs w:val="24"/>
        </w:rPr>
        <w:t>= 8</w:t>
      </w:r>
      <w:r w:rsidR="004B2694" w:rsidRPr="00D05EBD">
        <w:rPr>
          <w:rFonts w:cs="Times New Roman"/>
          <w:sz w:val="24"/>
          <w:szCs w:val="24"/>
        </w:rPr>
        <w:t>.</w:t>
      </w:r>
      <w:r w:rsidR="004B2694">
        <w:rPr>
          <w:rFonts w:cs="Times New Roman"/>
          <w:sz w:val="24"/>
          <w:szCs w:val="24"/>
        </w:rPr>
        <w:t>60</w:t>
      </w:r>
      <w:r w:rsidR="004B2694" w:rsidRPr="00D05EBD">
        <w:rPr>
          <w:rFonts w:cs="Times New Roman"/>
          <w:sz w:val="24"/>
          <w:szCs w:val="24"/>
        </w:rPr>
        <w:t xml:space="preserve">, </w:t>
      </w:r>
      <w:r w:rsidR="004B2694" w:rsidRPr="00D05EBD">
        <w:rPr>
          <w:rFonts w:cs="Times New Roman"/>
          <w:i/>
          <w:sz w:val="24"/>
          <w:szCs w:val="24"/>
        </w:rPr>
        <w:t xml:space="preserve">SD </w:t>
      </w:r>
      <w:r w:rsidR="004B2694" w:rsidRPr="00D05EBD">
        <w:rPr>
          <w:rFonts w:cs="Times New Roman"/>
          <w:sz w:val="24"/>
          <w:szCs w:val="24"/>
        </w:rPr>
        <w:t xml:space="preserve">= </w:t>
      </w:r>
      <w:r w:rsidR="004B2694">
        <w:rPr>
          <w:rFonts w:cs="Times New Roman"/>
          <w:sz w:val="24"/>
          <w:szCs w:val="24"/>
        </w:rPr>
        <w:t>2</w:t>
      </w:r>
      <w:r w:rsidR="004B2694" w:rsidRPr="00D05EBD">
        <w:rPr>
          <w:rFonts w:cs="Times New Roman"/>
          <w:sz w:val="24"/>
          <w:szCs w:val="24"/>
        </w:rPr>
        <w:t>.</w:t>
      </w:r>
      <w:r w:rsidR="004B2694">
        <w:rPr>
          <w:rFonts w:cs="Times New Roman"/>
          <w:sz w:val="24"/>
          <w:szCs w:val="24"/>
        </w:rPr>
        <w:t xml:space="preserve">44, than participants who chose to make their ex-partner feel better </w:t>
      </w:r>
      <w:r w:rsidR="004B2694" w:rsidRPr="00D05EBD">
        <w:rPr>
          <w:rFonts w:cs="Times New Roman"/>
          <w:i/>
          <w:sz w:val="24"/>
          <w:szCs w:val="24"/>
        </w:rPr>
        <w:t xml:space="preserve">M </w:t>
      </w:r>
      <w:r w:rsidR="004B2694" w:rsidRPr="00D05EBD">
        <w:rPr>
          <w:rFonts w:cs="Times New Roman"/>
          <w:sz w:val="24"/>
          <w:szCs w:val="24"/>
        </w:rPr>
        <w:t xml:space="preserve">= </w:t>
      </w:r>
      <w:r w:rsidR="004B2694">
        <w:rPr>
          <w:rFonts w:cs="Times New Roman"/>
          <w:sz w:val="24"/>
          <w:szCs w:val="24"/>
        </w:rPr>
        <w:t>1.93</w:t>
      </w:r>
      <w:r w:rsidR="004B2694" w:rsidRPr="00D05EBD">
        <w:rPr>
          <w:rFonts w:cs="Times New Roman"/>
          <w:sz w:val="24"/>
          <w:szCs w:val="24"/>
        </w:rPr>
        <w:t xml:space="preserve">, </w:t>
      </w:r>
      <w:r w:rsidR="004B2694" w:rsidRPr="00D05EBD">
        <w:rPr>
          <w:rFonts w:cs="Times New Roman"/>
          <w:i/>
          <w:sz w:val="24"/>
          <w:szCs w:val="24"/>
        </w:rPr>
        <w:t xml:space="preserve">SD </w:t>
      </w:r>
      <w:r w:rsidR="004B2694" w:rsidRPr="00D05EBD">
        <w:rPr>
          <w:rFonts w:cs="Times New Roman"/>
          <w:sz w:val="24"/>
          <w:szCs w:val="24"/>
        </w:rPr>
        <w:t xml:space="preserve">= </w:t>
      </w:r>
      <w:r w:rsidR="004B2694">
        <w:rPr>
          <w:rFonts w:cs="Times New Roman"/>
          <w:sz w:val="24"/>
          <w:szCs w:val="24"/>
        </w:rPr>
        <w:t>1</w:t>
      </w:r>
      <w:r w:rsidR="004B2694" w:rsidRPr="00D05EBD">
        <w:rPr>
          <w:rFonts w:cs="Times New Roman"/>
          <w:sz w:val="24"/>
          <w:szCs w:val="24"/>
        </w:rPr>
        <w:t>.</w:t>
      </w:r>
      <w:r w:rsidR="004B2694">
        <w:rPr>
          <w:rFonts w:cs="Times New Roman"/>
          <w:sz w:val="24"/>
          <w:szCs w:val="24"/>
        </w:rPr>
        <w:t xml:space="preserve">75 and participants who were not offered an IER-goal choice </w:t>
      </w:r>
      <w:r w:rsidR="004B2694" w:rsidRPr="00D05EBD">
        <w:rPr>
          <w:rFonts w:cs="Times New Roman"/>
          <w:i/>
          <w:sz w:val="24"/>
          <w:szCs w:val="24"/>
        </w:rPr>
        <w:t xml:space="preserve">M </w:t>
      </w:r>
      <w:r w:rsidR="004B2694" w:rsidRPr="00D05EBD">
        <w:rPr>
          <w:rFonts w:cs="Times New Roman"/>
          <w:sz w:val="24"/>
          <w:szCs w:val="24"/>
        </w:rPr>
        <w:t xml:space="preserve">= </w:t>
      </w:r>
      <w:r w:rsidR="004B2694">
        <w:rPr>
          <w:rFonts w:cs="Times New Roman"/>
          <w:sz w:val="24"/>
          <w:szCs w:val="24"/>
        </w:rPr>
        <w:t>3.95</w:t>
      </w:r>
      <w:r w:rsidR="004B2694" w:rsidRPr="00D05EBD">
        <w:rPr>
          <w:rFonts w:cs="Times New Roman"/>
          <w:sz w:val="24"/>
          <w:szCs w:val="24"/>
        </w:rPr>
        <w:t xml:space="preserve">, </w:t>
      </w:r>
      <w:r w:rsidR="004B2694" w:rsidRPr="00D05EBD">
        <w:rPr>
          <w:rFonts w:cs="Times New Roman"/>
          <w:i/>
          <w:sz w:val="24"/>
          <w:szCs w:val="24"/>
        </w:rPr>
        <w:t xml:space="preserve">SD </w:t>
      </w:r>
      <w:r w:rsidR="004B2694" w:rsidRPr="00D05EBD">
        <w:rPr>
          <w:rFonts w:cs="Times New Roman"/>
          <w:sz w:val="24"/>
          <w:szCs w:val="24"/>
        </w:rPr>
        <w:t xml:space="preserve">= </w:t>
      </w:r>
      <w:r w:rsidR="004B2694">
        <w:rPr>
          <w:rFonts w:cs="Times New Roman"/>
          <w:sz w:val="24"/>
          <w:szCs w:val="24"/>
        </w:rPr>
        <w:t>3</w:t>
      </w:r>
      <w:r w:rsidR="004B2694" w:rsidRPr="00D05EBD">
        <w:rPr>
          <w:rFonts w:cs="Times New Roman"/>
          <w:sz w:val="24"/>
          <w:szCs w:val="24"/>
        </w:rPr>
        <w:t>.</w:t>
      </w:r>
      <w:r w:rsidR="004B2694">
        <w:rPr>
          <w:rFonts w:cs="Times New Roman"/>
          <w:sz w:val="24"/>
          <w:szCs w:val="24"/>
        </w:rPr>
        <w:t xml:space="preserve">28. </w:t>
      </w:r>
    </w:p>
    <w:p w:rsidR="00C06FB0" w:rsidRDefault="00FB1389" w:rsidP="007B247A">
      <w:pPr>
        <w:spacing w:before="240" w:line="480" w:lineRule="auto"/>
        <w:ind w:firstLine="720"/>
        <w:jc w:val="both"/>
        <w:rPr>
          <w:rFonts w:cs="Times New Roman"/>
          <w:sz w:val="24"/>
          <w:szCs w:val="24"/>
        </w:rPr>
      </w:pPr>
      <w:r w:rsidRPr="00D05EBD">
        <w:rPr>
          <w:rFonts w:cs="Times New Roman"/>
          <w:sz w:val="24"/>
          <w:szCs w:val="24"/>
        </w:rPr>
        <w:lastRenderedPageBreak/>
        <w:t xml:space="preserve">Finally, a third one-way ANOVA was used to explore the choice of goal (improve, worsen, no goal) on </w:t>
      </w:r>
      <w:r w:rsidR="00412D0A">
        <w:rPr>
          <w:rFonts w:cs="Times New Roman"/>
          <w:sz w:val="24"/>
          <w:szCs w:val="24"/>
        </w:rPr>
        <w:t xml:space="preserve">the </w:t>
      </w:r>
      <w:r w:rsidR="006C6A32">
        <w:rPr>
          <w:rFonts w:cs="Times New Roman"/>
          <w:sz w:val="24"/>
          <w:szCs w:val="24"/>
        </w:rPr>
        <w:t>participants’</w:t>
      </w:r>
      <w:r w:rsidR="00412D0A">
        <w:rPr>
          <w:rFonts w:cs="Times New Roman"/>
          <w:sz w:val="24"/>
          <w:szCs w:val="24"/>
        </w:rPr>
        <w:t xml:space="preserve"> frequency of use of the </w:t>
      </w:r>
      <w:r w:rsidRPr="00D05EBD">
        <w:rPr>
          <w:rFonts w:cs="Times New Roman"/>
          <w:sz w:val="24"/>
          <w:szCs w:val="24"/>
        </w:rPr>
        <w:t xml:space="preserve">DRNE strategy. There was a significant effect of the choice of goal over the use of DRNE </w:t>
      </w:r>
      <w:r w:rsidRPr="00D05EBD">
        <w:rPr>
          <w:rFonts w:cs="Times New Roman"/>
          <w:i/>
          <w:sz w:val="24"/>
          <w:szCs w:val="24"/>
        </w:rPr>
        <w:t>F</w:t>
      </w:r>
      <w:r w:rsidRPr="00D05EBD">
        <w:rPr>
          <w:rFonts w:cs="Times New Roman"/>
          <w:sz w:val="24"/>
          <w:szCs w:val="24"/>
        </w:rPr>
        <w:t xml:space="preserve">(2,60) = 15.06, </w:t>
      </w:r>
      <w:r w:rsidRPr="00D05EBD">
        <w:rPr>
          <w:rFonts w:cs="Times New Roman"/>
          <w:i/>
          <w:sz w:val="24"/>
          <w:szCs w:val="24"/>
        </w:rPr>
        <w:t xml:space="preserve">p </w:t>
      </w:r>
      <w:r w:rsidRPr="00D05EBD">
        <w:rPr>
          <w:rFonts w:cs="Times New Roman"/>
          <w:sz w:val="24"/>
          <w:szCs w:val="24"/>
        </w:rPr>
        <w:t>&lt; .001</w:t>
      </w:r>
      <w:r w:rsidRPr="004B2694">
        <w:rPr>
          <w:rFonts w:cs="Times New Roman"/>
          <w:sz w:val="24"/>
          <w:szCs w:val="24"/>
        </w:rPr>
        <w:t xml:space="preserve">, </w:t>
      </w:r>
      <w:r w:rsidRPr="004B2694">
        <w:rPr>
          <w:rFonts w:cs="Times New Roman"/>
          <w:i/>
          <w:sz w:val="24"/>
          <w:szCs w:val="24"/>
        </w:rPr>
        <w:t xml:space="preserve">d </w:t>
      </w:r>
      <w:r w:rsidRPr="004B2694">
        <w:rPr>
          <w:rFonts w:cs="Times New Roman"/>
          <w:sz w:val="24"/>
          <w:szCs w:val="24"/>
        </w:rPr>
        <w:t xml:space="preserve">= </w:t>
      </w:r>
      <w:r w:rsidR="004B2694">
        <w:rPr>
          <w:rFonts w:cs="Times New Roman"/>
          <w:sz w:val="24"/>
          <w:szCs w:val="24"/>
        </w:rPr>
        <w:t>.69</w:t>
      </w:r>
      <w:r w:rsidR="00412D0A">
        <w:rPr>
          <w:rFonts w:cs="Times New Roman"/>
          <w:sz w:val="24"/>
          <w:szCs w:val="24"/>
        </w:rPr>
        <w:t xml:space="preserve">. From Table 3.9 it can be seen that participants who chose to make their ex-partner feel good used more DRNE strategies </w:t>
      </w:r>
      <w:r w:rsidR="00412D0A" w:rsidRPr="00D05EBD">
        <w:rPr>
          <w:rFonts w:cs="Times New Roman"/>
          <w:i/>
          <w:sz w:val="24"/>
          <w:szCs w:val="24"/>
        </w:rPr>
        <w:t xml:space="preserve">M </w:t>
      </w:r>
      <w:r w:rsidR="00412D0A" w:rsidRPr="00D05EBD">
        <w:rPr>
          <w:rFonts w:cs="Times New Roman"/>
          <w:sz w:val="24"/>
          <w:szCs w:val="24"/>
        </w:rPr>
        <w:t xml:space="preserve">= </w:t>
      </w:r>
      <w:r w:rsidR="00412D0A">
        <w:rPr>
          <w:rFonts w:cs="Times New Roman"/>
          <w:sz w:val="24"/>
          <w:szCs w:val="24"/>
        </w:rPr>
        <w:t>6.20</w:t>
      </w:r>
      <w:r w:rsidR="00412D0A" w:rsidRPr="00D05EBD">
        <w:rPr>
          <w:rFonts w:cs="Times New Roman"/>
          <w:sz w:val="24"/>
          <w:szCs w:val="24"/>
        </w:rPr>
        <w:t xml:space="preserve">, </w:t>
      </w:r>
      <w:r w:rsidR="00412D0A" w:rsidRPr="00D05EBD">
        <w:rPr>
          <w:rFonts w:cs="Times New Roman"/>
          <w:i/>
          <w:sz w:val="24"/>
          <w:szCs w:val="24"/>
        </w:rPr>
        <w:t xml:space="preserve">SD </w:t>
      </w:r>
      <w:r w:rsidR="00412D0A" w:rsidRPr="00D05EBD">
        <w:rPr>
          <w:rFonts w:cs="Times New Roman"/>
          <w:sz w:val="24"/>
          <w:szCs w:val="24"/>
        </w:rPr>
        <w:t xml:space="preserve">= </w:t>
      </w:r>
      <w:r w:rsidR="00412D0A">
        <w:rPr>
          <w:rFonts w:cs="Times New Roman"/>
          <w:sz w:val="24"/>
          <w:szCs w:val="24"/>
        </w:rPr>
        <w:t>2</w:t>
      </w:r>
      <w:r w:rsidR="00412D0A" w:rsidRPr="00D05EBD">
        <w:rPr>
          <w:rFonts w:cs="Times New Roman"/>
          <w:sz w:val="24"/>
          <w:szCs w:val="24"/>
        </w:rPr>
        <w:t>.</w:t>
      </w:r>
      <w:r w:rsidR="00412D0A">
        <w:rPr>
          <w:rFonts w:cs="Times New Roman"/>
          <w:sz w:val="24"/>
          <w:szCs w:val="24"/>
        </w:rPr>
        <w:t xml:space="preserve">95 than participants who chose the worsening IER-goal </w:t>
      </w:r>
      <w:r w:rsidR="00412D0A" w:rsidRPr="00D05EBD">
        <w:rPr>
          <w:rFonts w:cs="Times New Roman"/>
          <w:i/>
          <w:sz w:val="24"/>
          <w:szCs w:val="24"/>
        </w:rPr>
        <w:t xml:space="preserve">M </w:t>
      </w:r>
      <w:r w:rsidR="00412D0A" w:rsidRPr="00D05EBD">
        <w:rPr>
          <w:rFonts w:cs="Times New Roman"/>
          <w:sz w:val="24"/>
          <w:szCs w:val="24"/>
        </w:rPr>
        <w:t>= 1.</w:t>
      </w:r>
      <w:r w:rsidR="00412D0A">
        <w:rPr>
          <w:rFonts w:cs="Times New Roman"/>
          <w:sz w:val="24"/>
          <w:szCs w:val="24"/>
        </w:rPr>
        <w:t>70</w:t>
      </w:r>
      <w:r w:rsidR="00412D0A" w:rsidRPr="00D05EBD">
        <w:rPr>
          <w:rFonts w:cs="Times New Roman"/>
          <w:sz w:val="24"/>
          <w:szCs w:val="24"/>
        </w:rPr>
        <w:t xml:space="preserve">, </w:t>
      </w:r>
      <w:r w:rsidR="00412D0A" w:rsidRPr="00D05EBD">
        <w:rPr>
          <w:rFonts w:cs="Times New Roman"/>
          <w:i/>
          <w:sz w:val="24"/>
          <w:szCs w:val="24"/>
        </w:rPr>
        <w:t xml:space="preserve">SD </w:t>
      </w:r>
      <w:r w:rsidR="00412D0A" w:rsidRPr="00D05EBD">
        <w:rPr>
          <w:rFonts w:cs="Times New Roman"/>
          <w:sz w:val="24"/>
          <w:szCs w:val="24"/>
        </w:rPr>
        <w:t>= .</w:t>
      </w:r>
      <w:r w:rsidR="00412D0A">
        <w:rPr>
          <w:rFonts w:cs="Times New Roman"/>
          <w:sz w:val="24"/>
          <w:szCs w:val="24"/>
        </w:rPr>
        <w:t xml:space="preserve">63, and </w:t>
      </w:r>
      <w:proofErr w:type="spellStart"/>
      <w:r w:rsidR="00412D0A">
        <w:rPr>
          <w:rFonts w:cs="Times New Roman"/>
          <w:sz w:val="24"/>
          <w:szCs w:val="24"/>
        </w:rPr>
        <w:t>than</w:t>
      </w:r>
      <w:proofErr w:type="spellEnd"/>
      <w:r w:rsidR="00412D0A">
        <w:rPr>
          <w:rFonts w:cs="Times New Roman"/>
          <w:sz w:val="24"/>
          <w:szCs w:val="24"/>
        </w:rPr>
        <w:t xml:space="preserve"> participants who were not given an IER-goal option </w:t>
      </w:r>
      <w:r w:rsidR="00412D0A" w:rsidRPr="00D05EBD">
        <w:rPr>
          <w:rFonts w:cs="Times New Roman"/>
          <w:i/>
          <w:sz w:val="24"/>
          <w:szCs w:val="24"/>
        </w:rPr>
        <w:t xml:space="preserve">M </w:t>
      </w:r>
      <w:r w:rsidR="00412D0A" w:rsidRPr="00D05EBD">
        <w:rPr>
          <w:rFonts w:cs="Times New Roman"/>
          <w:sz w:val="24"/>
          <w:szCs w:val="24"/>
        </w:rPr>
        <w:t xml:space="preserve">= </w:t>
      </w:r>
      <w:r w:rsidR="00412D0A">
        <w:rPr>
          <w:rFonts w:cs="Times New Roman"/>
          <w:sz w:val="24"/>
          <w:szCs w:val="24"/>
        </w:rPr>
        <w:t>3.10</w:t>
      </w:r>
      <w:r w:rsidR="00412D0A" w:rsidRPr="00D05EBD">
        <w:rPr>
          <w:rFonts w:cs="Times New Roman"/>
          <w:sz w:val="24"/>
          <w:szCs w:val="24"/>
        </w:rPr>
        <w:t xml:space="preserve">, </w:t>
      </w:r>
      <w:r w:rsidR="00412D0A" w:rsidRPr="00D05EBD">
        <w:rPr>
          <w:rFonts w:cs="Times New Roman"/>
          <w:i/>
          <w:sz w:val="24"/>
          <w:szCs w:val="24"/>
        </w:rPr>
        <w:t xml:space="preserve">SD </w:t>
      </w:r>
      <w:r w:rsidR="00412D0A" w:rsidRPr="00D05EBD">
        <w:rPr>
          <w:rFonts w:cs="Times New Roman"/>
          <w:sz w:val="24"/>
          <w:szCs w:val="24"/>
        </w:rPr>
        <w:t xml:space="preserve">= </w:t>
      </w:r>
      <w:r w:rsidR="00412D0A">
        <w:rPr>
          <w:rFonts w:cs="Times New Roman"/>
          <w:sz w:val="24"/>
          <w:szCs w:val="24"/>
        </w:rPr>
        <w:t>2.49.</w:t>
      </w:r>
    </w:p>
    <w:p w:rsidR="00FB1389" w:rsidRDefault="00FB1389" w:rsidP="007B247A">
      <w:pPr>
        <w:spacing w:before="240" w:line="480" w:lineRule="auto"/>
        <w:ind w:firstLine="720"/>
        <w:jc w:val="both"/>
        <w:rPr>
          <w:rFonts w:cs="Times New Roman"/>
          <w:sz w:val="24"/>
          <w:szCs w:val="24"/>
        </w:rPr>
      </w:pPr>
      <w:r w:rsidRPr="00D05EBD">
        <w:rPr>
          <w:noProof/>
          <w:sz w:val="24"/>
          <w:szCs w:val="24"/>
          <w:lang w:eastAsia="en-GB"/>
        </w:rPr>
        <w:drawing>
          <wp:inline distT="0" distB="0" distL="0" distR="0">
            <wp:extent cx="4520242" cy="2493034"/>
            <wp:effectExtent l="19050" t="0" r="13658" b="2516"/>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83316" w:rsidRPr="00D05EBD" w:rsidRDefault="00883316" w:rsidP="007B247A">
      <w:pPr>
        <w:spacing w:before="240" w:line="480" w:lineRule="auto"/>
        <w:ind w:firstLine="720"/>
        <w:jc w:val="both"/>
        <w:rPr>
          <w:rFonts w:cs="Times New Roman"/>
          <w:sz w:val="24"/>
          <w:szCs w:val="24"/>
        </w:rPr>
      </w:pPr>
    </w:p>
    <w:p w:rsidR="00FB1389" w:rsidRDefault="00FB1389" w:rsidP="00AE640B">
      <w:pPr>
        <w:autoSpaceDE w:val="0"/>
        <w:autoSpaceDN w:val="0"/>
        <w:adjustRightInd w:val="0"/>
        <w:spacing w:after="0" w:line="480" w:lineRule="auto"/>
        <w:jc w:val="both"/>
        <w:rPr>
          <w:rFonts w:cs="Times New Roman"/>
          <w:sz w:val="24"/>
          <w:szCs w:val="24"/>
        </w:rPr>
      </w:pPr>
      <w:r w:rsidRPr="00D05EBD">
        <w:rPr>
          <w:rFonts w:cs="Times New Roman"/>
          <w:sz w:val="24"/>
          <w:szCs w:val="24"/>
        </w:rPr>
        <w:tab/>
      </w:r>
      <w:r w:rsidR="00542264">
        <w:rPr>
          <w:rFonts w:cs="Times New Roman"/>
          <w:sz w:val="24"/>
          <w:szCs w:val="24"/>
        </w:rPr>
        <w:t>Although no prediction was made with respect to the amount of URPE, URNE and DRNE participants would use depending on the IER-goal they chose and were assigned to, it can be observed from the three previous one-way ANOVAs that the frequency with which participants used URPE, URNE and DRNE strategies on their letters depended on the goal the chose</w:t>
      </w:r>
      <w:r w:rsidR="00A50DC6">
        <w:rPr>
          <w:rFonts w:cs="Times New Roman"/>
          <w:sz w:val="24"/>
          <w:szCs w:val="24"/>
        </w:rPr>
        <w:t>.</w:t>
      </w:r>
    </w:p>
    <w:p w:rsidR="00A50DC6" w:rsidRPr="00D05EBD" w:rsidRDefault="00A50DC6" w:rsidP="00AE640B">
      <w:pPr>
        <w:autoSpaceDE w:val="0"/>
        <w:autoSpaceDN w:val="0"/>
        <w:adjustRightInd w:val="0"/>
        <w:spacing w:after="0" w:line="480" w:lineRule="auto"/>
        <w:jc w:val="both"/>
        <w:rPr>
          <w:rFonts w:cs="Times New Roman"/>
          <w:sz w:val="24"/>
          <w:szCs w:val="24"/>
        </w:rPr>
      </w:pP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lastRenderedPageBreak/>
        <w:t>To answer the second hypothesis, whether the choice of goal (make feel better or make feel worse) was affected by the IER priming group participants were assigned to (priming SST or neutral SST) a Chi-square test was conducted.</w:t>
      </w:r>
      <w:r w:rsidR="00C47968">
        <w:rPr>
          <w:rFonts w:cs="Times New Roman"/>
          <w:sz w:val="24"/>
          <w:szCs w:val="24"/>
        </w:rPr>
        <w:t xml:space="preserve"> </w:t>
      </w:r>
      <w:r w:rsidR="00C47968" w:rsidRPr="00D05EBD">
        <w:rPr>
          <w:rFonts w:cs="Times New Roman"/>
          <w:sz w:val="24"/>
          <w:szCs w:val="24"/>
        </w:rPr>
        <w:t xml:space="preserve">There was a </w:t>
      </w:r>
      <w:r w:rsidR="00C47968">
        <w:rPr>
          <w:rFonts w:cs="Times New Roman"/>
          <w:sz w:val="24"/>
          <w:szCs w:val="24"/>
        </w:rPr>
        <w:t>non-</w:t>
      </w:r>
      <w:r w:rsidR="00C47968" w:rsidRPr="00D05EBD">
        <w:rPr>
          <w:rFonts w:cs="Times New Roman"/>
          <w:sz w:val="24"/>
          <w:szCs w:val="24"/>
        </w:rPr>
        <w:t>significant difference in the frequency with which the two goal types were selected, X</w:t>
      </w:r>
      <w:r w:rsidR="00C47968" w:rsidRPr="00D05EBD">
        <w:rPr>
          <w:rFonts w:cs="Times New Roman"/>
          <w:sz w:val="24"/>
          <w:szCs w:val="24"/>
          <w:vertAlign w:val="superscript"/>
        </w:rPr>
        <w:t>2</w:t>
      </w:r>
      <w:r w:rsidR="00C47968" w:rsidRPr="00D05EBD">
        <w:rPr>
          <w:rFonts w:cs="Times New Roman"/>
          <w:sz w:val="24"/>
          <w:szCs w:val="24"/>
        </w:rPr>
        <w:t>(1) =</w:t>
      </w:r>
      <w:r w:rsidR="00C47968">
        <w:rPr>
          <w:rFonts w:cs="Times New Roman"/>
          <w:sz w:val="24"/>
          <w:szCs w:val="24"/>
        </w:rPr>
        <w:t>.</w:t>
      </w:r>
      <w:r w:rsidR="005C03B9">
        <w:rPr>
          <w:rFonts w:cs="Times New Roman"/>
          <w:sz w:val="24"/>
          <w:szCs w:val="24"/>
        </w:rPr>
        <w:t>76</w:t>
      </w:r>
      <w:r w:rsidR="00C47968" w:rsidRPr="00D05EBD">
        <w:rPr>
          <w:rFonts w:cs="Times New Roman"/>
          <w:sz w:val="24"/>
          <w:szCs w:val="24"/>
        </w:rPr>
        <w:t xml:space="preserve">, </w:t>
      </w:r>
      <w:r w:rsidR="00C47968" w:rsidRPr="00D05EBD">
        <w:rPr>
          <w:rFonts w:cs="Times New Roman"/>
          <w:i/>
          <w:sz w:val="24"/>
          <w:szCs w:val="24"/>
        </w:rPr>
        <w:t>p</w:t>
      </w:r>
      <w:r w:rsidR="00C47968">
        <w:rPr>
          <w:rFonts w:cs="Times New Roman"/>
          <w:sz w:val="24"/>
          <w:szCs w:val="24"/>
        </w:rPr>
        <w:t xml:space="preserve"> &gt;</w:t>
      </w:r>
      <w:r w:rsidR="00C47968" w:rsidRPr="00D05EBD">
        <w:rPr>
          <w:rFonts w:cs="Times New Roman"/>
          <w:sz w:val="24"/>
          <w:szCs w:val="24"/>
        </w:rPr>
        <w:t xml:space="preserve"> .05, depending on whether the participants belonged to the primed</w:t>
      </w:r>
      <w:r w:rsidR="009D3923">
        <w:rPr>
          <w:rFonts w:cs="Times New Roman"/>
          <w:sz w:val="24"/>
          <w:szCs w:val="24"/>
        </w:rPr>
        <w:t xml:space="preserve"> (SST with negative primes)</w:t>
      </w:r>
      <w:r w:rsidR="00C47968" w:rsidRPr="00D05EBD">
        <w:rPr>
          <w:rFonts w:cs="Times New Roman"/>
          <w:sz w:val="24"/>
          <w:szCs w:val="24"/>
        </w:rPr>
        <w:t xml:space="preserve"> or the control group</w:t>
      </w:r>
      <w:r w:rsidR="00AB4E89">
        <w:rPr>
          <w:rFonts w:cs="Times New Roman"/>
          <w:sz w:val="24"/>
          <w:szCs w:val="24"/>
        </w:rPr>
        <w:t xml:space="preserve"> (SST with neutral primes)</w:t>
      </w:r>
      <w:r w:rsidR="00C47968" w:rsidRPr="00D05EBD">
        <w:rPr>
          <w:rFonts w:cs="Times New Roman"/>
          <w:sz w:val="24"/>
          <w:szCs w:val="24"/>
        </w:rPr>
        <w:t>.</w:t>
      </w:r>
      <w:r w:rsidR="00EC0A12">
        <w:rPr>
          <w:rFonts w:cs="Times New Roman"/>
          <w:sz w:val="24"/>
          <w:szCs w:val="24"/>
        </w:rPr>
        <w:t xml:space="preserve"> This indicated that, unlike Study 2a, being primed to worsen the emotions of someone else did not affect the participant choice of IER-goal. These results do not support the third hypothesis of the present study, in that participants </w:t>
      </w:r>
      <w:r w:rsidR="00DE5CC8">
        <w:rPr>
          <w:rFonts w:cs="Times New Roman"/>
          <w:sz w:val="24"/>
          <w:szCs w:val="24"/>
        </w:rPr>
        <w:t>primed to worsen the emotions of someone else (condition A) did not select the worsening IER-goal more than participants who were not primed (condition C).</w:t>
      </w:r>
    </w:p>
    <w:p w:rsidR="00FB1389" w:rsidRPr="00D05EBD" w:rsidRDefault="00FB1389" w:rsidP="00DE5CC8">
      <w:pPr>
        <w:spacing w:line="480" w:lineRule="auto"/>
        <w:ind w:firstLine="720"/>
        <w:jc w:val="both"/>
        <w:rPr>
          <w:rFonts w:cs="Times New Roman"/>
          <w:sz w:val="24"/>
          <w:szCs w:val="24"/>
        </w:rPr>
      </w:pPr>
      <w:r w:rsidRPr="00D05EBD">
        <w:rPr>
          <w:rFonts w:cs="Times New Roman"/>
          <w:sz w:val="24"/>
          <w:szCs w:val="24"/>
        </w:rPr>
        <w:t xml:space="preserve">A Chi square test to see if the choice of goal was influenced by the liking or disliking of the ex-partner showed there was </w:t>
      </w:r>
      <w:r w:rsidR="004E09EE">
        <w:rPr>
          <w:rFonts w:cs="Times New Roman"/>
          <w:sz w:val="24"/>
          <w:szCs w:val="24"/>
        </w:rPr>
        <w:t xml:space="preserve">a </w:t>
      </w:r>
      <w:r w:rsidRPr="00D05EBD">
        <w:rPr>
          <w:rFonts w:cs="Times New Roman"/>
          <w:sz w:val="24"/>
          <w:szCs w:val="24"/>
        </w:rPr>
        <w:t>non-significant effect</w:t>
      </w:r>
      <w:r w:rsidR="008E57FC">
        <w:rPr>
          <w:rFonts w:cs="Times New Roman"/>
          <w:sz w:val="24"/>
          <w:szCs w:val="24"/>
        </w:rPr>
        <w:t xml:space="preserve">, </w:t>
      </w:r>
      <w:r w:rsidR="008E57FC" w:rsidRPr="00D05EBD">
        <w:rPr>
          <w:rFonts w:cs="Times New Roman"/>
          <w:sz w:val="24"/>
          <w:szCs w:val="24"/>
        </w:rPr>
        <w:t>X</w:t>
      </w:r>
      <w:r w:rsidR="008E57FC" w:rsidRPr="00D05EBD">
        <w:rPr>
          <w:rFonts w:cs="Times New Roman"/>
          <w:sz w:val="24"/>
          <w:szCs w:val="24"/>
          <w:vertAlign w:val="superscript"/>
        </w:rPr>
        <w:t>2</w:t>
      </w:r>
      <w:r w:rsidR="008E57FC" w:rsidRPr="00D05EBD">
        <w:rPr>
          <w:rFonts w:cs="Times New Roman"/>
          <w:sz w:val="24"/>
          <w:szCs w:val="24"/>
        </w:rPr>
        <w:t>(1) =</w:t>
      </w:r>
      <w:r w:rsidR="008E57FC">
        <w:rPr>
          <w:rFonts w:cs="Times New Roman"/>
          <w:sz w:val="24"/>
          <w:szCs w:val="24"/>
        </w:rPr>
        <w:t>.50</w:t>
      </w:r>
      <w:r w:rsidR="008E57FC" w:rsidRPr="00D05EBD">
        <w:rPr>
          <w:rFonts w:cs="Times New Roman"/>
          <w:sz w:val="24"/>
          <w:szCs w:val="24"/>
        </w:rPr>
        <w:t xml:space="preserve">, </w:t>
      </w:r>
      <w:r w:rsidR="008E57FC" w:rsidRPr="00D05EBD">
        <w:rPr>
          <w:rFonts w:cs="Times New Roman"/>
          <w:i/>
          <w:sz w:val="24"/>
          <w:szCs w:val="24"/>
        </w:rPr>
        <w:t>p</w:t>
      </w:r>
      <w:r w:rsidR="008E57FC">
        <w:rPr>
          <w:rFonts w:cs="Times New Roman"/>
          <w:sz w:val="24"/>
          <w:szCs w:val="24"/>
        </w:rPr>
        <w:t xml:space="preserve"> &gt;</w:t>
      </w:r>
      <w:r w:rsidR="008E57FC" w:rsidRPr="00D05EBD">
        <w:rPr>
          <w:rFonts w:cs="Times New Roman"/>
          <w:sz w:val="24"/>
          <w:szCs w:val="24"/>
        </w:rPr>
        <w:t xml:space="preserve"> .05</w:t>
      </w:r>
      <w:r w:rsidRPr="00D05EBD">
        <w:rPr>
          <w:rFonts w:cs="Times New Roman"/>
          <w:sz w:val="24"/>
          <w:szCs w:val="24"/>
        </w:rPr>
        <w:t xml:space="preserve">. </w:t>
      </w:r>
      <w:r w:rsidR="00D9068B">
        <w:rPr>
          <w:rFonts w:cs="Times New Roman"/>
          <w:sz w:val="24"/>
          <w:szCs w:val="24"/>
        </w:rPr>
        <w:t xml:space="preserve">This results indicate that the extent to which participants liked or disliked their ex-partner did not affect the IER-goal choice they made. </w:t>
      </w:r>
    </w:p>
    <w:p w:rsidR="00FB1389" w:rsidRPr="00D05EBD" w:rsidRDefault="00093982" w:rsidP="00AE640B">
      <w:pPr>
        <w:spacing w:line="480" w:lineRule="auto"/>
        <w:jc w:val="both"/>
        <w:rPr>
          <w:rFonts w:cs="Times New Roman"/>
          <w:b/>
          <w:sz w:val="24"/>
          <w:szCs w:val="24"/>
        </w:rPr>
      </w:pPr>
      <w:r>
        <w:rPr>
          <w:rFonts w:cs="Times New Roman"/>
          <w:b/>
          <w:sz w:val="24"/>
          <w:szCs w:val="24"/>
        </w:rPr>
        <w:tab/>
      </w:r>
      <w:r>
        <w:rPr>
          <w:rFonts w:cs="Times New Roman"/>
          <w:b/>
          <w:sz w:val="24"/>
          <w:szCs w:val="24"/>
        </w:rPr>
        <w:tab/>
        <w:t>3.3</w:t>
      </w:r>
      <w:r w:rsidR="00FB1389" w:rsidRPr="00D05EBD">
        <w:rPr>
          <w:rFonts w:cs="Times New Roman"/>
          <w:b/>
          <w:sz w:val="24"/>
          <w:szCs w:val="24"/>
        </w:rPr>
        <w:t>.3.3 Discussion</w:t>
      </w:r>
    </w:p>
    <w:p w:rsidR="005C7693" w:rsidRDefault="00FB1389" w:rsidP="005C7693">
      <w:pPr>
        <w:spacing w:line="480" w:lineRule="auto"/>
        <w:ind w:firstLine="720"/>
        <w:jc w:val="both"/>
        <w:rPr>
          <w:rFonts w:cs="Times New Roman"/>
          <w:sz w:val="24"/>
          <w:szCs w:val="24"/>
        </w:rPr>
      </w:pPr>
      <w:r w:rsidRPr="00D05EBD">
        <w:rPr>
          <w:rFonts w:cs="Times New Roman"/>
          <w:sz w:val="24"/>
          <w:szCs w:val="24"/>
        </w:rPr>
        <w:t xml:space="preserve">The present results replicated those of experiment 2b in that it was not possible to observe an effect of the prime on the </w:t>
      </w:r>
      <w:r w:rsidR="005C7693">
        <w:rPr>
          <w:rFonts w:cs="Times New Roman"/>
          <w:sz w:val="24"/>
          <w:szCs w:val="24"/>
        </w:rPr>
        <w:t>URNE strategies participants used in their letters</w:t>
      </w:r>
      <w:r w:rsidRPr="00D05EBD">
        <w:rPr>
          <w:rFonts w:cs="Times New Roman"/>
          <w:sz w:val="24"/>
          <w:szCs w:val="24"/>
        </w:rPr>
        <w:t xml:space="preserve"> without providing them with the option of the goal to improve or worsen someone else's emotions.</w:t>
      </w:r>
      <w:r w:rsidR="00032F03">
        <w:rPr>
          <w:rFonts w:cs="Times New Roman"/>
          <w:sz w:val="24"/>
          <w:szCs w:val="24"/>
        </w:rPr>
        <w:t xml:space="preserve"> What was surprising was that, unlike Study 2a, the priming task did not affect the participant’s choice of IER-goal (as in Study 2a the priming task made participants more prone to chose a worsening IER-goal). Furthermore</w:t>
      </w:r>
      <w:r w:rsidR="005C7693">
        <w:rPr>
          <w:rFonts w:cs="Times New Roman"/>
          <w:sz w:val="24"/>
          <w:szCs w:val="24"/>
        </w:rPr>
        <w:t>,</w:t>
      </w:r>
      <w:r w:rsidR="00032F03">
        <w:rPr>
          <w:rFonts w:cs="Times New Roman"/>
          <w:sz w:val="24"/>
          <w:szCs w:val="24"/>
        </w:rPr>
        <w:t xml:space="preserve"> and also an unexpected finding,</w:t>
      </w:r>
      <w:r w:rsidR="005C7693">
        <w:rPr>
          <w:rFonts w:cs="Times New Roman"/>
          <w:sz w:val="24"/>
          <w:szCs w:val="24"/>
        </w:rPr>
        <w:t xml:space="preserve"> unlike Studies 2a and 2b, priming participants to worsen the </w:t>
      </w:r>
      <w:r w:rsidR="005C7693">
        <w:rPr>
          <w:rFonts w:cs="Times New Roman"/>
          <w:sz w:val="24"/>
          <w:szCs w:val="24"/>
        </w:rPr>
        <w:lastRenderedPageBreak/>
        <w:t>emotions of someone else did not affect their use of improving IER strategies (URPA), influencing them to use less URPE than participants who were not primed.</w:t>
      </w:r>
    </w:p>
    <w:p w:rsidR="00FB1389" w:rsidRPr="005C7693" w:rsidRDefault="005934B1" w:rsidP="005C7693">
      <w:pPr>
        <w:spacing w:line="480" w:lineRule="auto"/>
        <w:ind w:firstLine="720"/>
        <w:jc w:val="both"/>
        <w:rPr>
          <w:rFonts w:cs="Times New Roman"/>
          <w:sz w:val="24"/>
          <w:szCs w:val="24"/>
        </w:rPr>
      </w:pPr>
      <w:r>
        <w:rPr>
          <w:rFonts w:cs="Times New Roman"/>
          <w:sz w:val="24"/>
          <w:szCs w:val="24"/>
        </w:rPr>
        <w:t xml:space="preserve">As improving and worsening the emotions of a romantic ex-partner might have been affected by how much the participants still liked or disliked their ex-partner, the analysis conducted included this variable. Nevertheless, no effects of liking or disliking the ex-partner were found neither in the frequency of use of IER strategies (URNE, URPE, DRNE) nor on their choice of IER-goal (to improve or worsen the emotions of their ex-partner). </w:t>
      </w:r>
    </w:p>
    <w:p w:rsidR="00FB1389" w:rsidRPr="00D05EBD" w:rsidRDefault="00FB1389" w:rsidP="00204C96">
      <w:pPr>
        <w:spacing w:line="480" w:lineRule="auto"/>
        <w:ind w:firstLine="720"/>
        <w:jc w:val="both"/>
        <w:rPr>
          <w:sz w:val="24"/>
          <w:szCs w:val="24"/>
        </w:rPr>
      </w:pPr>
      <w:r w:rsidRPr="00D05EBD">
        <w:rPr>
          <w:sz w:val="24"/>
          <w:szCs w:val="24"/>
        </w:rPr>
        <w:t xml:space="preserve">It is likely that the </w:t>
      </w:r>
      <w:r w:rsidR="001272C8">
        <w:rPr>
          <w:sz w:val="24"/>
          <w:szCs w:val="24"/>
        </w:rPr>
        <w:t>im</w:t>
      </w:r>
      <w:r w:rsidRPr="00D05EBD">
        <w:rPr>
          <w:sz w:val="24"/>
          <w:szCs w:val="24"/>
        </w:rPr>
        <w:t xml:space="preserve">personal nature of the target task in </w:t>
      </w:r>
      <w:r w:rsidR="001272C8">
        <w:rPr>
          <w:sz w:val="24"/>
          <w:szCs w:val="24"/>
        </w:rPr>
        <w:t>Studie</w:t>
      </w:r>
      <w:r w:rsidRPr="00D05EBD">
        <w:rPr>
          <w:sz w:val="24"/>
          <w:szCs w:val="24"/>
        </w:rPr>
        <w:t>s 2a and 2b</w:t>
      </w:r>
      <w:r w:rsidR="001272C8">
        <w:rPr>
          <w:sz w:val="24"/>
          <w:szCs w:val="24"/>
        </w:rPr>
        <w:t xml:space="preserve"> (interacting with a fictional character)</w:t>
      </w:r>
      <w:r w:rsidRPr="00D05EBD">
        <w:rPr>
          <w:sz w:val="24"/>
          <w:szCs w:val="24"/>
        </w:rPr>
        <w:t xml:space="preserve"> allowed the prime to </w:t>
      </w:r>
      <w:r w:rsidR="001272C8">
        <w:rPr>
          <w:sz w:val="24"/>
          <w:szCs w:val="24"/>
        </w:rPr>
        <w:t>be activated but in Study 2c</w:t>
      </w:r>
      <w:r w:rsidRPr="00D05EBD">
        <w:rPr>
          <w:sz w:val="24"/>
          <w:szCs w:val="24"/>
        </w:rPr>
        <w:t>, the personal nature of the target task did not facilitate the activation of the prime</w:t>
      </w:r>
      <w:r w:rsidR="001272C8">
        <w:rPr>
          <w:sz w:val="24"/>
          <w:szCs w:val="24"/>
        </w:rPr>
        <w:t xml:space="preserve">. Romantic relationships are very complex and it is probable that many different factors could have affected the amount of IER strategies participants used, such as the quality of the relationship participants had with their ex’s, whether they are still in contact or not, whether the participant was the one who ended the relationship, or whether it was an easy or difficult break-up. </w:t>
      </w:r>
      <w:r w:rsidR="003A028D">
        <w:rPr>
          <w:sz w:val="24"/>
          <w:szCs w:val="24"/>
        </w:rPr>
        <w:t xml:space="preserve">One limitation of Study 2c is that participants were asked to imagine a romantic ex-partner in the case they </w:t>
      </w:r>
      <w:r w:rsidR="006F6EC4">
        <w:rPr>
          <w:sz w:val="24"/>
          <w:szCs w:val="24"/>
        </w:rPr>
        <w:t>had</w:t>
      </w:r>
      <w:r w:rsidR="003A028D">
        <w:rPr>
          <w:sz w:val="24"/>
          <w:szCs w:val="24"/>
        </w:rPr>
        <w:t xml:space="preserve"> never had one before. </w:t>
      </w:r>
      <w:r w:rsidR="00A45534">
        <w:rPr>
          <w:sz w:val="24"/>
          <w:szCs w:val="24"/>
        </w:rPr>
        <w:t xml:space="preserve">The IER strategies used by participants who imagined a romantic ex-partner might have been different from the IER strategies of participants who indeed wrote a </w:t>
      </w:r>
      <w:r w:rsidR="006F6EC4">
        <w:rPr>
          <w:sz w:val="24"/>
          <w:szCs w:val="24"/>
        </w:rPr>
        <w:t>letter to a romantic ex-partner and Study 2c did not include a measure that would allow to differentiate participants who had had a romantic relationship from participants who imagined having had a romantic relationship.</w:t>
      </w:r>
      <w:r w:rsidR="00A45534">
        <w:rPr>
          <w:sz w:val="24"/>
          <w:szCs w:val="24"/>
        </w:rPr>
        <w:t xml:space="preserve"> Nevertheless, research on </w:t>
      </w:r>
      <w:r w:rsidR="00485CE4">
        <w:rPr>
          <w:sz w:val="24"/>
          <w:szCs w:val="24"/>
        </w:rPr>
        <w:t xml:space="preserve">adolescent </w:t>
      </w:r>
      <w:r w:rsidR="006F6EC4">
        <w:rPr>
          <w:sz w:val="24"/>
          <w:szCs w:val="24"/>
        </w:rPr>
        <w:t xml:space="preserve">and young adult </w:t>
      </w:r>
      <w:r w:rsidR="00485CE4">
        <w:rPr>
          <w:sz w:val="24"/>
          <w:szCs w:val="24"/>
        </w:rPr>
        <w:t xml:space="preserve">romantic relationships has found that </w:t>
      </w:r>
      <w:r w:rsidR="006F6EC4">
        <w:rPr>
          <w:sz w:val="24"/>
          <w:szCs w:val="24"/>
        </w:rPr>
        <w:t>nearly 80%</w:t>
      </w:r>
      <w:r w:rsidR="00485CE4">
        <w:rPr>
          <w:sz w:val="24"/>
          <w:szCs w:val="24"/>
        </w:rPr>
        <w:t xml:space="preserve"> of </w:t>
      </w:r>
      <w:r w:rsidR="006F6EC4">
        <w:rPr>
          <w:sz w:val="24"/>
          <w:szCs w:val="24"/>
        </w:rPr>
        <w:t xml:space="preserve">people over the age of 20 </w:t>
      </w:r>
      <w:r w:rsidR="006F6EC4">
        <w:rPr>
          <w:sz w:val="24"/>
          <w:szCs w:val="24"/>
        </w:rPr>
        <w:lastRenderedPageBreak/>
        <w:t>have</w:t>
      </w:r>
      <w:r w:rsidR="00485CE4">
        <w:rPr>
          <w:sz w:val="24"/>
          <w:szCs w:val="24"/>
        </w:rPr>
        <w:t xml:space="preserve"> been in at least one romantic relationship (as reported by the </w:t>
      </w:r>
      <w:r w:rsidR="006F6EC4">
        <w:rPr>
          <w:sz w:val="24"/>
          <w:szCs w:val="24"/>
        </w:rPr>
        <w:t>participants</w:t>
      </w:r>
      <w:r w:rsidR="00485CE4">
        <w:rPr>
          <w:sz w:val="24"/>
          <w:szCs w:val="24"/>
        </w:rPr>
        <w:t xml:space="preserve"> themselves, by peers, and parents) </w:t>
      </w:r>
      <w:r w:rsidR="00B44C69">
        <w:rPr>
          <w:sz w:val="24"/>
          <w:szCs w:val="24"/>
        </w:rPr>
        <w:t xml:space="preserve">(Carver, Joyner &amp; </w:t>
      </w:r>
      <w:proofErr w:type="spellStart"/>
      <w:r w:rsidR="00B44C69">
        <w:rPr>
          <w:sz w:val="24"/>
          <w:szCs w:val="24"/>
        </w:rPr>
        <w:t>Udry</w:t>
      </w:r>
      <w:proofErr w:type="spellEnd"/>
      <w:r w:rsidR="00485CE4">
        <w:rPr>
          <w:sz w:val="24"/>
          <w:szCs w:val="24"/>
        </w:rPr>
        <w:t>, 2003</w:t>
      </w:r>
      <w:r w:rsidR="004C2239">
        <w:rPr>
          <w:sz w:val="24"/>
          <w:szCs w:val="24"/>
        </w:rPr>
        <w:t xml:space="preserve">; </w:t>
      </w:r>
      <w:proofErr w:type="spellStart"/>
      <w:r w:rsidR="004C2239">
        <w:rPr>
          <w:sz w:val="24"/>
          <w:szCs w:val="24"/>
        </w:rPr>
        <w:t>Grieger</w:t>
      </w:r>
      <w:proofErr w:type="spellEnd"/>
      <w:r w:rsidR="004C2239">
        <w:rPr>
          <w:sz w:val="24"/>
          <w:szCs w:val="24"/>
        </w:rPr>
        <w:t xml:space="preserve">, </w:t>
      </w:r>
      <w:proofErr w:type="spellStart"/>
      <w:r w:rsidR="004C2239">
        <w:rPr>
          <w:sz w:val="24"/>
          <w:szCs w:val="24"/>
        </w:rPr>
        <w:t>Kusunoki</w:t>
      </w:r>
      <w:proofErr w:type="spellEnd"/>
      <w:r w:rsidR="004C2239">
        <w:rPr>
          <w:sz w:val="24"/>
          <w:szCs w:val="24"/>
        </w:rPr>
        <w:t xml:space="preserve"> &amp; Harding</w:t>
      </w:r>
      <w:r w:rsidR="00485CE4">
        <w:rPr>
          <w:sz w:val="24"/>
          <w:szCs w:val="24"/>
        </w:rPr>
        <w:t xml:space="preserve">, 2014; </w:t>
      </w:r>
      <w:r w:rsidR="00B44C69">
        <w:rPr>
          <w:sz w:val="24"/>
          <w:szCs w:val="24"/>
        </w:rPr>
        <w:t xml:space="preserve">Moore, Leung, </w:t>
      </w:r>
      <w:proofErr w:type="spellStart"/>
      <w:r w:rsidR="00B44C69">
        <w:rPr>
          <w:sz w:val="24"/>
          <w:szCs w:val="24"/>
        </w:rPr>
        <w:t>Karnilowicz</w:t>
      </w:r>
      <w:proofErr w:type="spellEnd"/>
      <w:r w:rsidR="00B44C69">
        <w:rPr>
          <w:sz w:val="24"/>
          <w:szCs w:val="24"/>
        </w:rPr>
        <w:t xml:space="preserve"> &amp; Lung</w:t>
      </w:r>
      <w:r w:rsidR="006F6EC4">
        <w:rPr>
          <w:sz w:val="24"/>
          <w:szCs w:val="24"/>
        </w:rPr>
        <w:t xml:space="preserve">, 2012). Thus, it is highly probable that the vast majority of participants in Study 2c, actually wrote a letter thinking of a real romantic ex-partner. </w:t>
      </w:r>
    </w:p>
    <w:p w:rsidR="00FB1389" w:rsidRPr="00204C96" w:rsidRDefault="00093982" w:rsidP="00204C96">
      <w:pPr>
        <w:spacing w:line="480" w:lineRule="auto"/>
        <w:jc w:val="both"/>
        <w:rPr>
          <w:b/>
          <w:sz w:val="24"/>
          <w:szCs w:val="24"/>
        </w:rPr>
      </w:pPr>
      <w:r>
        <w:rPr>
          <w:b/>
          <w:sz w:val="24"/>
          <w:szCs w:val="24"/>
        </w:rPr>
        <w:tab/>
        <w:t>3.3</w:t>
      </w:r>
      <w:r w:rsidR="00FB1389" w:rsidRPr="00D05EBD">
        <w:rPr>
          <w:b/>
          <w:sz w:val="24"/>
          <w:szCs w:val="24"/>
        </w:rPr>
        <w:t>.4 General discussion</w:t>
      </w:r>
    </w:p>
    <w:p w:rsidR="00D92777" w:rsidRPr="00D92777" w:rsidRDefault="0048633A" w:rsidP="00D92777">
      <w:pPr>
        <w:spacing w:line="480" w:lineRule="auto"/>
        <w:ind w:firstLine="720"/>
        <w:jc w:val="both"/>
        <w:rPr>
          <w:rFonts w:cs="Times New Roman"/>
          <w:sz w:val="24"/>
          <w:szCs w:val="24"/>
        </w:rPr>
      </w:pPr>
      <w:r>
        <w:rPr>
          <w:rFonts w:cs="Times New Roman"/>
          <w:sz w:val="24"/>
          <w:szCs w:val="24"/>
        </w:rPr>
        <w:t xml:space="preserve">The present studies introduced the SST to prime participants to worsen the emotions of someone else. In Studies 2a and 2b, the opportunity for participants to show an effect of the priming task on their behaviour was a play script participants were to write. In this play script participants were instructed to play the role of one of the characters. </w:t>
      </w:r>
      <w:r w:rsidR="001C5003">
        <w:rPr>
          <w:rFonts w:cs="Times New Roman"/>
          <w:sz w:val="24"/>
          <w:szCs w:val="24"/>
        </w:rPr>
        <w:t xml:space="preserve">In </w:t>
      </w:r>
      <w:r>
        <w:rPr>
          <w:rFonts w:cs="Times New Roman"/>
          <w:sz w:val="24"/>
          <w:szCs w:val="24"/>
        </w:rPr>
        <w:t>S</w:t>
      </w:r>
      <w:r w:rsidR="001C5003">
        <w:rPr>
          <w:rFonts w:cs="Times New Roman"/>
          <w:sz w:val="24"/>
          <w:szCs w:val="24"/>
        </w:rPr>
        <w:t>tud</w:t>
      </w:r>
      <w:r>
        <w:rPr>
          <w:rFonts w:cs="Times New Roman"/>
          <w:sz w:val="24"/>
          <w:szCs w:val="24"/>
        </w:rPr>
        <w:t>ies</w:t>
      </w:r>
      <w:r w:rsidR="001C5003">
        <w:rPr>
          <w:rFonts w:cs="Times New Roman"/>
          <w:sz w:val="24"/>
          <w:szCs w:val="24"/>
        </w:rPr>
        <w:t xml:space="preserve"> 2a</w:t>
      </w:r>
      <w:r>
        <w:rPr>
          <w:rFonts w:cs="Times New Roman"/>
          <w:sz w:val="24"/>
          <w:szCs w:val="24"/>
        </w:rPr>
        <w:t xml:space="preserve"> and</w:t>
      </w:r>
      <w:r w:rsidR="001C5003">
        <w:rPr>
          <w:rFonts w:cs="Times New Roman"/>
          <w:sz w:val="24"/>
          <w:szCs w:val="24"/>
        </w:rPr>
        <w:t xml:space="preserve"> 2b it was found that when participants </w:t>
      </w:r>
      <w:r w:rsidR="00C039EE">
        <w:rPr>
          <w:rFonts w:cs="Times New Roman"/>
          <w:sz w:val="24"/>
          <w:szCs w:val="24"/>
        </w:rPr>
        <w:t>were</w:t>
      </w:r>
      <w:r w:rsidR="001C5003">
        <w:rPr>
          <w:rFonts w:cs="Times New Roman"/>
          <w:sz w:val="24"/>
          <w:szCs w:val="24"/>
        </w:rPr>
        <w:t xml:space="preserve"> primed to worsen the emotions of </w:t>
      </w:r>
      <w:r w:rsidR="00BD6192">
        <w:rPr>
          <w:rFonts w:cs="Times New Roman"/>
          <w:sz w:val="24"/>
          <w:szCs w:val="24"/>
        </w:rPr>
        <w:t>someone else,</w:t>
      </w:r>
      <w:r w:rsidR="001C5003">
        <w:rPr>
          <w:rFonts w:cs="Times New Roman"/>
          <w:sz w:val="24"/>
          <w:szCs w:val="24"/>
        </w:rPr>
        <w:t xml:space="preserve"> they d</w:t>
      </w:r>
      <w:r w:rsidR="0050792F">
        <w:rPr>
          <w:rFonts w:cs="Times New Roman"/>
          <w:sz w:val="24"/>
          <w:szCs w:val="24"/>
        </w:rPr>
        <w:t>id</w:t>
      </w:r>
      <w:r w:rsidR="001C5003">
        <w:rPr>
          <w:rFonts w:cs="Times New Roman"/>
          <w:sz w:val="24"/>
          <w:szCs w:val="24"/>
        </w:rPr>
        <w:t xml:space="preserve"> it in two different ways: by using more </w:t>
      </w:r>
      <w:proofErr w:type="spellStart"/>
      <w:r w:rsidR="001C5003">
        <w:rPr>
          <w:rFonts w:cs="Times New Roman"/>
          <w:sz w:val="24"/>
          <w:szCs w:val="24"/>
        </w:rPr>
        <w:t>upregulation</w:t>
      </w:r>
      <w:proofErr w:type="spellEnd"/>
      <w:r w:rsidR="001C5003">
        <w:rPr>
          <w:rFonts w:cs="Times New Roman"/>
          <w:sz w:val="24"/>
          <w:szCs w:val="24"/>
        </w:rPr>
        <w:t xml:space="preserve"> of negative emotion </w:t>
      </w:r>
      <w:r w:rsidR="00BD6192">
        <w:rPr>
          <w:rFonts w:cs="Times New Roman"/>
          <w:sz w:val="24"/>
          <w:szCs w:val="24"/>
        </w:rPr>
        <w:t xml:space="preserve">or </w:t>
      </w:r>
      <w:r w:rsidR="00C039EE">
        <w:rPr>
          <w:rFonts w:cs="Times New Roman"/>
          <w:sz w:val="24"/>
          <w:szCs w:val="24"/>
        </w:rPr>
        <w:t xml:space="preserve">URNE </w:t>
      </w:r>
      <w:r w:rsidR="001C5003">
        <w:rPr>
          <w:rFonts w:cs="Times New Roman"/>
          <w:sz w:val="24"/>
          <w:szCs w:val="24"/>
        </w:rPr>
        <w:t>strategies</w:t>
      </w:r>
      <w:r>
        <w:rPr>
          <w:rFonts w:cs="Times New Roman"/>
          <w:sz w:val="24"/>
          <w:szCs w:val="24"/>
        </w:rPr>
        <w:t xml:space="preserve"> in the scripts</w:t>
      </w:r>
      <w:r w:rsidR="001C5003">
        <w:rPr>
          <w:rFonts w:cs="Times New Roman"/>
          <w:sz w:val="24"/>
          <w:szCs w:val="24"/>
        </w:rPr>
        <w:t xml:space="preserve"> (e.g. insult hurt)</w:t>
      </w:r>
      <w:r w:rsidR="0050792F">
        <w:rPr>
          <w:rFonts w:cs="Times New Roman"/>
          <w:sz w:val="24"/>
          <w:szCs w:val="24"/>
        </w:rPr>
        <w:t>,</w:t>
      </w:r>
      <w:r w:rsidR="00C039EE">
        <w:rPr>
          <w:rFonts w:cs="Times New Roman"/>
          <w:sz w:val="24"/>
          <w:szCs w:val="24"/>
        </w:rPr>
        <w:t xml:space="preserve"> as in the case of Study 2a</w:t>
      </w:r>
      <w:r w:rsidR="001C5003">
        <w:rPr>
          <w:rFonts w:cs="Times New Roman"/>
          <w:sz w:val="24"/>
          <w:szCs w:val="24"/>
        </w:rPr>
        <w:t xml:space="preserve">, and by using less </w:t>
      </w:r>
      <w:proofErr w:type="spellStart"/>
      <w:r w:rsidR="001C5003">
        <w:rPr>
          <w:rFonts w:cs="Times New Roman"/>
          <w:sz w:val="24"/>
          <w:szCs w:val="24"/>
        </w:rPr>
        <w:t>upregulation</w:t>
      </w:r>
      <w:proofErr w:type="spellEnd"/>
      <w:r w:rsidR="001C5003">
        <w:rPr>
          <w:rFonts w:cs="Times New Roman"/>
          <w:sz w:val="24"/>
          <w:szCs w:val="24"/>
        </w:rPr>
        <w:t xml:space="preserve"> of positive emotion</w:t>
      </w:r>
      <w:r w:rsidR="00C039EE">
        <w:rPr>
          <w:rFonts w:cs="Times New Roman"/>
          <w:sz w:val="24"/>
          <w:szCs w:val="24"/>
        </w:rPr>
        <w:t xml:space="preserve"> or </w:t>
      </w:r>
      <w:r w:rsidR="0050792F">
        <w:rPr>
          <w:rFonts w:cs="Times New Roman"/>
          <w:sz w:val="24"/>
          <w:szCs w:val="24"/>
        </w:rPr>
        <w:t xml:space="preserve">less </w:t>
      </w:r>
      <w:r w:rsidR="00C039EE">
        <w:rPr>
          <w:rFonts w:cs="Times New Roman"/>
          <w:sz w:val="24"/>
          <w:szCs w:val="24"/>
        </w:rPr>
        <w:t>URPE</w:t>
      </w:r>
      <w:r w:rsidR="001C5003">
        <w:rPr>
          <w:rFonts w:cs="Times New Roman"/>
          <w:sz w:val="24"/>
          <w:szCs w:val="24"/>
        </w:rPr>
        <w:t xml:space="preserve"> strategies </w:t>
      </w:r>
      <w:r>
        <w:rPr>
          <w:rFonts w:cs="Times New Roman"/>
          <w:sz w:val="24"/>
          <w:szCs w:val="24"/>
        </w:rPr>
        <w:t xml:space="preserve">in their scripts </w:t>
      </w:r>
      <w:r w:rsidR="001C5003">
        <w:rPr>
          <w:rFonts w:cs="Times New Roman"/>
          <w:sz w:val="24"/>
          <w:szCs w:val="24"/>
        </w:rPr>
        <w:t>(e.g.</w:t>
      </w:r>
      <w:r w:rsidR="0050792F">
        <w:rPr>
          <w:rFonts w:cs="Times New Roman"/>
          <w:sz w:val="24"/>
          <w:szCs w:val="24"/>
        </w:rPr>
        <w:t xml:space="preserve"> less</w:t>
      </w:r>
      <w:r w:rsidR="001C5003">
        <w:rPr>
          <w:rFonts w:cs="Times New Roman"/>
          <w:sz w:val="24"/>
          <w:szCs w:val="24"/>
        </w:rPr>
        <w:t xml:space="preserve"> compliment, praise)</w:t>
      </w:r>
      <w:r w:rsidR="00C039EE">
        <w:rPr>
          <w:rFonts w:cs="Times New Roman"/>
          <w:sz w:val="24"/>
          <w:szCs w:val="24"/>
        </w:rPr>
        <w:t>, as in the case of Studies 2a and 2b</w:t>
      </w:r>
      <w:r w:rsidR="001C5003">
        <w:rPr>
          <w:rFonts w:cs="Times New Roman"/>
          <w:sz w:val="24"/>
          <w:szCs w:val="24"/>
        </w:rPr>
        <w:t xml:space="preserve">. </w:t>
      </w:r>
      <w:r>
        <w:rPr>
          <w:rFonts w:cs="Times New Roman"/>
          <w:sz w:val="24"/>
          <w:szCs w:val="24"/>
        </w:rPr>
        <w:t xml:space="preserve">Also, in Study 2a, after being primed, participants were presented with two IER-goal options (to improve or to worsen the emotions of the other character on script). Participants in Study 2b did not have this IER-goal option. </w:t>
      </w:r>
      <w:r w:rsidR="001C5003">
        <w:rPr>
          <w:rFonts w:cs="Times New Roman"/>
          <w:sz w:val="24"/>
          <w:szCs w:val="24"/>
        </w:rPr>
        <w:t xml:space="preserve">It </w:t>
      </w:r>
      <w:r>
        <w:rPr>
          <w:rFonts w:cs="Times New Roman"/>
          <w:sz w:val="24"/>
          <w:szCs w:val="24"/>
        </w:rPr>
        <w:t>was</w:t>
      </w:r>
      <w:r w:rsidR="001C5003">
        <w:rPr>
          <w:rFonts w:cs="Times New Roman"/>
          <w:sz w:val="24"/>
          <w:szCs w:val="24"/>
        </w:rPr>
        <w:t xml:space="preserve"> found that for the primed participants to exhibit a larger number o</w:t>
      </w:r>
      <w:r w:rsidR="00BD6192">
        <w:rPr>
          <w:rFonts w:cs="Times New Roman"/>
          <w:sz w:val="24"/>
          <w:szCs w:val="24"/>
        </w:rPr>
        <w:t>f</w:t>
      </w:r>
      <w:r w:rsidR="001C5003">
        <w:rPr>
          <w:rFonts w:cs="Times New Roman"/>
          <w:sz w:val="24"/>
          <w:szCs w:val="24"/>
        </w:rPr>
        <w:t xml:space="preserve"> </w:t>
      </w:r>
      <w:r w:rsidR="00C039EE">
        <w:rPr>
          <w:rFonts w:cs="Times New Roman"/>
          <w:sz w:val="24"/>
          <w:szCs w:val="24"/>
        </w:rPr>
        <w:t xml:space="preserve">URNE </w:t>
      </w:r>
      <w:r w:rsidR="00BD6192">
        <w:rPr>
          <w:rFonts w:cs="Times New Roman"/>
          <w:sz w:val="24"/>
          <w:szCs w:val="24"/>
        </w:rPr>
        <w:t xml:space="preserve">strategies, </w:t>
      </w:r>
      <w:r w:rsidR="00C039EE">
        <w:rPr>
          <w:rFonts w:cs="Times New Roman"/>
          <w:sz w:val="24"/>
          <w:szCs w:val="24"/>
        </w:rPr>
        <w:t xml:space="preserve">they needed to encounter </w:t>
      </w:r>
      <w:r>
        <w:rPr>
          <w:rFonts w:cs="Times New Roman"/>
          <w:sz w:val="24"/>
          <w:szCs w:val="24"/>
        </w:rPr>
        <w:t>the</w:t>
      </w:r>
      <w:r w:rsidR="00C039EE">
        <w:rPr>
          <w:rFonts w:cs="Times New Roman"/>
          <w:sz w:val="24"/>
          <w:szCs w:val="24"/>
        </w:rPr>
        <w:t xml:space="preserve"> IER-goal and </w:t>
      </w:r>
      <w:r w:rsidR="00B1452B">
        <w:rPr>
          <w:rFonts w:cs="Times New Roman"/>
          <w:sz w:val="24"/>
          <w:szCs w:val="24"/>
        </w:rPr>
        <w:t>to choose the worsening IER-goal</w:t>
      </w:r>
      <w:r w:rsidR="00BD6192">
        <w:rPr>
          <w:rFonts w:cs="Times New Roman"/>
          <w:sz w:val="24"/>
          <w:szCs w:val="24"/>
        </w:rPr>
        <w:t xml:space="preserve">. </w:t>
      </w:r>
      <w:r w:rsidR="00D50C72">
        <w:rPr>
          <w:rFonts w:cs="Times New Roman"/>
          <w:sz w:val="24"/>
          <w:szCs w:val="24"/>
        </w:rPr>
        <w:t>In the last study of this Chapter,</w:t>
      </w:r>
      <w:r>
        <w:rPr>
          <w:rFonts w:cs="Times New Roman"/>
          <w:sz w:val="24"/>
          <w:szCs w:val="24"/>
        </w:rPr>
        <w:t xml:space="preserve"> </w:t>
      </w:r>
      <w:r w:rsidR="00D50C72">
        <w:rPr>
          <w:rFonts w:cs="Times New Roman"/>
          <w:sz w:val="24"/>
          <w:szCs w:val="24"/>
        </w:rPr>
        <w:t>Study 2c</w:t>
      </w:r>
      <w:r>
        <w:rPr>
          <w:rFonts w:cs="Times New Roman"/>
          <w:sz w:val="24"/>
          <w:szCs w:val="24"/>
        </w:rPr>
        <w:t>, the target task (the script) was changed, and instead</w:t>
      </w:r>
      <w:r w:rsidR="00A3739B">
        <w:rPr>
          <w:rFonts w:cs="Times New Roman"/>
          <w:sz w:val="24"/>
          <w:szCs w:val="24"/>
        </w:rPr>
        <w:t>, after being primed,</w:t>
      </w:r>
      <w:r>
        <w:rPr>
          <w:rFonts w:cs="Times New Roman"/>
          <w:sz w:val="24"/>
          <w:szCs w:val="24"/>
        </w:rPr>
        <w:t xml:space="preserve"> participants were instructed to write a letter to a romantic ex-partner of theirs. </w:t>
      </w:r>
      <w:r w:rsidR="005A1587">
        <w:rPr>
          <w:rFonts w:cs="Times New Roman"/>
          <w:sz w:val="24"/>
          <w:szCs w:val="24"/>
        </w:rPr>
        <w:t>It was not possib</w:t>
      </w:r>
      <w:r w:rsidR="006704FB">
        <w:rPr>
          <w:rFonts w:cs="Times New Roman"/>
          <w:sz w:val="24"/>
          <w:szCs w:val="24"/>
        </w:rPr>
        <w:t>le to replicate the results of s</w:t>
      </w:r>
      <w:r w:rsidR="005A1587">
        <w:rPr>
          <w:rFonts w:cs="Times New Roman"/>
          <w:sz w:val="24"/>
          <w:szCs w:val="24"/>
        </w:rPr>
        <w:t xml:space="preserve">tudies 2a and 2b. Participants who were </w:t>
      </w:r>
      <w:r w:rsidR="005A1587">
        <w:rPr>
          <w:rFonts w:cs="Times New Roman"/>
          <w:sz w:val="24"/>
          <w:szCs w:val="24"/>
        </w:rPr>
        <w:lastRenderedPageBreak/>
        <w:t>primed to worsen the emotions of someone else did not use more URNE or less URPE strategies in the letters they wrote to their ex-partners than participants who were not primed. Furthermore, in Study 2c, primed participants did not choose with more frequency the worsening IER-goal than participants who were not primed.</w:t>
      </w:r>
      <w:r>
        <w:rPr>
          <w:rFonts w:cs="Times New Roman"/>
          <w:sz w:val="24"/>
          <w:szCs w:val="24"/>
        </w:rPr>
        <w:t xml:space="preserve"> </w:t>
      </w:r>
      <w:r w:rsidR="00FB1389" w:rsidRPr="00D05EBD">
        <w:rPr>
          <w:sz w:val="24"/>
          <w:szCs w:val="24"/>
        </w:rPr>
        <w:t xml:space="preserve">The three previous experiments suggested that </w:t>
      </w:r>
      <w:r w:rsidR="001C42F5">
        <w:rPr>
          <w:sz w:val="24"/>
          <w:szCs w:val="24"/>
        </w:rPr>
        <w:t>AIER happens in that it can be primed</w:t>
      </w:r>
      <w:r w:rsidR="00266E28">
        <w:rPr>
          <w:sz w:val="24"/>
          <w:szCs w:val="24"/>
        </w:rPr>
        <w:t xml:space="preserve"> using the SST</w:t>
      </w:r>
      <w:r w:rsidR="001C42F5">
        <w:rPr>
          <w:sz w:val="24"/>
          <w:szCs w:val="24"/>
        </w:rPr>
        <w:t>, but</w:t>
      </w:r>
      <w:r w:rsidR="00266E28">
        <w:rPr>
          <w:sz w:val="24"/>
          <w:szCs w:val="24"/>
        </w:rPr>
        <w:t xml:space="preserve"> that</w:t>
      </w:r>
      <w:r w:rsidR="009C56DB">
        <w:rPr>
          <w:sz w:val="24"/>
          <w:szCs w:val="24"/>
        </w:rPr>
        <w:t xml:space="preserve"> the success of priming the use of negative IER</w:t>
      </w:r>
      <w:r w:rsidR="001C42F5">
        <w:rPr>
          <w:sz w:val="24"/>
          <w:szCs w:val="24"/>
        </w:rPr>
        <w:t xml:space="preserve"> </w:t>
      </w:r>
      <w:r w:rsidR="009C56DB">
        <w:rPr>
          <w:sz w:val="24"/>
          <w:szCs w:val="24"/>
        </w:rPr>
        <w:t xml:space="preserve">strategies </w:t>
      </w:r>
      <w:r w:rsidR="001C42F5">
        <w:rPr>
          <w:sz w:val="24"/>
          <w:szCs w:val="24"/>
        </w:rPr>
        <w:t>seem</w:t>
      </w:r>
      <w:r w:rsidR="009C56DB">
        <w:rPr>
          <w:sz w:val="24"/>
          <w:szCs w:val="24"/>
        </w:rPr>
        <w:t>ed</w:t>
      </w:r>
      <w:r w:rsidR="001C42F5">
        <w:rPr>
          <w:sz w:val="24"/>
          <w:szCs w:val="24"/>
        </w:rPr>
        <w:t xml:space="preserve"> to </w:t>
      </w:r>
      <w:r w:rsidR="00266E28">
        <w:rPr>
          <w:sz w:val="24"/>
          <w:szCs w:val="24"/>
        </w:rPr>
        <w:t xml:space="preserve">have </w:t>
      </w:r>
      <w:r w:rsidR="001C42F5">
        <w:rPr>
          <w:sz w:val="24"/>
          <w:szCs w:val="24"/>
        </w:rPr>
        <w:t>depend</w:t>
      </w:r>
      <w:r w:rsidR="00266E28">
        <w:rPr>
          <w:sz w:val="24"/>
          <w:szCs w:val="24"/>
        </w:rPr>
        <w:t>ed</w:t>
      </w:r>
      <w:r w:rsidR="001C42F5">
        <w:rPr>
          <w:sz w:val="24"/>
          <w:szCs w:val="24"/>
        </w:rPr>
        <w:t xml:space="preserve"> on whether there </w:t>
      </w:r>
      <w:r w:rsidR="009338A0">
        <w:rPr>
          <w:sz w:val="24"/>
          <w:szCs w:val="24"/>
        </w:rPr>
        <w:t>was</w:t>
      </w:r>
      <w:r w:rsidR="001C42F5">
        <w:rPr>
          <w:sz w:val="24"/>
          <w:szCs w:val="24"/>
        </w:rPr>
        <w:t xml:space="preserve"> an IER-goal that </w:t>
      </w:r>
      <w:r w:rsidR="009338A0">
        <w:rPr>
          <w:sz w:val="24"/>
          <w:szCs w:val="24"/>
        </w:rPr>
        <w:t xml:space="preserve">probably </w:t>
      </w:r>
      <w:r w:rsidR="009C56DB">
        <w:rPr>
          <w:sz w:val="24"/>
          <w:szCs w:val="24"/>
        </w:rPr>
        <w:t>mediated</w:t>
      </w:r>
      <w:r w:rsidR="00884699">
        <w:rPr>
          <w:sz w:val="24"/>
          <w:szCs w:val="24"/>
        </w:rPr>
        <w:t xml:space="preserve"> the effect of the prime, nevertheless, choosing a worsening IER goal was not necessary for the prime to activate less use of positive IER strategies. Also, the success of the prime seemed to have been affected by the kind of</w:t>
      </w:r>
      <w:r w:rsidR="001C42F5">
        <w:rPr>
          <w:sz w:val="24"/>
          <w:szCs w:val="24"/>
        </w:rPr>
        <w:t xml:space="preserve"> target task participants encounter</w:t>
      </w:r>
      <w:r w:rsidR="009338A0">
        <w:rPr>
          <w:sz w:val="24"/>
          <w:szCs w:val="24"/>
        </w:rPr>
        <w:t>ed</w:t>
      </w:r>
      <w:r w:rsidR="001C42F5">
        <w:rPr>
          <w:sz w:val="24"/>
          <w:szCs w:val="24"/>
        </w:rPr>
        <w:t xml:space="preserve"> after being primed. </w:t>
      </w:r>
    </w:p>
    <w:p w:rsidR="00FB1389" w:rsidRPr="00D05EBD" w:rsidRDefault="00FB1389" w:rsidP="00AE640B">
      <w:pPr>
        <w:spacing w:line="480" w:lineRule="auto"/>
        <w:ind w:firstLine="720"/>
        <w:jc w:val="both"/>
        <w:rPr>
          <w:sz w:val="24"/>
          <w:szCs w:val="24"/>
        </w:rPr>
      </w:pPr>
      <w:r w:rsidRPr="00D05EBD">
        <w:rPr>
          <w:sz w:val="24"/>
          <w:szCs w:val="24"/>
        </w:rPr>
        <w:t>The effect of a prime can vary greatly because a primed construct can b</w:t>
      </w:r>
      <w:r w:rsidR="00197DCF">
        <w:rPr>
          <w:sz w:val="24"/>
          <w:szCs w:val="24"/>
        </w:rPr>
        <w:t>e influenced by the participant</w:t>
      </w:r>
      <w:r w:rsidRPr="00D05EBD">
        <w:rPr>
          <w:sz w:val="24"/>
          <w:szCs w:val="24"/>
        </w:rPr>
        <w:t xml:space="preserve"> or by the circumstances in which the prime is taking place. For example, </w:t>
      </w:r>
      <w:r w:rsidR="00B06E70">
        <w:rPr>
          <w:sz w:val="24"/>
          <w:szCs w:val="24"/>
        </w:rPr>
        <w:fldChar w:fldCharType="begin" w:fldLock="1"/>
      </w:r>
      <w:r w:rsidR="0058193B">
        <w:rPr>
          <w:sz w:val="24"/>
          <w:szCs w:val="24"/>
        </w:rPr>
        <w:instrText>ADDIN CSL_CITATION { "citationItems" : [ { "id" : "ITEM-1", "itemData" : { "DOI" : "10.1016/S0065-2601(10)42005-5", "ISBN" : "9780123744920", "ISSN" : "00652601", "abstract" : "For more than a decade, researchers have convincingly shown that people's social behavior can be affected by primed constructs without people having any awareness of their influence. Earlier research proposed direct priming accounts for these effects, suggesting that primed constructs exert their effect on behavior in a relatively direct fashion without an intervening role for perceptual processes. In this chapter, we review evidence in favor of an indirect priming account for behavioral priming effects. In these indirect priming effects, a primed construct affects behavior via shifts in perceptions of a perceptual target. We review three types of indirect priming mechanisms: a self-perception, person-perception, and situation-perception mechanism. We also present various moderators that affect the direction and magnitude of each of the indirect priming effects. In addition, we identify factors, related to the attentional focus of the prime recipient, that indicate when each of the different mechanisms operates. Understanding the role of perceptual processes in the prime-to-behavior pathway can unravel more mysteries about the rich and complex nature of social behavior. \u00a9 2010 Elsevier Inc.", "author" : [ { "dropping-particle" : "", "family" : "Smeesters", "given" : "Dirk", "non-dropping-particle" : "", "parse-names" : false, "suffix" : "" }, { "dropping-particle" : "", "family" : "Wheeler", "given" : "S. Christian", "non-dropping-particle" : "", "parse-names" : false, "suffix" : "" }, { "dropping-particle" : "", "family" : "Kay", "given" : "Aaron C.", "non-dropping-particle" : "", "parse-names" : false, "suffix" : "" } ], "container-title" : "Advances in Experimental Social Psychology", "id" : "ITEM-1", "issued" : { "date-parts" : [ [ "2010" ] ] }, "page" : "259-317", "title" : "Chapter Five: Indirect prime-to-behavior effects: The role of perceptions of the self, others, and situations in connecting primed constructs to social behavior", "type" : "article", "volume" : "42" }, "uris" : [ "http://www.mendeley.com/documents/?uuid=a5348cde-c274-36a8-9e37-e4805662b8fc" ] } ], "mendeley" : { "formattedCitation" : "(Smeesters et al., 2010)", "plainTextFormattedCitation" : "(Smeesters et al., 2010)", "previouslyFormattedCitation" : "(Smeesters et al., 2010)" }, "properties" : { "noteIndex" : 0 }, "schema" : "https://github.com/citation-style-language/schema/raw/master/csl-citation.json" }</w:instrText>
      </w:r>
      <w:r w:rsidR="00B06E70">
        <w:rPr>
          <w:sz w:val="24"/>
          <w:szCs w:val="24"/>
        </w:rPr>
        <w:fldChar w:fldCharType="separate"/>
      </w:r>
      <w:r w:rsidR="0058193B" w:rsidRPr="0058193B">
        <w:rPr>
          <w:noProof/>
          <w:sz w:val="24"/>
          <w:szCs w:val="24"/>
        </w:rPr>
        <w:t>(Smeesters et al., 2010)</w:t>
      </w:r>
      <w:r w:rsidR="00B06E70">
        <w:rPr>
          <w:sz w:val="24"/>
          <w:szCs w:val="24"/>
        </w:rPr>
        <w:fldChar w:fldCharType="end"/>
      </w:r>
      <w:r w:rsidRPr="00D05EBD">
        <w:rPr>
          <w:sz w:val="24"/>
          <w:szCs w:val="24"/>
        </w:rPr>
        <w:t xml:space="preserve"> proposed that priming behaviour could act through two different ways, through direct accounts and through indirect accounts. Direct accounts work through the perception-behaviour link </w:t>
      </w:r>
      <w:r w:rsidR="00B06E70">
        <w:rPr>
          <w:sz w:val="24"/>
          <w:szCs w:val="24"/>
        </w:rPr>
        <w:fldChar w:fldCharType="begin" w:fldLock="1"/>
      </w:r>
      <w:r w:rsidR="00F920F7">
        <w:rPr>
          <w:sz w:val="24"/>
          <w:szCs w:val="24"/>
        </w:rPr>
        <w:instrText>ADDIN CSL_CITATION { "citationItems" : [ { "id" : "ITEM-1", "itemData" : { "DOI" : "10.1016/S0065-2601(01)80003-4", "ISBN" : "9780120152339", "ISSN" : "00652601", "abstract" : "- : Ap Dijksterhuis University of Amsterdam John A. Bargh", "author" : [ { "dropping-particle" : "", "family" : "Bargh", "given" : "John A", "non-dropping-particle" : "", "parse-names" : false, "suffix" : "" }, { "dropping-particle" : "", "family" : "Dijksterhuis", "given" : "Ap", "non-dropping-particle" : "", "parse-names" : false, "suffix" : "" } ], "container-title" : "Advances in experimental social psychology", "id" : "ITEM-1", "issued" : { "date-parts" : [ [ "2001" ] ] }, "page" : "1\u201340", "title" : "The perception-behavior expressway: Automatic effects of social perception on social behavior", "type" : "article-journal", "volume" : "33" }, "uris" : [ "http://www.mendeley.com/documents/?uuid=b87b6446-74c8-4eb5-af6e-83df32d47658" ] } ], "mendeley" : { "formattedCitation" : "(J. A. Bargh &amp; Dijksterhuis, 2001)", "plainTextFormattedCitation" : "(J. A. Bargh &amp; Dijksterhuis, 2001)", "previouslyFormattedCitation" : "(J. A. Bargh &amp; Dijksterhuis, 2001)" }, "properties" : { "noteIndex" : 0 }, "schema" : "https://github.com/citation-style-language/schema/raw/master/csl-citation.json" }</w:instrText>
      </w:r>
      <w:r w:rsidR="00B06E70">
        <w:rPr>
          <w:sz w:val="24"/>
          <w:szCs w:val="24"/>
        </w:rPr>
        <w:fldChar w:fldCharType="separate"/>
      </w:r>
      <w:r w:rsidR="00245444" w:rsidRPr="00245444">
        <w:rPr>
          <w:noProof/>
          <w:sz w:val="24"/>
          <w:szCs w:val="24"/>
        </w:rPr>
        <w:t>(Bargh &amp; Dijksterhuis, 2001)</w:t>
      </w:r>
      <w:r w:rsidR="00B06E70">
        <w:rPr>
          <w:sz w:val="24"/>
          <w:szCs w:val="24"/>
        </w:rPr>
        <w:fldChar w:fldCharType="end"/>
      </w:r>
      <w:r w:rsidRPr="00D05EBD">
        <w:rPr>
          <w:sz w:val="24"/>
          <w:szCs w:val="24"/>
        </w:rPr>
        <w:t xml:space="preserve">, people perceive something in the environment that directly activates a certain behaviour. Indirect accounts, on the other hand, require priming to work through perceptual processes of the self, the situations, or others.  In the case of </w:t>
      </w:r>
      <w:r w:rsidR="00197DCF">
        <w:rPr>
          <w:sz w:val="24"/>
          <w:szCs w:val="24"/>
        </w:rPr>
        <w:t>Studies</w:t>
      </w:r>
      <w:r w:rsidR="004E09EE">
        <w:rPr>
          <w:sz w:val="24"/>
          <w:szCs w:val="24"/>
        </w:rPr>
        <w:t xml:space="preserve"> 2a and 2b</w:t>
      </w:r>
      <w:r w:rsidRPr="00D05EBD">
        <w:rPr>
          <w:sz w:val="24"/>
          <w:szCs w:val="24"/>
        </w:rPr>
        <w:t xml:space="preserve">, the indirect account situation could explain </w:t>
      </w:r>
      <w:r w:rsidR="00197DCF">
        <w:rPr>
          <w:sz w:val="24"/>
          <w:szCs w:val="24"/>
        </w:rPr>
        <w:t>why</w:t>
      </w:r>
      <w:r w:rsidRPr="00D05EBD">
        <w:rPr>
          <w:sz w:val="24"/>
          <w:szCs w:val="24"/>
        </w:rPr>
        <w:t xml:space="preserve"> having an ambiguous target task (make up a conversation between two strangers) activated the prime more than having an explicit situation (write a letter to an ex-partner of yours). This is supported by the fact that ambiguous situations require the person interpretation of this situation and this is why the primed constructs work to attain this process </w:t>
      </w:r>
      <w:r w:rsidR="00B06E70">
        <w:rPr>
          <w:sz w:val="24"/>
          <w:szCs w:val="24"/>
        </w:rPr>
        <w:fldChar w:fldCharType="begin" w:fldLock="1"/>
      </w:r>
      <w:r w:rsidR="00FA4094">
        <w:rPr>
          <w:sz w:val="24"/>
          <w:szCs w:val="24"/>
        </w:rPr>
        <w:instrText>ADDIN CSL_CITATION { "citationItems" : [ { "id" : "ITEM-1", "itemData" : { "author" : [ { "dropping-particle" : "", "family" : "Higgins", "given" : "E T", "non-dropping-particle" : "", "parse-names" : false, "suffix" : "" } ], "container-title" : "Social Psychology: Handbook of Basic Principles", "editor" : [ { "dropping-particle" : "", "family" : "Higgins", "given" : "E T", "non-dropping-particle" : "", "parse-names" : false, "suffix" : "" }, { "dropping-particle" : "", "family" : "Kruglanski", "given" : "A W", "non-dropping-particle" : "", "parse-names" : false, "suffix" : "" } ], "id" : "ITEM-1", "issued" : { "date-parts" : [ [ "1996" ] ] }, "page" : "133-168", "publisher" : "Guilford Press", "publisher-place" : "New York, NY", "title" : "Knowledge activation: accessibility, applicability, and salience", "type" : "chapter" }, "uris" : [ "http://www.mendeley.com/documents/?uuid=c18eb6ec-a35a-49e3-8372-25e69398cb1a" ] } ], "mendeley" : { "formattedCitation" : "(Higgins, 1996)", "plainTextFormattedCitation" : "(Higgins, 1996)", "previouslyFormattedCitation" : "(Higgins, 1996)" }, "properties" : { "noteIndex" : 0 }, "schema" : "https://github.com/citation-style-language/schema/raw/master/csl-citation.json" }</w:instrText>
      </w:r>
      <w:r w:rsidR="00B06E70">
        <w:rPr>
          <w:sz w:val="24"/>
          <w:szCs w:val="24"/>
        </w:rPr>
        <w:fldChar w:fldCharType="separate"/>
      </w:r>
      <w:r w:rsidR="00F920F7" w:rsidRPr="00F920F7">
        <w:rPr>
          <w:noProof/>
          <w:sz w:val="24"/>
          <w:szCs w:val="24"/>
        </w:rPr>
        <w:t>(Higgins, 1996)</w:t>
      </w:r>
      <w:r w:rsidR="00B06E70">
        <w:rPr>
          <w:sz w:val="24"/>
          <w:szCs w:val="24"/>
        </w:rPr>
        <w:fldChar w:fldCharType="end"/>
      </w:r>
      <w:r w:rsidRPr="00D05EBD">
        <w:rPr>
          <w:sz w:val="24"/>
          <w:szCs w:val="24"/>
        </w:rPr>
        <w:t xml:space="preserve">. The </w:t>
      </w:r>
      <w:r w:rsidRPr="00D05EBD">
        <w:rPr>
          <w:sz w:val="24"/>
          <w:szCs w:val="24"/>
        </w:rPr>
        <w:lastRenderedPageBreak/>
        <w:t xml:space="preserve">situated inference model </w:t>
      </w:r>
      <w:r w:rsidR="00B06E70">
        <w:rPr>
          <w:sz w:val="24"/>
          <w:szCs w:val="24"/>
        </w:rPr>
        <w:fldChar w:fldCharType="begin" w:fldLock="1"/>
      </w:r>
      <w:r w:rsidR="00B07555">
        <w:rPr>
          <w:sz w:val="24"/>
          <w:szCs w:val="24"/>
        </w:rPr>
        <w:instrText>ADDIN CSL_CITATION { "citationItems" : [ { "id" : "ITEM-1", "itemData" : { "DOI" : "10.1177/1745691611406921", "ISBN" : "1745-6916\\n1745-6924", "ISSN" : "1745-6916", "PMID" : "26168515", "abstract" : "The downstream consequences of a priming induction range from changes in the perception of objects in the environment to the initiation of prime-related behavior and goal striving. Although each of these outcomes has been accounted for by separate mechanisms, we argue that a single process could produce all three priming effects. In this article, we introduce the situated infer- ence model of priming, discuss its potential to account for these divergent outcomes with one mechanism, and demonstrate its ability to organize the priming literatures surrounding these effects. According to the model, primes often do not cause direct effects, instead altering only the accessibility of prime-related mental content. This information produces downstream effects on judgment, behavior, or motivation when it is mistakenly viewed as originating from one\u2019s own internal thought processes. When this misattribution occurs, the prime-related mental content becomes a possible source of information for solving what- ever problems are afforded by the current situation. Because different situations afford very different questions and concerns, the inferred meaning of this prime-related content can vary greatly. The use of this information to answer qualitatively different ques- tions can lead a single prime to produce varied effects on judgment, behavior, and motivation.", "author" : [ { "dropping-particle" : "", "family" : "Loersch", "given" : "C.", "non-dropping-particle" : "", "parse-names" : false, "suffix" : "" }, { "dropping-particle" : "", "family" : "Payne", "given" : "B. K.", "non-dropping-particle" : "", "parse-names" : false, "suffix" : "" } ], "container-title" : "Perspectives on Psychological Science", "id" : "ITEM-1", "issue" : "3", "issued" : { "date-parts" : [ [ "2011" ] ] }, "page" : "234-252", "title" : "The Situated Inference Model: An Integrative Account of the Effects of Primes on Perception, Behavior, and Motivation", "type" : "article-journal", "volume" : "6" }, "uris" : [ "http://www.mendeley.com/documents/?uuid=60c24d47-1283-3af2-898a-7aa5e9c8437b" ] } ], "mendeley" : { "formattedCitation" : "(Loersch &amp; Payne, 2011)", "plainTextFormattedCitation" : "(Loersch &amp; Payne, 2011)", "previouslyFormattedCitation" : "(Loersch &amp; Payne, 2011)" }, "properties" : { "noteIndex" : 0 }, "schema" : "https://github.com/citation-style-language/schema/raw/master/csl-citation.json" }</w:instrText>
      </w:r>
      <w:r w:rsidR="00B06E70">
        <w:rPr>
          <w:sz w:val="24"/>
          <w:szCs w:val="24"/>
        </w:rPr>
        <w:fldChar w:fldCharType="separate"/>
      </w:r>
      <w:r w:rsidR="0058193B" w:rsidRPr="0058193B">
        <w:rPr>
          <w:noProof/>
          <w:sz w:val="24"/>
          <w:szCs w:val="24"/>
        </w:rPr>
        <w:t>(Loersch &amp; Payne, 2011)</w:t>
      </w:r>
      <w:r w:rsidR="00B06E70">
        <w:rPr>
          <w:sz w:val="24"/>
          <w:szCs w:val="24"/>
        </w:rPr>
        <w:fldChar w:fldCharType="end"/>
      </w:r>
      <w:r w:rsidRPr="00D05EBD">
        <w:rPr>
          <w:sz w:val="24"/>
          <w:szCs w:val="24"/>
        </w:rPr>
        <w:t xml:space="preserve"> can also help understand the different effect</w:t>
      </w:r>
      <w:r w:rsidR="00ED610A">
        <w:rPr>
          <w:sz w:val="24"/>
          <w:szCs w:val="24"/>
        </w:rPr>
        <w:t>s</w:t>
      </w:r>
      <w:r w:rsidRPr="00D05EBD">
        <w:rPr>
          <w:sz w:val="24"/>
          <w:szCs w:val="24"/>
        </w:rPr>
        <w:t xml:space="preserve"> a prime might have on the behaviour of a person. After the first step</w:t>
      </w:r>
      <w:r w:rsidR="003A028D">
        <w:rPr>
          <w:sz w:val="24"/>
          <w:szCs w:val="24"/>
        </w:rPr>
        <w:t>,</w:t>
      </w:r>
      <w:r w:rsidRPr="00D05EBD">
        <w:rPr>
          <w:sz w:val="24"/>
          <w:szCs w:val="24"/>
        </w:rPr>
        <w:t xml:space="preserve"> where the prime is activated, and the second step, where the prime is misattributed to one’s own internal process thoughts, comes the opportunity provided by the environment for the effects of the prime to become noticeable </w:t>
      </w:r>
      <w:r w:rsidR="00ED610A">
        <w:rPr>
          <w:sz w:val="24"/>
          <w:szCs w:val="24"/>
        </w:rPr>
        <w:t>(</w:t>
      </w:r>
      <w:r w:rsidRPr="00D05EBD">
        <w:rPr>
          <w:sz w:val="24"/>
          <w:szCs w:val="24"/>
        </w:rPr>
        <w:t>in step three</w:t>
      </w:r>
      <w:r w:rsidR="00ED610A">
        <w:rPr>
          <w:sz w:val="24"/>
          <w:szCs w:val="24"/>
        </w:rPr>
        <w:t>)</w:t>
      </w:r>
      <w:r w:rsidRPr="00D05EBD">
        <w:rPr>
          <w:sz w:val="24"/>
          <w:szCs w:val="24"/>
        </w:rPr>
        <w:t>. It is this last step where the effect of the prime can vary from individual to individual, as the environment has many options for interpretation, judgement and behaviour. Thus, in the present series of studies it may have been possible that the environment provided to participants for the primed construct of worsening someone else’s emotions might have been interpreted differently and consequently acted differently. As it could be observed in Study 2a and Study 2b, a small variation in the environment (asking participants to choose between a worsening and a improving IER goal in Study 2a, and not giving them this option in Study 2b) might have been enough for the environment to be interpreted different</w:t>
      </w:r>
      <w:r w:rsidR="00ED610A">
        <w:rPr>
          <w:sz w:val="24"/>
          <w:szCs w:val="24"/>
        </w:rPr>
        <w:t>ly</w:t>
      </w:r>
      <w:r w:rsidRPr="00D05EBD">
        <w:rPr>
          <w:sz w:val="24"/>
          <w:szCs w:val="24"/>
        </w:rPr>
        <w:t xml:space="preserve"> and thus, for the prime to manifest in a slightly different way (by increasing the number of worsening IER used in Study 2a, and by decreasing the number </w:t>
      </w:r>
      <w:r w:rsidR="00826BA4">
        <w:rPr>
          <w:sz w:val="24"/>
          <w:szCs w:val="24"/>
        </w:rPr>
        <w:t>of improving IER strategies in studies 2a and</w:t>
      </w:r>
      <w:r w:rsidRPr="00D05EBD">
        <w:rPr>
          <w:sz w:val="24"/>
          <w:szCs w:val="24"/>
        </w:rPr>
        <w:t xml:space="preserve"> 2b) but still under the main purpose: making someone feel bad. As making someone feel bad does not necessarily has to be done by using worsening IER strategies, but a person can also </w:t>
      </w:r>
      <w:r w:rsidR="00826BA4">
        <w:rPr>
          <w:sz w:val="24"/>
          <w:szCs w:val="24"/>
        </w:rPr>
        <w:t xml:space="preserve">be less nice to someone else.  Future research could include an </w:t>
      </w:r>
      <w:r w:rsidR="00C13A40">
        <w:rPr>
          <w:sz w:val="24"/>
          <w:szCs w:val="24"/>
        </w:rPr>
        <w:t>impression formation</w:t>
      </w:r>
      <w:r w:rsidR="00826BA4">
        <w:rPr>
          <w:sz w:val="24"/>
          <w:szCs w:val="24"/>
        </w:rPr>
        <w:t xml:space="preserve"> task before the target task</w:t>
      </w:r>
      <w:r w:rsidR="00C64891">
        <w:rPr>
          <w:sz w:val="24"/>
          <w:szCs w:val="24"/>
        </w:rPr>
        <w:t xml:space="preserve"> (similar to the one used by Chartrand and Bargh, 1996</w:t>
      </w:r>
      <w:r w:rsidR="00C64891">
        <w:rPr>
          <w:rStyle w:val="Refdenotaalpie"/>
          <w:sz w:val="24"/>
          <w:szCs w:val="24"/>
        </w:rPr>
        <w:footnoteReference w:id="27"/>
      </w:r>
      <w:r w:rsidR="00C64891">
        <w:rPr>
          <w:sz w:val="24"/>
          <w:szCs w:val="24"/>
        </w:rPr>
        <w:t>)</w:t>
      </w:r>
      <w:r w:rsidR="00826BA4">
        <w:rPr>
          <w:sz w:val="24"/>
          <w:szCs w:val="24"/>
        </w:rPr>
        <w:t xml:space="preserve">. This </w:t>
      </w:r>
      <w:r w:rsidR="00C13A40">
        <w:rPr>
          <w:sz w:val="24"/>
          <w:szCs w:val="24"/>
        </w:rPr>
        <w:t>impression formation</w:t>
      </w:r>
      <w:r w:rsidR="00826BA4">
        <w:rPr>
          <w:sz w:val="24"/>
          <w:szCs w:val="24"/>
        </w:rPr>
        <w:t xml:space="preserve"> task could illustrate a situation where someone is, for example, being mean towards someone who </w:t>
      </w:r>
      <w:r w:rsidR="00826BA4">
        <w:rPr>
          <w:sz w:val="24"/>
          <w:szCs w:val="24"/>
        </w:rPr>
        <w:lastRenderedPageBreak/>
        <w:t xml:space="preserve">has not done anything to deserve it. Thus, in the script, the names of both people that were presented in the evaluative task could be used and it would be expected that the evaluation of participants of the target task would be negative, probably making the primed participant </w:t>
      </w:r>
      <w:r w:rsidR="00C13A40">
        <w:rPr>
          <w:sz w:val="24"/>
          <w:szCs w:val="24"/>
        </w:rPr>
        <w:t xml:space="preserve">to evaluate the script </w:t>
      </w:r>
      <w:r w:rsidR="00C64891">
        <w:rPr>
          <w:sz w:val="24"/>
          <w:szCs w:val="24"/>
        </w:rPr>
        <w:t>task</w:t>
      </w:r>
      <w:r w:rsidR="00C13A40">
        <w:rPr>
          <w:sz w:val="24"/>
          <w:szCs w:val="24"/>
        </w:rPr>
        <w:t xml:space="preserve"> as negative making him/her </w:t>
      </w:r>
      <w:r w:rsidR="00826BA4">
        <w:rPr>
          <w:sz w:val="24"/>
          <w:szCs w:val="24"/>
        </w:rPr>
        <w:t xml:space="preserve">more likely to use worsening IER strategies. </w:t>
      </w:r>
    </w:p>
    <w:p w:rsidR="00FB1389" w:rsidRPr="00D05EBD" w:rsidRDefault="00FB1389" w:rsidP="00AE640B">
      <w:pPr>
        <w:spacing w:line="480" w:lineRule="auto"/>
        <w:ind w:firstLine="720"/>
        <w:jc w:val="both"/>
        <w:rPr>
          <w:sz w:val="24"/>
          <w:szCs w:val="24"/>
        </w:rPr>
      </w:pPr>
      <w:r w:rsidRPr="00D05EBD">
        <w:rPr>
          <w:sz w:val="24"/>
          <w:szCs w:val="24"/>
        </w:rPr>
        <w:t xml:space="preserve">Sometimes the prime has a different effect than the one expected. When priming something negative as it was done (worsening IER), it might be possible to activate this IER behaviour, or to activate a negative mood in the participant. In </w:t>
      </w:r>
      <w:r w:rsidR="00A27306">
        <w:rPr>
          <w:sz w:val="24"/>
          <w:szCs w:val="24"/>
        </w:rPr>
        <w:t>Study</w:t>
      </w:r>
      <w:r w:rsidRPr="00D05EBD">
        <w:rPr>
          <w:sz w:val="24"/>
          <w:szCs w:val="24"/>
        </w:rPr>
        <w:t xml:space="preserve"> 2c, for example, one possible explanation it did not work as expected might </w:t>
      </w:r>
      <w:r w:rsidR="00A27306">
        <w:rPr>
          <w:sz w:val="24"/>
          <w:szCs w:val="24"/>
        </w:rPr>
        <w:t>be</w:t>
      </w:r>
      <w:r w:rsidRPr="00D05EBD">
        <w:rPr>
          <w:sz w:val="24"/>
          <w:szCs w:val="24"/>
        </w:rPr>
        <w:t xml:space="preserve"> that priming participants with worsening IER might have induced a negative mood on the participants which then made participants compensate for this negative mood by writing nice </w:t>
      </w:r>
      <w:r w:rsidR="00A27306">
        <w:rPr>
          <w:sz w:val="24"/>
          <w:szCs w:val="24"/>
        </w:rPr>
        <w:t xml:space="preserve">or neutral </w:t>
      </w:r>
      <w:r w:rsidRPr="00D05EBD">
        <w:rPr>
          <w:sz w:val="24"/>
          <w:szCs w:val="24"/>
        </w:rPr>
        <w:t xml:space="preserve">letters to their ex-partners. </w:t>
      </w:r>
    </w:p>
    <w:p w:rsidR="00FB1389" w:rsidRDefault="00FB1389" w:rsidP="00C76E5B">
      <w:pPr>
        <w:spacing w:line="480" w:lineRule="auto"/>
        <w:ind w:firstLine="709"/>
        <w:jc w:val="both"/>
        <w:rPr>
          <w:rFonts w:cs="Times New Roman"/>
          <w:sz w:val="24"/>
          <w:szCs w:val="24"/>
        </w:rPr>
      </w:pPr>
      <w:r w:rsidRPr="00D05EBD">
        <w:rPr>
          <w:rFonts w:cs="Times New Roman"/>
          <w:sz w:val="24"/>
          <w:szCs w:val="24"/>
        </w:rPr>
        <w:t>S</w:t>
      </w:r>
      <w:r w:rsidR="002264CA">
        <w:rPr>
          <w:rFonts w:cs="Times New Roman"/>
          <w:sz w:val="24"/>
          <w:szCs w:val="24"/>
        </w:rPr>
        <w:t>ome researchers</w:t>
      </w:r>
      <w:r w:rsidR="00963F09">
        <w:rPr>
          <w:rFonts w:cs="Times New Roman"/>
          <w:sz w:val="24"/>
          <w:szCs w:val="24"/>
        </w:rPr>
        <w:t xml:space="preserve"> claim</w:t>
      </w:r>
      <w:r w:rsidRPr="00D05EBD">
        <w:rPr>
          <w:rFonts w:cs="Times New Roman"/>
          <w:sz w:val="24"/>
          <w:szCs w:val="24"/>
        </w:rPr>
        <w:t xml:space="preserve"> that, in order for priming to be effective, the construct being primed has to run in accordance to </w:t>
      </w:r>
      <w:r w:rsidR="00176C5E">
        <w:rPr>
          <w:rFonts w:cs="Times New Roman"/>
          <w:sz w:val="24"/>
          <w:szCs w:val="24"/>
        </w:rPr>
        <w:t>the person’s</w:t>
      </w:r>
      <w:r w:rsidRPr="00D05EBD">
        <w:rPr>
          <w:rFonts w:cs="Times New Roman"/>
          <w:sz w:val="24"/>
          <w:szCs w:val="24"/>
        </w:rPr>
        <w:t xml:space="preserve"> believes, goals, etc., meaning that it is difficult, if not impossible to prime people against their will</w:t>
      </w:r>
      <w:r w:rsidR="002264CA">
        <w:rPr>
          <w:rFonts w:cs="Times New Roman"/>
          <w:sz w:val="24"/>
          <w:szCs w:val="24"/>
        </w:rPr>
        <w:t xml:space="preserve">. </w:t>
      </w:r>
      <w:r w:rsidR="00B06E70">
        <w:rPr>
          <w:rFonts w:cs="Times New Roman"/>
          <w:sz w:val="24"/>
          <w:szCs w:val="24"/>
        </w:rPr>
        <w:fldChar w:fldCharType="begin" w:fldLock="1"/>
      </w:r>
      <w:r w:rsidR="00B07555">
        <w:rPr>
          <w:rFonts w:cs="Times New Roman"/>
          <w:sz w:val="24"/>
          <w:szCs w:val="24"/>
        </w:rPr>
        <w:instrText>ADDIN CSL_CITATION { "citationItems" : [ { "id" : "ITEM-1", "itemData" : { "DOI" : "10.1177/2167702612472176", "ISBN" : "2167702612", "ISSN" : "2167-7026", "abstract" : "The present study examined whether nonconscious priming could increase an individual\u2019s willingness to disclose personal experiences and thoughts to a stranger. Fifty volunteers between 18 and 35 years old were randomly assigned to one of two priming conditions. Group disclosure (n = 25) unscrambled sentences containing disclosure-related words and gave ratings to self-descriptive statements emphasizing their willingness to talk to others. Group nondisclosure (n = 25) was exposed to words and statements expressing a lack of willingness to talk to others. Following priming, both groups were asked to write two essays focused on recent personal experiences and self-reflections. Compared to group nondisclosure, group disclosure wrote significantly longer essays with significantly more statements of feelings. Both participants and researchers were blind to group assignment, and none of the participants expressed awareness of the priming manipulation during debriefing. These results demonstrate that priming can significantly increase an individual\u2019s willingness to self-disclose upon request.", "author" : [ { "dropping-particle" : "", "family" : "Grecco", "given" : "Elizabeth", "non-dropping-particle" : "", "parse-names" : false, "suffix" : "" }, { "dropping-particle" : "", "family" : "Robbins", "given" : "Steven J", "non-dropping-particle" : "", "parse-names" : false, "suffix" : "" }, { "dropping-particle" : "", "family" : "Bartoli", "given" : "Eleonora", "non-dropping-particle" : "", "parse-names" : false, "suffix" : "" }, { "dropping-particle" : "", "family" : "Wolff", "given" : "Edward F", "non-dropping-particle" : "", "parse-names" : false, "suffix" : "" } ], "container-title" : "Clinical Psychological Science", "id" : "ITEM-1", "issue" : "3", "issued" : { "date-parts" : [ [ "2013" ] ] }, "page" : "311-315", "title" : "Use of Nonconscious Priming to Promote Self-Disclosure", "type" : "article-journal", "volume" : "1" }, "uris" : [ "http://www.mendeley.com/documents/?uuid=6bfd8e0c-a6f2-3d53-a973-c6de32215674" ] } ], "mendeley" : { "formattedCitation" : "(Grecco, Robbins, Bartoli, &amp; Wolff, 2013)", "manualFormatting" : "Grecco, Robbins, Bartoli, and Wolff (2013)", "plainTextFormattedCitation" : "(Grecco, Robbins, Bartoli, &amp; Wolff, 2013)", "previouslyFormattedCitation" : "(Grecco, Robbins, Bartoli, &amp; Wolff, 2013)" }, "properties" : { "noteIndex" : 0 }, "schema" : "https://github.com/citation-style-language/schema/raw/master/csl-citation.json" }</w:instrText>
      </w:r>
      <w:r w:rsidR="00B06E70">
        <w:rPr>
          <w:rFonts w:cs="Times New Roman"/>
          <w:sz w:val="24"/>
          <w:szCs w:val="24"/>
        </w:rPr>
        <w:fldChar w:fldCharType="separate"/>
      </w:r>
      <w:r w:rsidR="00B07555" w:rsidRPr="00B07555">
        <w:rPr>
          <w:rFonts w:cs="Times New Roman"/>
          <w:noProof/>
          <w:sz w:val="24"/>
          <w:szCs w:val="24"/>
        </w:rPr>
        <w:t xml:space="preserve">Grecco, Robbins, Bartoli, </w:t>
      </w:r>
      <w:r w:rsidR="00B07555">
        <w:rPr>
          <w:rFonts w:cs="Times New Roman"/>
          <w:noProof/>
          <w:sz w:val="24"/>
          <w:szCs w:val="24"/>
        </w:rPr>
        <w:t>and</w:t>
      </w:r>
      <w:r w:rsidR="00B07555" w:rsidRPr="00B07555">
        <w:rPr>
          <w:rFonts w:cs="Times New Roman"/>
          <w:noProof/>
          <w:sz w:val="24"/>
          <w:szCs w:val="24"/>
        </w:rPr>
        <w:t xml:space="preserve"> Wolff </w:t>
      </w:r>
      <w:r w:rsidR="00B07555">
        <w:rPr>
          <w:rFonts w:cs="Times New Roman"/>
          <w:noProof/>
          <w:sz w:val="24"/>
          <w:szCs w:val="24"/>
        </w:rPr>
        <w:t>(</w:t>
      </w:r>
      <w:r w:rsidR="00B07555" w:rsidRPr="00B07555">
        <w:rPr>
          <w:rFonts w:cs="Times New Roman"/>
          <w:noProof/>
          <w:sz w:val="24"/>
          <w:szCs w:val="24"/>
        </w:rPr>
        <w:t>2013)</w:t>
      </w:r>
      <w:r w:rsidR="00B06E70">
        <w:rPr>
          <w:rFonts w:cs="Times New Roman"/>
          <w:sz w:val="24"/>
          <w:szCs w:val="24"/>
        </w:rPr>
        <w:fldChar w:fldCharType="end"/>
      </w:r>
      <w:r w:rsidRPr="00D05EBD">
        <w:rPr>
          <w:rFonts w:cs="Times New Roman"/>
          <w:sz w:val="24"/>
          <w:szCs w:val="24"/>
        </w:rPr>
        <w:t xml:space="preserve"> primed participants with the concept of disclosure (using words such as </w:t>
      </w:r>
      <w:r w:rsidRPr="002264CA">
        <w:rPr>
          <w:rFonts w:cs="Times New Roman"/>
          <w:i/>
          <w:sz w:val="24"/>
          <w:szCs w:val="24"/>
        </w:rPr>
        <w:t>opens</w:t>
      </w:r>
      <w:r w:rsidRPr="00D05EBD">
        <w:rPr>
          <w:rFonts w:cs="Times New Roman"/>
          <w:sz w:val="24"/>
          <w:szCs w:val="24"/>
        </w:rPr>
        <w:t xml:space="preserve"> and </w:t>
      </w:r>
      <w:r w:rsidRPr="002264CA">
        <w:rPr>
          <w:rFonts w:cs="Times New Roman"/>
          <w:i/>
          <w:sz w:val="24"/>
          <w:szCs w:val="24"/>
        </w:rPr>
        <w:t>talks</w:t>
      </w:r>
      <w:r w:rsidRPr="00D05EBD">
        <w:rPr>
          <w:rFonts w:cs="Times New Roman"/>
          <w:sz w:val="24"/>
          <w:szCs w:val="24"/>
        </w:rPr>
        <w:t>) and nondisclosure (</w:t>
      </w:r>
      <w:r w:rsidR="002264CA">
        <w:rPr>
          <w:rFonts w:cs="Times New Roman"/>
          <w:sz w:val="24"/>
          <w:szCs w:val="24"/>
        </w:rPr>
        <w:t xml:space="preserve">using words such as </w:t>
      </w:r>
      <w:r w:rsidRPr="002264CA">
        <w:rPr>
          <w:rFonts w:cs="Times New Roman"/>
          <w:i/>
          <w:sz w:val="24"/>
          <w:szCs w:val="24"/>
        </w:rPr>
        <w:t>closes</w:t>
      </w:r>
      <w:r w:rsidR="002264CA">
        <w:rPr>
          <w:rFonts w:cs="Times New Roman"/>
          <w:sz w:val="24"/>
          <w:szCs w:val="24"/>
        </w:rPr>
        <w:t xml:space="preserve"> and</w:t>
      </w:r>
      <w:r w:rsidRPr="00D05EBD">
        <w:rPr>
          <w:rFonts w:cs="Times New Roman"/>
          <w:sz w:val="24"/>
          <w:szCs w:val="24"/>
        </w:rPr>
        <w:t xml:space="preserve"> </w:t>
      </w:r>
      <w:r w:rsidRPr="002264CA">
        <w:rPr>
          <w:rFonts w:cs="Times New Roman"/>
          <w:i/>
          <w:sz w:val="24"/>
          <w:szCs w:val="24"/>
        </w:rPr>
        <w:t>restricted</w:t>
      </w:r>
      <w:r w:rsidRPr="00D05EBD">
        <w:rPr>
          <w:rFonts w:cs="Times New Roman"/>
          <w:sz w:val="24"/>
          <w:szCs w:val="24"/>
        </w:rPr>
        <w:t xml:space="preserve">). They also asked participants to rate some self-affirmation statements (in a scale from -3 to 3) in order for participants to identify or not with the words previously primed. For the disclosure group an item example was </w:t>
      </w:r>
      <w:r w:rsidRPr="00604921">
        <w:rPr>
          <w:rFonts w:cs="Times New Roman"/>
          <w:i/>
          <w:sz w:val="24"/>
          <w:szCs w:val="24"/>
        </w:rPr>
        <w:t>sometimes I like talking to people</w:t>
      </w:r>
      <w:r w:rsidRPr="00D05EBD">
        <w:rPr>
          <w:rFonts w:cs="Times New Roman"/>
          <w:sz w:val="24"/>
          <w:szCs w:val="24"/>
        </w:rPr>
        <w:t>, for the nond</w:t>
      </w:r>
      <w:r w:rsidR="00604921">
        <w:rPr>
          <w:rFonts w:cs="Times New Roman"/>
          <w:sz w:val="24"/>
          <w:szCs w:val="24"/>
        </w:rPr>
        <w:t xml:space="preserve">isclosure group an example was </w:t>
      </w:r>
      <w:r w:rsidR="00604921" w:rsidRPr="00604921">
        <w:rPr>
          <w:rFonts w:cs="Times New Roman"/>
          <w:i/>
          <w:sz w:val="24"/>
          <w:szCs w:val="24"/>
        </w:rPr>
        <w:t>s</w:t>
      </w:r>
      <w:r w:rsidRPr="00604921">
        <w:rPr>
          <w:rFonts w:cs="Times New Roman"/>
          <w:i/>
          <w:sz w:val="24"/>
          <w:szCs w:val="24"/>
        </w:rPr>
        <w:t>ometimes I like being quiet</w:t>
      </w:r>
      <w:r w:rsidRPr="00D05EBD">
        <w:rPr>
          <w:rFonts w:cs="Times New Roman"/>
          <w:sz w:val="24"/>
          <w:szCs w:val="24"/>
        </w:rPr>
        <w:t xml:space="preserve">. They found that group disclosure wrote significantly longer essays with significantly more statements about feelings. In this study the researchers showed that in order for the prime to express on </w:t>
      </w:r>
      <w:r w:rsidRPr="00D05EBD">
        <w:rPr>
          <w:rFonts w:cs="Times New Roman"/>
          <w:sz w:val="24"/>
          <w:szCs w:val="24"/>
        </w:rPr>
        <w:lastRenderedPageBreak/>
        <w:t xml:space="preserve">the behaviour participants needed to internalize this prime first. This seems to justify what </w:t>
      </w:r>
      <w:r w:rsidR="00B06E70">
        <w:rPr>
          <w:rFonts w:cs="Times New Roman"/>
          <w:sz w:val="24"/>
          <w:szCs w:val="24"/>
        </w:rPr>
        <w:fldChar w:fldCharType="begin" w:fldLock="1"/>
      </w:r>
      <w:r w:rsidR="00322E9E">
        <w:rPr>
          <w:rFonts w:cs="Times New Roman"/>
          <w:sz w:val="24"/>
          <w:szCs w:val="24"/>
        </w:rPr>
        <w:instrText>ADDIN CSL_CITATION { "citationItems" : [ { "id" : "ITEM-1", "itemData" : { "DOI" : "10.1037/a0013263", "abstract" : "Findings showed that the nonconscious activation of a goal in memory led to increased positive implicit attitudes toward stimuli that could facilitate the goal. This evaluative readiness to pursue the noncon-scious goal emerged even when participants were consciously unaware of the goal-relevant stimuli. The effect emerged the most strongly for those with some skill at the goal and for those for whom the goal was most currently important. The effect of implicit goal activation on implicit attitudes emerged in both an immediate condition as well as a delay condition, suggesting that a goal rather than a nonmotivational construct was activated. Participants' implicit attitudes toward a nonconscious goal also predicted their goal-relevant behavior. These findings suggest that people can become evaluatively ready to pursue a goal whenever it has been activated\u2014a readiness that apparently does not require conscious awareness or deliberation about either the goal or the goal-relevant stimuli. Theoretical implications of this type of implicit goal readiness are discussed.", "author" : [ { "dropping-particle" : "", "family" : "Ferguson", "given" : "Melissa J.", "non-dropping-particle" : "", "parse-names" : false, "suffix" : "" } ], "container-title" : "Journal of Personality and Social Psychology", "id" : "ITEM-1", "issue" : "6", "issued" : { "date-parts" : [ [ "2008" ] ] }, "page" : "1268-1294", "title" : "On Becoming Ready to Pursue a Goal You Don't Know You Have: Effects of Nonconscious Goals on Evaluative Readiness", "type" : "article-journal", "volume" : "95" }, "uris" : [ "http://www.mendeley.com/documents/?uuid=601fd894-d1ab-39ff-8aa9-827c9de1ba00" ] } ], "mendeley" : { "formattedCitation" : "(Ferguson, 2008)", "manualFormatting" : "Ferguson (2008)", "plainTextFormattedCitation" : "(Ferguson, 2008)", "previouslyFormattedCitation" : "(Ferguson, 2008)" }, "properties" : { "noteIndex" : 0 }, "schema" : "https://github.com/citation-style-language/schema/raw/master/csl-citation.json" }</w:instrText>
      </w:r>
      <w:r w:rsidR="00B06E70">
        <w:rPr>
          <w:rFonts w:cs="Times New Roman"/>
          <w:sz w:val="24"/>
          <w:szCs w:val="24"/>
        </w:rPr>
        <w:fldChar w:fldCharType="separate"/>
      </w:r>
      <w:r w:rsidR="00322E9E">
        <w:rPr>
          <w:rFonts w:cs="Times New Roman"/>
          <w:noProof/>
          <w:sz w:val="24"/>
          <w:szCs w:val="24"/>
        </w:rPr>
        <w:t>Ferguson</w:t>
      </w:r>
      <w:r w:rsidR="00322E9E" w:rsidRPr="00322E9E">
        <w:rPr>
          <w:rFonts w:cs="Times New Roman"/>
          <w:noProof/>
          <w:sz w:val="24"/>
          <w:szCs w:val="24"/>
        </w:rPr>
        <w:t xml:space="preserve"> </w:t>
      </w:r>
      <w:r w:rsidR="00322E9E">
        <w:rPr>
          <w:rFonts w:cs="Times New Roman"/>
          <w:noProof/>
          <w:sz w:val="24"/>
          <w:szCs w:val="24"/>
        </w:rPr>
        <w:t>(</w:t>
      </w:r>
      <w:r w:rsidR="00322E9E" w:rsidRPr="00322E9E">
        <w:rPr>
          <w:rFonts w:cs="Times New Roman"/>
          <w:noProof/>
          <w:sz w:val="24"/>
          <w:szCs w:val="24"/>
        </w:rPr>
        <w:t>2008)</w:t>
      </w:r>
      <w:r w:rsidR="00B06E70">
        <w:rPr>
          <w:rFonts w:cs="Times New Roman"/>
          <w:sz w:val="24"/>
          <w:szCs w:val="24"/>
        </w:rPr>
        <w:fldChar w:fldCharType="end"/>
      </w:r>
      <w:r w:rsidRPr="00D05EBD">
        <w:rPr>
          <w:rFonts w:cs="Times New Roman"/>
          <w:sz w:val="24"/>
          <w:szCs w:val="24"/>
        </w:rPr>
        <w:t xml:space="preserve"> claimed, that having a goal makes people evaluatively ready to pursue it, even if the goal is primed and participants are not aware of it.  </w:t>
      </w:r>
    </w:p>
    <w:p w:rsidR="00FC56BE" w:rsidRDefault="00AB6085" w:rsidP="00DA2355">
      <w:pPr>
        <w:spacing w:line="480" w:lineRule="auto"/>
        <w:ind w:firstLine="709"/>
        <w:jc w:val="both"/>
        <w:rPr>
          <w:b/>
          <w:sz w:val="72"/>
          <w:szCs w:val="72"/>
        </w:rPr>
      </w:pPr>
      <w:r w:rsidRPr="00D05EBD">
        <w:rPr>
          <w:sz w:val="24"/>
          <w:szCs w:val="24"/>
        </w:rPr>
        <w:t>As a conclusion the present chapter suggests that it is possible to prime</w:t>
      </w:r>
      <w:r w:rsidR="00632A45">
        <w:rPr>
          <w:sz w:val="24"/>
          <w:szCs w:val="24"/>
        </w:rPr>
        <w:t xml:space="preserve"> worsening</w:t>
      </w:r>
      <w:r w:rsidRPr="00D05EBD">
        <w:rPr>
          <w:sz w:val="24"/>
          <w:szCs w:val="24"/>
        </w:rPr>
        <w:t xml:space="preserve"> IER </w:t>
      </w:r>
      <w:r w:rsidR="00632A45">
        <w:rPr>
          <w:sz w:val="24"/>
          <w:szCs w:val="24"/>
        </w:rPr>
        <w:t xml:space="preserve">using the SST </w:t>
      </w:r>
      <w:r w:rsidRPr="00D05EBD">
        <w:rPr>
          <w:sz w:val="24"/>
          <w:szCs w:val="24"/>
        </w:rPr>
        <w:t xml:space="preserve">but </w:t>
      </w:r>
      <w:r w:rsidR="0047127F">
        <w:rPr>
          <w:sz w:val="24"/>
          <w:szCs w:val="24"/>
        </w:rPr>
        <w:t xml:space="preserve">that </w:t>
      </w:r>
      <w:r w:rsidR="00632A45">
        <w:rPr>
          <w:sz w:val="24"/>
          <w:szCs w:val="24"/>
        </w:rPr>
        <w:t xml:space="preserve">the effect of priming may not necessarily </w:t>
      </w:r>
      <w:r w:rsidR="007D4B19">
        <w:rPr>
          <w:sz w:val="24"/>
          <w:szCs w:val="24"/>
        </w:rPr>
        <w:t xml:space="preserve">and exclusively </w:t>
      </w:r>
      <w:r w:rsidR="00632A45">
        <w:rPr>
          <w:sz w:val="24"/>
          <w:szCs w:val="24"/>
        </w:rPr>
        <w:t xml:space="preserve">show in the form of IER strategies </w:t>
      </w:r>
      <w:r w:rsidR="007D4B19">
        <w:rPr>
          <w:sz w:val="24"/>
          <w:szCs w:val="24"/>
        </w:rPr>
        <w:t>aimed at</w:t>
      </w:r>
      <w:r w:rsidR="00632A45">
        <w:rPr>
          <w:sz w:val="24"/>
          <w:szCs w:val="24"/>
        </w:rPr>
        <w:t xml:space="preserve"> increas</w:t>
      </w:r>
      <w:r w:rsidR="007D4B19">
        <w:rPr>
          <w:sz w:val="24"/>
          <w:szCs w:val="24"/>
        </w:rPr>
        <w:t>ing</w:t>
      </w:r>
      <w:r w:rsidR="00632A45">
        <w:rPr>
          <w:sz w:val="24"/>
          <w:szCs w:val="24"/>
        </w:rPr>
        <w:t xml:space="preserve"> the negative emotions of someone else, like insult</w:t>
      </w:r>
      <w:r w:rsidR="007D4B19">
        <w:rPr>
          <w:sz w:val="24"/>
          <w:szCs w:val="24"/>
        </w:rPr>
        <w:t>ing or</w:t>
      </w:r>
      <w:r w:rsidR="00632A45">
        <w:rPr>
          <w:sz w:val="24"/>
          <w:szCs w:val="24"/>
        </w:rPr>
        <w:t xml:space="preserve"> bother</w:t>
      </w:r>
      <w:r w:rsidR="007D4B19">
        <w:rPr>
          <w:sz w:val="24"/>
          <w:szCs w:val="24"/>
        </w:rPr>
        <w:t>ing</w:t>
      </w:r>
      <w:r w:rsidR="00632A45">
        <w:rPr>
          <w:sz w:val="24"/>
          <w:szCs w:val="24"/>
        </w:rPr>
        <w:t xml:space="preserve"> someone, but that</w:t>
      </w:r>
      <w:r w:rsidR="007D4B19">
        <w:rPr>
          <w:sz w:val="24"/>
          <w:szCs w:val="24"/>
        </w:rPr>
        <w:t xml:space="preserve"> the effect of the prime can manifest</w:t>
      </w:r>
      <w:r w:rsidR="00632A45">
        <w:rPr>
          <w:sz w:val="24"/>
          <w:szCs w:val="24"/>
        </w:rPr>
        <w:t xml:space="preserve"> in the form of being less friendly or nice to some else.</w:t>
      </w:r>
      <w:r w:rsidR="007D4B19">
        <w:rPr>
          <w:sz w:val="24"/>
          <w:szCs w:val="24"/>
        </w:rPr>
        <w:t xml:space="preserve"> Also, this chapter illustrated </w:t>
      </w:r>
      <w:r w:rsidR="00176C5E">
        <w:rPr>
          <w:sz w:val="24"/>
          <w:szCs w:val="24"/>
        </w:rPr>
        <w:t xml:space="preserve">that </w:t>
      </w:r>
      <w:r w:rsidR="007D4B19">
        <w:rPr>
          <w:sz w:val="24"/>
          <w:szCs w:val="24"/>
        </w:rPr>
        <w:t>primed worsening IER strategies do not manifest unless the participants see a clear chance to manifest them, in this case, the chance of choosing a goal to make someone else feel bad. Finally, the present chapter showed that the task where the effect of the prime is to be observed has to be chosen carefully, so it can activate the concept the researcher want</w:t>
      </w:r>
      <w:r w:rsidR="00176C5E">
        <w:rPr>
          <w:sz w:val="24"/>
          <w:szCs w:val="24"/>
        </w:rPr>
        <w:t>s</w:t>
      </w:r>
      <w:r w:rsidR="007D4B19">
        <w:rPr>
          <w:sz w:val="24"/>
          <w:szCs w:val="24"/>
        </w:rPr>
        <w:t xml:space="preserve"> to prime.  </w:t>
      </w:r>
      <w:r w:rsidR="00632A45">
        <w:rPr>
          <w:sz w:val="24"/>
          <w:szCs w:val="24"/>
        </w:rPr>
        <w:t xml:space="preserve"> </w:t>
      </w:r>
    </w:p>
    <w:p w:rsidR="00DA2355" w:rsidRDefault="00DA2355" w:rsidP="00DA2355">
      <w:pPr>
        <w:spacing w:line="480" w:lineRule="auto"/>
        <w:ind w:firstLine="709"/>
        <w:jc w:val="both"/>
        <w:rPr>
          <w:b/>
          <w:sz w:val="72"/>
          <w:szCs w:val="72"/>
        </w:rPr>
      </w:pPr>
    </w:p>
    <w:p w:rsidR="00322E9E" w:rsidRDefault="00322E9E" w:rsidP="00DA2355">
      <w:pPr>
        <w:spacing w:line="480" w:lineRule="auto"/>
        <w:ind w:firstLine="709"/>
        <w:jc w:val="both"/>
        <w:rPr>
          <w:b/>
          <w:sz w:val="72"/>
          <w:szCs w:val="72"/>
        </w:rPr>
      </w:pPr>
    </w:p>
    <w:p w:rsidR="00322E9E" w:rsidRDefault="00322E9E" w:rsidP="00DA2355">
      <w:pPr>
        <w:spacing w:line="480" w:lineRule="auto"/>
        <w:ind w:firstLine="709"/>
        <w:jc w:val="both"/>
        <w:rPr>
          <w:b/>
          <w:sz w:val="72"/>
          <w:szCs w:val="72"/>
        </w:rPr>
      </w:pPr>
    </w:p>
    <w:p w:rsidR="00322E9E" w:rsidRDefault="00322E9E" w:rsidP="00DA2355">
      <w:pPr>
        <w:spacing w:line="480" w:lineRule="auto"/>
        <w:ind w:firstLine="709"/>
        <w:jc w:val="both"/>
        <w:rPr>
          <w:b/>
          <w:sz w:val="72"/>
          <w:szCs w:val="72"/>
        </w:rPr>
      </w:pPr>
    </w:p>
    <w:p w:rsidR="00FB1389" w:rsidRPr="00C76E5B" w:rsidRDefault="00C76E5B" w:rsidP="00C76E5B">
      <w:pPr>
        <w:spacing w:line="480" w:lineRule="auto"/>
        <w:jc w:val="center"/>
        <w:rPr>
          <w:b/>
          <w:sz w:val="72"/>
          <w:szCs w:val="72"/>
        </w:rPr>
      </w:pPr>
      <w:r>
        <w:rPr>
          <w:b/>
          <w:sz w:val="72"/>
          <w:szCs w:val="72"/>
        </w:rPr>
        <w:t>CHAPTER</w:t>
      </w:r>
      <w:r w:rsidR="00FB1389" w:rsidRPr="00C76E5B">
        <w:rPr>
          <w:b/>
          <w:sz w:val="72"/>
          <w:szCs w:val="72"/>
        </w:rPr>
        <w:t xml:space="preserve"> 4</w:t>
      </w:r>
    </w:p>
    <w:p w:rsidR="00FB1389" w:rsidRPr="00C76E5B" w:rsidRDefault="00FB1389" w:rsidP="00C76E5B">
      <w:pPr>
        <w:spacing w:line="480" w:lineRule="auto"/>
        <w:jc w:val="center"/>
        <w:rPr>
          <w:b/>
          <w:sz w:val="40"/>
          <w:szCs w:val="40"/>
        </w:rPr>
      </w:pPr>
      <w:r w:rsidRPr="00C76E5B">
        <w:rPr>
          <w:b/>
          <w:sz w:val="40"/>
          <w:szCs w:val="40"/>
        </w:rPr>
        <w:t>Does having previously exerted self-control affect the use of interpersonal emotion regulation?</w:t>
      </w:r>
    </w:p>
    <w:p w:rsidR="00FB1389" w:rsidRPr="00D05EBD" w:rsidRDefault="00FB1389" w:rsidP="00AE640B">
      <w:pPr>
        <w:spacing w:line="480" w:lineRule="auto"/>
        <w:ind w:firstLine="720"/>
        <w:jc w:val="both"/>
        <w:rPr>
          <w:sz w:val="24"/>
          <w:szCs w:val="24"/>
        </w:rPr>
      </w:pPr>
    </w:p>
    <w:p w:rsidR="00FB1389" w:rsidRPr="00D05EBD" w:rsidRDefault="00FB1389" w:rsidP="00AE640B">
      <w:pPr>
        <w:spacing w:line="480" w:lineRule="auto"/>
        <w:ind w:firstLine="720"/>
        <w:jc w:val="both"/>
        <w:rPr>
          <w:sz w:val="24"/>
          <w:szCs w:val="24"/>
        </w:rPr>
      </w:pPr>
    </w:p>
    <w:p w:rsidR="00FB1389" w:rsidRPr="00D05EBD" w:rsidRDefault="00FB1389" w:rsidP="00AE640B">
      <w:pPr>
        <w:spacing w:line="480" w:lineRule="auto"/>
        <w:ind w:firstLine="720"/>
        <w:jc w:val="both"/>
        <w:rPr>
          <w:sz w:val="24"/>
          <w:szCs w:val="24"/>
        </w:rPr>
      </w:pPr>
    </w:p>
    <w:p w:rsidR="00FB1389" w:rsidRPr="00D05EBD" w:rsidRDefault="00FB1389" w:rsidP="00AE640B">
      <w:pPr>
        <w:spacing w:line="480" w:lineRule="auto"/>
        <w:ind w:firstLine="720"/>
        <w:jc w:val="both"/>
        <w:rPr>
          <w:sz w:val="24"/>
          <w:szCs w:val="24"/>
        </w:rPr>
      </w:pPr>
    </w:p>
    <w:p w:rsidR="00FB1389" w:rsidRPr="00D05EBD" w:rsidRDefault="00FB1389" w:rsidP="00AE640B">
      <w:pPr>
        <w:spacing w:line="480" w:lineRule="auto"/>
        <w:ind w:firstLine="720"/>
        <w:jc w:val="both"/>
        <w:rPr>
          <w:sz w:val="24"/>
          <w:szCs w:val="24"/>
        </w:rPr>
      </w:pPr>
    </w:p>
    <w:p w:rsidR="00FB1389" w:rsidRPr="00D05EBD" w:rsidRDefault="00FB1389" w:rsidP="00AE640B">
      <w:pPr>
        <w:spacing w:line="480" w:lineRule="auto"/>
        <w:ind w:firstLine="720"/>
        <w:jc w:val="both"/>
        <w:rPr>
          <w:sz w:val="24"/>
          <w:szCs w:val="24"/>
        </w:rPr>
      </w:pPr>
    </w:p>
    <w:p w:rsidR="00FB1389" w:rsidRPr="00D05EBD" w:rsidRDefault="00FB1389" w:rsidP="00AE640B">
      <w:pPr>
        <w:spacing w:line="480" w:lineRule="auto"/>
        <w:ind w:firstLine="720"/>
        <w:jc w:val="both"/>
        <w:rPr>
          <w:sz w:val="24"/>
          <w:szCs w:val="24"/>
        </w:rPr>
      </w:pPr>
    </w:p>
    <w:p w:rsidR="00FB1389" w:rsidRPr="00D05EBD" w:rsidRDefault="00FB1389" w:rsidP="00AE640B">
      <w:pPr>
        <w:spacing w:line="480" w:lineRule="auto"/>
        <w:ind w:firstLine="720"/>
        <w:jc w:val="both"/>
        <w:rPr>
          <w:sz w:val="24"/>
          <w:szCs w:val="24"/>
        </w:rPr>
      </w:pPr>
    </w:p>
    <w:p w:rsidR="00FB1389" w:rsidRPr="00D05EBD" w:rsidRDefault="00FB1389" w:rsidP="00AE640B">
      <w:pPr>
        <w:spacing w:line="480" w:lineRule="auto"/>
        <w:ind w:firstLine="720"/>
        <w:jc w:val="both"/>
        <w:rPr>
          <w:sz w:val="24"/>
          <w:szCs w:val="24"/>
        </w:rPr>
      </w:pPr>
    </w:p>
    <w:p w:rsidR="00FB1389" w:rsidRPr="00D05EBD" w:rsidRDefault="00FB1389" w:rsidP="00AE640B">
      <w:pPr>
        <w:spacing w:line="480" w:lineRule="auto"/>
        <w:ind w:firstLine="720"/>
        <w:jc w:val="both"/>
        <w:rPr>
          <w:sz w:val="24"/>
          <w:szCs w:val="24"/>
        </w:rPr>
      </w:pPr>
    </w:p>
    <w:p w:rsidR="00FB1389" w:rsidRPr="00D05EBD" w:rsidRDefault="00FB1389" w:rsidP="00C76E5B">
      <w:pPr>
        <w:spacing w:line="480" w:lineRule="auto"/>
        <w:ind w:firstLine="720"/>
        <w:jc w:val="both"/>
        <w:rPr>
          <w:sz w:val="24"/>
          <w:szCs w:val="24"/>
        </w:rPr>
      </w:pPr>
      <w:r w:rsidRPr="00D05EBD">
        <w:rPr>
          <w:sz w:val="24"/>
          <w:szCs w:val="24"/>
        </w:rPr>
        <w:lastRenderedPageBreak/>
        <w:t xml:space="preserve">Chapters 2 and 3 presented evidence of automatic interpersonal emotion regulation (AIER) happening. In Chapter 2, participants reported using AIER strategies to improve the emotions of close others to a greater extent than with acquaintances. In Chapter 3, participants that were primed to worsen the emotions of someone else exhibited more worsening forms of IER in a fictional conversation they imagined they had with a fictional character. Despite having found some evidence of AIER, this evidence has been based on self-report questionnaires (Chapter 2) and on responses to imaginary interpersonal interactions (Chapter 3), which does not necessarily reflect how AIER happens in real time and in interactions outside of the context of the laboratory respectively. Furthermore, neither chapter provides an explanation of </w:t>
      </w:r>
      <w:r w:rsidRPr="00D05EBD">
        <w:rPr>
          <w:i/>
          <w:sz w:val="24"/>
          <w:szCs w:val="24"/>
        </w:rPr>
        <w:t>why</w:t>
      </w:r>
      <w:r w:rsidRPr="00D05EBD">
        <w:rPr>
          <w:sz w:val="24"/>
          <w:szCs w:val="24"/>
        </w:rPr>
        <w:t xml:space="preserve"> AIER happens, other than it occurs more in close relationships and that environmental cues (i.e., priming) can activate AIER. </w:t>
      </w:r>
    </w:p>
    <w:p w:rsidR="00FB1389" w:rsidRPr="00D05EBD" w:rsidRDefault="00FB1389" w:rsidP="00AE640B">
      <w:pPr>
        <w:spacing w:line="480" w:lineRule="auto"/>
        <w:ind w:firstLine="720"/>
        <w:jc w:val="both"/>
        <w:rPr>
          <w:sz w:val="24"/>
          <w:szCs w:val="24"/>
        </w:rPr>
      </w:pPr>
      <w:r w:rsidRPr="00D05EBD">
        <w:rPr>
          <w:sz w:val="24"/>
          <w:szCs w:val="24"/>
        </w:rPr>
        <w:t>The present chapter investigates one of the factors that has been associated with automaticity, namely, being depleted of self-regulatory</w:t>
      </w:r>
      <w:r w:rsidRPr="00973AEB">
        <w:rPr>
          <w:rStyle w:val="Refdenotaalpie"/>
        </w:rPr>
        <w:footnoteReference w:id="28"/>
      </w:r>
      <w:r w:rsidRPr="00D05EBD">
        <w:rPr>
          <w:sz w:val="24"/>
          <w:szCs w:val="24"/>
        </w:rPr>
        <w:t xml:space="preserve"> resources. The aim of this chapter is to develop a (self-report) measure of self-control depletion that could then be used to investigate the relationship between self-control depletion and use of AIER. The next section will describe the Strength Model of Self-Control and explain the relationship between self-control and automaticity. Next, Study 3, which involved giving participants a questionnaire to measure the extent to which they exerted self-control during their working day and whether this affected their performance on a measure of self-control </w:t>
      </w:r>
      <w:r w:rsidRPr="00D05EBD">
        <w:rPr>
          <w:sz w:val="24"/>
          <w:szCs w:val="24"/>
        </w:rPr>
        <w:lastRenderedPageBreak/>
        <w:t>will be introduced. Investigating factors associated with the use of automatic behaviours (in this case, self-control depletion) provides the opportunity of creating scenarios where automaticity happens, making easier to empirically study AIER.</w:t>
      </w:r>
    </w:p>
    <w:p w:rsidR="00FB1389" w:rsidRPr="00D05EBD" w:rsidRDefault="00FB1389" w:rsidP="00AE640B">
      <w:pPr>
        <w:spacing w:line="480" w:lineRule="auto"/>
        <w:ind w:firstLine="720"/>
        <w:jc w:val="both"/>
        <w:rPr>
          <w:b/>
          <w:sz w:val="24"/>
          <w:szCs w:val="24"/>
        </w:rPr>
      </w:pPr>
      <w:r w:rsidRPr="00D05EBD">
        <w:rPr>
          <w:b/>
          <w:sz w:val="24"/>
          <w:szCs w:val="24"/>
        </w:rPr>
        <w:t xml:space="preserve">4.1 Strength model of self-control </w:t>
      </w:r>
    </w:p>
    <w:p w:rsidR="00FB1389" w:rsidRPr="00D05EBD" w:rsidRDefault="00FB1389" w:rsidP="00AE640B">
      <w:pPr>
        <w:spacing w:line="480" w:lineRule="auto"/>
        <w:ind w:firstLine="720"/>
        <w:jc w:val="both"/>
        <w:rPr>
          <w:sz w:val="24"/>
          <w:szCs w:val="24"/>
        </w:rPr>
      </w:pPr>
      <w:r w:rsidRPr="00D05EBD">
        <w:rPr>
          <w:sz w:val="24"/>
          <w:szCs w:val="24"/>
        </w:rPr>
        <w:t xml:space="preserve">In everyday life people frequently try to control their responses and override impulses </w:t>
      </w:r>
      <w:r w:rsidR="00B06E70">
        <w:rPr>
          <w:sz w:val="24"/>
          <w:szCs w:val="24"/>
        </w:rPr>
        <w:fldChar w:fldCharType="begin" w:fldLock="1"/>
      </w:r>
      <w:r w:rsidR="00927FCB">
        <w:rPr>
          <w:sz w:val="24"/>
          <w:szCs w:val="24"/>
        </w:rPr>
        <w:instrText>ADDIN CSL_CITATION { "citationItems" : [ { "id" : "ITEM-1", "itemData" : { "DOI" : "10.1037/a0026545", "ISBN" : "1939-1315 (Electronic)\\r0022-3514 (Linking)", "ISSN" : "1939-1315", "PMID" : "22149456", "abstract" : "How often and how strongly do people experience desires, to what extent do their desires conflict with other goals, and how often and successfully do people exercise self-control to resist their desires? To investigate desire and attempts to control desire in everyday life, we conducted a large-scale experience sampling study based on a conceptual framework integrating desire strength, conflict, resistance (use of self-control), and behavior enactment. A sample of 205 adults wore beepers for a week. They furnished 7,827 reports of desire episodes and completed personality measures of behavioral inhibition system/behavior activation system (BIS/BAS) sensitivity, trait self-control, perfectionism, and narcissistic entitlement. Results suggest that desires are frequent, variable in intensity, and largely unproblematic. Those urges that do conflict with other goals tend to elicit resistance, with uneven success. Desire strength, conflict, resistance, and self-regulatory success were moderated in multiple ways by personality variables as well as by situational and interpersonal factors such as alcohol consumption, the mere presence of others, and the presence of others who already had enacted the desire in question. Whereas personality generally had a stronger impact on the dimensions of desire that emerged early in its course (desire strength and conflict), situational factors showed relatively more influence on components later in the process (resistance and behavior enactment). In total, these findings offer a novel and detailed perspective on the nature of everyday desires and associated self-regulatory successes and failures.", "author" : [ { "dropping-particle" : "", "family" : "Hofmann", "given" : "Wilhelm", "non-dropping-particle" : "", "parse-names" : false, "suffix" : "" }, { "dropping-particle" : "", "family" : "Baumeister", "given" : "Roy F", "non-dropping-particle" : "", "parse-names" : false, "suffix" : "" }, { "dropping-particle" : "", "family" : "F\u00f6rster", "given" : "Georg", "non-dropping-particle" : "", "parse-names" : false, "suffix" : "" }, { "dropping-particle" : "", "family" : "Vohs", "given" : "Kathleen D", "non-dropping-particle" : "", "parse-names" : false, "suffix" : "" } ], "container-title" : "Journal of personality and social psychology", "id" : "ITEM-1", "issue" : "6", "issued" : { "date-parts" : [ [ "2012" ] ] }, "page" : "1318-35", "title" : "Everyday temptations: an experience sampling study of desire, conflict, and self-control.", "type" : "article-journal", "volume" : "102" }, "uris" : [ "http://www.mendeley.com/documents/?uuid=ad9aacc1-e209-3706-8dca-8525513bd891" ] } ], "mendeley" : { "formattedCitation" : "(W. Hofmann, Baumeister, F\u00f6rster, &amp; Vohs, 2012)", "manualFormatting" : "(Hofmann, Baumeister, F\u00f6rster, &amp; Vohs, 2012)", "plainTextFormattedCitation" : "(W. Hofmann, Baumeister, F\u00f6rster, &amp; Vohs, 2012)", "previouslyFormattedCitation" : "(W. Hofmann, Baumeister, F\u00f6rster, &amp; Vohs, 2012)" }, "properties" : { "noteIndex" : 0 }, "schema" : "https://github.com/citation-style-language/schema/raw/master/csl-citation.json" }</w:instrText>
      </w:r>
      <w:r w:rsidR="00B06E70">
        <w:rPr>
          <w:sz w:val="24"/>
          <w:szCs w:val="24"/>
        </w:rPr>
        <w:fldChar w:fldCharType="separate"/>
      </w:r>
      <w:r w:rsidR="00927FCB">
        <w:rPr>
          <w:noProof/>
          <w:sz w:val="24"/>
          <w:szCs w:val="24"/>
        </w:rPr>
        <w:t>(</w:t>
      </w:r>
      <w:r w:rsidR="00927FCB" w:rsidRPr="00927FCB">
        <w:rPr>
          <w:noProof/>
          <w:sz w:val="24"/>
          <w:szCs w:val="24"/>
        </w:rPr>
        <w:t>Hofmann, Baumeister, Förster, &amp; Vohs, 2012)</w:t>
      </w:r>
      <w:r w:rsidR="00B06E70">
        <w:rPr>
          <w:sz w:val="24"/>
          <w:szCs w:val="24"/>
        </w:rPr>
        <w:fldChar w:fldCharType="end"/>
      </w:r>
      <w:r w:rsidRPr="00D05EBD">
        <w:rPr>
          <w:sz w:val="24"/>
          <w:szCs w:val="24"/>
        </w:rPr>
        <w:t xml:space="preserve">. For example, people might avoid having a second drink at a work event to remain professional, refrain from opening Facebook while at work or continue jogging a bit further when working out despite the feeling of muscles burning. These acts that alter people’s responses are acts of self-control. For the purposes of the present chapter self-control is defined as a </w:t>
      </w:r>
      <w:r w:rsidRPr="00D05EBD">
        <w:rPr>
          <w:i/>
          <w:sz w:val="24"/>
          <w:szCs w:val="24"/>
        </w:rPr>
        <w:t>finite resource that determines the capacity for effortful control over dominant responses and, once expended, leads to impaired self-control task performance, known as ego-depletion</w:t>
      </w:r>
      <w:r w:rsidRPr="00D05EBD">
        <w:rPr>
          <w:sz w:val="24"/>
          <w:szCs w:val="24"/>
        </w:rPr>
        <w:t xml:space="preserve"> </w:t>
      </w:r>
      <w:r w:rsidR="00B06E70">
        <w:rPr>
          <w:sz w:val="24"/>
          <w:szCs w:val="24"/>
        </w:rPr>
        <w:fldChar w:fldCharType="begin" w:fldLock="1"/>
      </w:r>
      <w:r w:rsidR="00927FCB">
        <w:rPr>
          <w:sz w:val="24"/>
          <w:szCs w:val="24"/>
        </w:rPr>
        <w:instrText>ADDIN CSL_CITATION { "citationItems" : [ { "id" : "ITEM-1", "itemData" : { "DOI" : "10.1037/a0019486", "ISBN" : "0033-2909\\r1939-1455", "ISSN" : "0033-2909", "PMID" : "20565167", "abstract" : "According to the strength model, self-control is a finite resource that determines capacity for effortful control over dominant responses and, once expended, leads to impaired self-control task performance, known as ego depletion. A meta-analysis of 83 studies tested the effect of ego depletion on task performance and related outcomes, alternative explanations and moderators of the effect, and additional strength model hypotheses. Results revealed a significant effect of ego depletion on self-control task performance. Significant effect sizes were found for ego depletion on effort, perceived difficulty, negative affect, subjective fatigue, and blood glucose levels. Small, nonsignificant effects were found for positive affect and self-efficacy. Moderator analyses indicated minimal variation in the effect across sphere of depleting and dependent task, frequently used depleting and dependent tasks, presentation of tasks as single or separate experiments, type of dependent measure and control condition task, and source laboratory. The effect size was moderated by depleting task duration, task presentation by the same or different experimenters, intertask interim period, dependent task complexity, and use of dependent tasks in the choice and volition and cognitive spheres. Motivational incentives, training on self-control tasks, and glucose supplementation promoted better self-control in ego-depleted samples. Expecting further acts of self-control exacerbated the effect. Findings provide preliminary support for the ego-depletion effect and strength model hypotheses. Support for motivation and fatigue as alternative explanations for ego depletion indicate a need to integrate the strength model with other theories. Findings provide impetus for future investigation testing additional hypotheses and mechanisms of the ego-depletion effect.", "author" : [ { "dropping-particle" : "", "family" : "Hagger", "given" : "Martin S", "non-dropping-particle" : "", "parse-names" : false, "suffix" : "" }, { "dropping-particle" : "", "family" : "Wood", "given" : "Chantelle", "non-dropping-particle" : "", "parse-names" : false, "suffix" : "" }, { "dropping-particle" : "", "family" : "Stiff", "given" : "Chris", "non-dropping-particle" : "", "parse-names" : false, "suffix" : "" }, { "dropping-particle" : "", "family" : "Chatzisarantis", "given" : "Nikos L D", "non-dropping-particle" : "", "parse-names" : false, "suffix" : "" } ], "container-title" : "Psychological bulletin", "id" : "ITEM-1", "issue" : "4", "issued" : { "date-parts" : [ [ "2010" ] ] }, "page" : "495-525", "title" : "Ego depletion and the strength model of self-control: a meta-analysis.", "type" : "article-journal", "volume" : "136" }, "uris" : [ "http://www.mendeley.com/documents/?uuid=e3caf5e6-4d25-30b4-8d05-82b39ff0f4af" ] } ], "mendeley" : { "formattedCitation" : "(Hagger et al., 2010)", "plainTextFormattedCitation" : "(Hagger et al., 2010)", "previouslyFormattedCitation" : "(Hagger et al., 2010)" }, "properties" : { "noteIndex" : 0 }, "schema" : "https://github.com/citation-style-language/schema/raw/master/csl-citation.json" }</w:instrText>
      </w:r>
      <w:r w:rsidR="00B06E70">
        <w:rPr>
          <w:sz w:val="24"/>
          <w:szCs w:val="24"/>
        </w:rPr>
        <w:fldChar w:fldCharType="separate"/>
      </w:r>
      <w:r w:rsidR="00927FCB" w:rsidRPr="00927FCB">
        <w:rPr>
          <w:noProof/>
          <w:sz w:val="24"/>
          <w:szCs w:val="24"/>
        </w:rPr>
        <w:t>(Hagger et al., 2010)</w:t>
      </w:r>
      <w:r w:rsidR="00B06E70">
        <w:rPr>
          <w:sz w:val="24"/>
          <w:szCs w:val="24"/>
        </w:rPr>
        <w:fldChar w:fldCharType="end"/>
      </w:r>
      <w:r w:rsidRPr="00D05EBD">
        <w:rPr>
          <w:sz w:val="24"/>
          <w:szCs w:val="24"/>
        </w:rPr>
        <w:t xml:space="preserve">. Self-control is very useful in people’s </w:t>
      </w:r>
      <w:r w:rsidRPr="00D05EBD">
        <w:rPr>
          <w:i/>
          <w:sz w:val="24"/>
          <w:szCs w:val="24"/>
        </w:rPr>
        <w:t>lives</w:t>
      </w:r>
      <w:r w:rsidRPr="00D05EBD">
        <w:rPr>
          <w:sz w:val="24"/>
          <w:szCs w:val="24"/>
        </w:rPr>
        <w:t xml:space="preserve">; it helps people avoid unwanted outcomes, like gaining weight from overeating </w:t>
      </w:r>
      <w:r w:rsidR="00B06E70">
        <w:rPr>
          <w:sz w:val="24"/>
          <w:szCs w:val="24"/>
        </w:rPr>
        <w:fldChar w:fldCharType="begin" w:fldLock="1"/>
      </w:r>
      <w:r w:rsidR="00FA4094">
        <w:rPr>
          <w:sz w:val="24"/>
          <w:szCs w:val="24"/>
        </w:rPr>
        <w:instrText>ADDIN CSL_CITATION { "citationItems" : [ { "id" : "ITEM-1", "itemData" : { "DOI" : "10.1111/1467-9280.00250", "ISBN" : "09567976", "ISSN" : "0956-7976", "PMID" : "11273412", "abstract" : "\u2014Three studies were conducted to test the behavioral con-sequences of effortful self-regulation. Individuals with chronic inhi-bitions about eating were exposed to situations varying in level of self-regulatory demand. Subsequently, participants' ability to self-regulate was measured. Two studies manipulated self-regulatory de-mand by exposing participants to good-tasting snack foods, whereas a third study required participants to control their emotional expres-sions. As hypothesized, exerting self-control during the first task led to decrements in self-control on a subsequent task. Moreover, these ef-fects were not due to changes in affective state and occurred only when self-control was required in the first task. These findings are explained in terms of depletion of self-regulatory resources, which impairs successful volitional control. Self-regulation is involved in a multitude of tasks, from getting out of bed in the morning, to maintaining attention during classes or meetings, to running a marathon. However, attempts to self-regulate frequently fail, with significant consequences for both the individual and society (Baumeister, Heatherton, &amp; Tice, 1994). Researchers have recently theorized that self-regulation is governed by a limited re-source that allows people to control impulses and desires (Baumeister &amp; Heatherton, 1996; Heatherton &amp; Baumeister, 1996). According to this model, self-regulatory resources can be depleted or fatigued by self-regulatory demands. Hence, the active effort required to control behavior in one domain leads to diminished capacity for self-regulation in other domains. Because people have a limited reservoir of self-regulatory resources, they can be overwhelmed by both self-initiated and situational demands, thereby resulting in self-regulation failure. This article reports on a set of studies that used chronic dieters to examine the applicability of self-regulatory resource theory to un-derstanding self-regulation failure. Empirical studies (e.g., Gross &amp; Levenson, 1997; Muraven, Tice, &amp; Baumeister, 1998), as well as theoretical postulates (e.g., Baumeis-ter et al., 1994; Mischel, 1996), suggest that resource models are appropriate representations of self-regulatory mechanisms. Recent tests of a resource model have provided initial support. Muraven et al. (1998) found that one route to self-regulatory failure is prior self-regulatory endeavors. In these studies, participants who were asked to engage in a form of self-reg\u2026", "author" : [ { "dropping-particle" : "", "family" : "Vohs", "given" : "Kathleen D", "non-dropping-particle" : "", "parse-names" : false, "suffix" : "" }, { "dropping-particle" : "", "family" : "Heatherton", "given" : "Todd F", "non-dropping-particle" : "", "parse-names" : false, "suffix" : "" } ], "container-title" : "Psychological Science", "id" : "ITEM-1", "issue" : "3", "issued" : { "date-parts" : [ [ "2000" ] ] }, "page" : "249-254", "title" : "Self-Regulatory Failure: A Resource-Depletion Approach", "type" : "article-journal", "volume" : "11" }, "uris" : [ "http://www.mendeley.com/documents/?uuid=ae621b3f-01a9-336c-b444-fa683835e915" ] } ], "mendeley" : { "formattedCitation" : "(Kathleen D Vohs &amp; Heatherton, 2000)", "plainTextFormattedCitation" : "(Kathleen D Vohs &amp; Heatherton, 2000)", "previouslyFormattedCitation" : "(Kathleen D Vohs &amp; Heatherton, 2000)" }, "properties" : { "noteIndex" : 0 }, "schema" : "https://github.com/citation-style-language/schema/raw/master/csl-citation.json" }</w:instrText>
      </w:r>
      <w:r w:rsidR="00B06E70">
        <w:rPr>
          <w:sz w:val="24"/>
          <w:szCs w:val="24"/>
        </w:rPr>
        <w:fldChar w:fldCharType="separate"/>
      </w:r>
      <w:r w:rsidR="00FA4094" w:rsidRPr="00FA4094">
        <w:rPr>
          <w:noProof/>
          <w:sz w:val="24"/>
          <w:szCs w:val="24"/>
        </w:rPr>
        <w:t>(Vohs &amp; Heatherton, 2000)</w:t>
      </w:r>
      <w:r w:rsidR="00B06E70">
        <w:rPr>
          <w:sz w:val="24"/>
          <w:szCs w:val="24"/>
        </w:rPr>
        <w:fldChar w:fldCharType="end"/>
      </w:r>
      <w:r w:rsidRPr="00D05EBD">
        <w:rPr>
          <w:sz w:val="24"/>
          <w:szCs w:val="24"/>
        </w:rPr>
        <w:t xml:space="preserve">, spending money on unnecessary stuff </w:t>
      </w:r>
      <w:r w:rsidR="00B06E70">
        <w:rPr>
          <w:sz w:val="24"/>
          <w:szCs w:val="24"/>
        </w:rPr>
        <w:fldChar w:fldCharType="begin" w:fldLock="1"/>
      </w:r>
      <w:r w:rsidR="00FA4094">
        <w:rPr>
          <w:sz w:val="24"/>
          <w:szCs w:val="24"/>
        </w:rPr>
        <w:instrText>ADDIN CSL_CITATION { "citationItems" : [ { "id" : "ITEM-1", "itemData" : { "DOI" : "10.1086/510228", "ISBN" : "0093-5301", "ISSN" : "0093-5301", "PMID" : "23969696", "abstract" : "This research investigated impulse buying as resulting from the depletion of a common-but limited-resource that governs self-control. In three investigations, participants' self-regulatory resources were depleted or not; later, impulsive spending responses were measured. Participants whose resources were depleted, relative to participants whose resources were not depleted, felt stronger urges to buy, were willing to spend more, and actually did spend more money in unanticipated buying situations. Participants having depleted resources reported being influenced equally by affective and cognitive factors and purchased products that were high on each factor at equal rates. Hence, self-regulatory resource availability predicts whether people can resist impulse buying temptations. (c) 2007 by JOURNAL OF CONSUMER RESEARCH, Inc..", "author" : [ { "dropping-particle" : "", "family" : "Vohs", "given" : "Kathleen D", "non-dropping-particle" : "", "parse-names" : false, "suffix" : "" }, { "dropping-particle" : "", "family" : "Faber", "given" : "Ronald J", "non-dropping-particle" : "", "parse-names" : false, "suffix" : "" } ], "container-title" : "Journal of Consumer Research", "id" : "ITEM-1", "issue" : "4", "issued" : { "date-parts" : [ [ "2007" ] ] }, "page" : "537-547", "title" : "Spent resources: Self\u2010regulatory resource availability affects impulse buying", "type" : "article-journal", "volume" : "33" }, "uris" : [ "http://www.mendeley.com/documents/?uuid=5b6cd176-e478-3890-931e-33cf285e70b5" ] } ], "mendeley" : { "formattedCitation" : "(Kathleen D Vohs &amp; Faber, 2007)", "plainTextFormattedCitation" : "(Kathleen D Vohs &amp; Faber, 2007)", "previouslyFormattedCitation" : "(Kathleen D Vohs &amp; Faber, 2007)" }, "properties" : { "noteIndex" : 0 }, "schema" : "https://github.com/citation-style-language/schema/raw/master/csl-citation.json" }</w:instrText>
      </w:r>
      <w:r w:rsidR="00B06E70">
        <w:rPr>
          <w:sz w:val="24"/>
          <w:szCs w:val="24"/>
        </w:rPr>
        <w:fldChar w:fldCharType="separate"/>
      </w:r>
      <w:r w:rsidR="00FA4094" w:rsidRPr="00FA4094">
        <w:rPr>
          <w:noProof/>
          <w:sz w:val="24"/>
          <w:szCs w:val="24"/>
        </w:rPr>
        <w:t>(Vohs &amp; Faber, 2007)</w:t>
      </w:r>
      <w:r w:rsidR="00B06E70">
        <w:rPr>
          <w:sz w:val="24"/>
          <w:szCs w:val="24"/>
        </w:rPr>
        <w:fldChar w:fldCharType="end"/>
      </w:r>
      <w:r w:rsidRPr="00D05EBD">
        <w:rPr>
          <w:sz w:val="24"/>
          <w:szCs w:val="24"/>
        </w:rPr>
        <w:t xml:space="preserve"> or engaging in inappropriate sexual behaviour </w:t>
      </w:r>
      <w:r w:rsidR="00B06E70">
        <w:rPr>
          <w:sz w:val="24"/>
          <w:szCs w:val="24"/>
        </w:rPr>
        <w:fldChar w:fldCharType="begin" w:fldLock="1"/>
      </w:r>
      <w:r w:rsidR="00927FCB">
        <w:rPr>
          <w:sz w:val="24"/>
          <w:szCs w:val="24"/>
        </w:rPr>
        <w:instrText>ADDIN CSL_CITATION { "citationItems" : [ { "id" : "ITEM-1", "itemData" : { "DOI" : "10.1177/0146167206293472", "ISBN" : "0146-1672", "ISSN" : "0146-1672", "PMID" : "17259579", "abstract" : "Nonsexual deficiencies in self-control may contribute to inappropriate or objectionable sexual behaviors, as shown by survey questionnaires, autobiographical narratives, and experimental manipulations. People with low overall trait self-control and/or whose self-control strength had been depleted by recent, nonsexual acts were less likely than other people to stifle inappropriate sexual thoughts and to resist the temptation to engage in sexual activities with someone other than their primary relationship partner. They also engaged in more extensive sexual activity in the laboratory with their dating partner and they reported more undercontrolled or impulsive sexual behavior generally. Furthermore, there was some evidence that the effects of diminished self-control were strongest among those with the strongest sexual desires (men and sexually unrestricted individuals) and among couples with less sexual experience.", "author" : [ { "dropping-particle" : "", "family" : "Gailliot", "given" : "Matthew T", "non-dropping-particle" : "", "parse-names" : false, "suffix" : "" }, { "dropping-particle" : "", "family" : "Baumeister", "given" : "Roy F", "non-dropping-particle" : "", "parse-names" : false, "suffix" : "" } ], "container-title" : "Personality and social psychology bulletin", "id" : "ITEM-1", "issue" : "2", "issued" : { "date-parts" : [ [ "2007" ] ] }, "page" : "173-186", "title" : "Self-regulation and sexual restraint: dispositionally and temporarily poor self-regulatory abilities contribute to failures at restraining sexual behavior.", "type" : "article-journal", "volume" : "33" }, "uris" : [ "http://www.mendeley.com/documents/?uuid=2aeb0856-f564-4707-828a-97d2317fc09e" ] } ], "mendeley" : { "formattedCitation" : "(Gailliot &amp; Baumeister, 2007)", "plainTextFormattedCitation" : "(Gailliot &amp; Baumeister, 2007)", "previouslyFormattedCitation" : "(Gailliot &amp; Baumeister, 2007)" }, "properties" : { "noteIndex" : 0 }, "schema" : "https://github.com/citation-style-language/schema/raw/master/csl-citation.json" }</w:instrText>
      </w:r>
      <w:r w:rsidR="00B06E70">
        <w:rPr>
          <w:sz w:val="24"/>
          <w:szCs w:val="24"/>
        </w:rPr>
        <w:fldChar w:fldCharType="separate"/>
      </w:r>
      <w:r w:rsidR="00927FCB" w:rsidRPr="00927FCB">
        <w:rPr>
          <w:noProof/>
          <w:sz w:val="24"/>
          <w:szCs w:val="24"/>
        </w:rPr>
        <w:t>(Gailliot &amp; Baumeister, 2007)</w:t>
      </w:r>
      <w:r w:rsidR="00B06E70">
        <w:rPr>
          <w:sz w:val="24"/>
          <w:szCs w:val="24"/>
        </w:rPr>
        <w:fldChar w:fldCharType="end"/>
      </w:r>
      <w:r w:rsidRPr="00D05EBD">
        <w:rPr>
          <w:sz w:val="24"/>
          <w:szCs w:val="24"/>
        </w:rPr>
        <w:t xml:space="preserve">. However, as the definition states, self-control is a finite resource and when depleted it can affect behaviours that require it. Self-control declines after the person has used it repeatedly </w:t>
      </w:r>
      <w:r w:rsidR="00B06E70">
        <w:rPr>
          <w:sz w:val="24"/>
          <w:szCs w:val="24"/>
        </w:rPr>
        <w:fldChar w:fldCharType="begin" w:fldLock="1"/>
      </w:r>
      <w:r w:rsidR="00844B08">
        <w:rPr>
          <w:sz w:val="24"/>
          <w:szCs w:val="24"/>
        </w:rPr>
        <w:instrText>ADDIN CSL_CITATION { "citationItems" : [ { "id" : "ITEM-1",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 "author" : [ { "dropping-particle" : "", "family" : "Baumeister", "given" : "Roy F", "non-dropping-particle" : "", "parse-names" : false, "suffix" : "" }, { "dropping-particle" : "", "family" : "Vohs", "given" : "Kathleen D", "non-dropping-particle" : "", "parse-names" : false, "suffix" : "" }, { "dropping-particle" : "", "family" : "Tice", "given" : "Dianne M", "non-dropping-particle" : "", "parse-names" : false, "suffix" : "" } ], "container-title" : "Current Directions in Psychological Science", "id" : "ITEM-1", "issue" : "6", "issued" : { "date-parts" : [ [ "2007" ] ] }, "page" : "351-355", "title" : "The Strength Model of Self Control", "type" : "article-journal", "volume" : "16" }, "uris" : [ "http://www.mendeley.com/documents/?uuid=224d278b-3e2c-39ee-96e8-39e25303c086" ] } ], "mendeley" : { "formattedCitation" : "(Baumeister, Vohs, &amp; Tice, 2007)", "plainTextFormattedCitation" : "(Baumeister, Vohs, &amp; Tice, 2007)", "previouslyFormattedCitation" : "(Roy F Baumeister, Vohs, &amp; Tice, 2007)" }, "properties" : { "noteIndex" : 0 }, "schema" : "https://github.com/citation-style-language/schema/raw/master/csl-citation.json" }</w:instrText>
      </w:r>
      <w:r w:rsidR="00B06E70">
        <w:rPr>
          <w:sz w:val="24"/>
          <w:szCs w:val="24"/>
        </w:rPr>
        <w:fldChar w:fldCharType="separate"/>
      </w:r>
      <w:r w:rsidR="00844B08" w:rsidRPr="00844B08">
        <w:rPr>
          <w:noProof/>
          <w:sz w:val="24"/>
          <w:szCs w:val="24"/>
        </w:rPr>
        <w:t>(Baumeister, Vohs, &amp; Tice, 2007)</w:t>
      </w:r>
      <w:r w:rsidR="00B06E70">
        <w:rPr>
          <w:sz w:val="24"/>
          <w:szCs w:val="24"/>
        </w:rPr>
        <w:fldChar w:fldCharType="end"/>
      </w:r>
      <w:r w:rsidRPr="000B6F33">
        <w:rPr>
          <w:sz w:val="24"/>
          <w:szCs w:val="24"/>
        </w:rPr>
        <w:t xml:space="preserve"> – this temporary depletion of the willingness or ability to exert self-control following an initial exertion is termed ‘ego-depletion’ </w:t>
      </w:r>
      <w:r w:rsidR="00B06E70">
        <w:rPr>
          <w:sz w:val="24"/>
          <w:szCs w:val="24"/>
        </w:rPr>
        <w:fldChar w:fldCharType="begin" w:fldLock="1"/>
      </w:r>
      <w:r w:rsidR="00844B08">
        <w:rPr>
          <w:sz w:val="24"/>
          <w:szCs w:val="24"/>
        </w:rPr>
        <w:instrText>ADDIN CSL_CITATION { "citationItems" : [ { "id" : "ITEM-1", "itemData" : { "DOI" : "10.1037/0022-3514.74.5.1252", "ISBN" : "0022-3514 (Print)\\n0022-3514 (Linking)", "ISSN" : "0022-3514", "PMID" : "9599441", "abstract" : "Choice, active response, self-regulation, and other volition may all draw on a common inner resource. In Experiment 1, people who forced themselves to eat radishes instead of tempting chocolates subsequently quit faster on unsolvable puzzles than people who had not had to exert self-control over eating. In Experiment 2, making a meaningful personal choice to perform attitude-relevant behavior caused a similar decrement in persistence. In Experiment 3, suppressing emotion led to a subsequent drop in performance of solvable anagrams. In Experiment 4, an initial task requiring high self-regulation made people more passive (i.e., more prone to favor the passive-response option). These results suggest that the self's capacity for active volition is limited and that a range of seemingly different, unrelated acts share a common resource.", "author" : [ { "dropping-particle" : "", "family" : "Baumeister", "given" : "Roy F", "non-dropping-particle" : "", "parse-names" : false, "suffix" : "" }, { "dropping-particle" : "", "family" : "Bratslavsky", "given" : "Ellen", "non-dropping-particle" : "", "parse-names" : false, "suffix" : "" }, { "dropping-particle" : "", "family" : "Muraven", "given" : "Mark", "non-dropping-particle" : "", "parse-names" : false, "suffix" : "" }, { "dropping-particle" : "", "family" : "Tice", "given" : "Dianne M", "non-dropping-particle" : "", "parse-names" : false, "suffix" : "" } ], "container-title" : "Journal of personality and social psychology", "id" : "ITEM-1", "issue" : "5", "issued" : { "date-parts" : [ [ "1998" ] ] }, "page" : "1252-1265", "title" : "Ego depletion: is the active self a limited resource?", "type" : "article-journal", "volume" : "74" }, "uris" : [ "http://www.mendeley.com/documents/?uuid=ed613166-71ae-36a5-bae2-6f172226c53f" ] } ], "mendeley" : { "formattedCitation" : "(Baumeister et al., 1998)", "plainTextFormattedCitation" : "(Baumeister et al., 1998)", "previouslyFormattedCitation" : "(Roy F Baumeister et al., 1998)" }, "properties" : { "noteIndex" : 0 }, "schema" : "https://github.com/citation-style-language/schema/raw/master/csl-citation.json" }</w:instrText>
      </w:r>
      <w:r w:rsidR="00B06E70">
        <w:rPr>
          <w:sz w:val="24"/>
          <w:szCs w:val="24"/>
        </w:rPr>
        <w:fldChar w:fldCharType="separate"/>
      </w:r>
      <w:r w:rsidR="00844B08" w:rsidRPr="00844B08">
        <w:rPr>
          <w:noProof/>
          <w:sz w:val="24"/>
          <w:szCs w:val="24"/>
        </w:rPr>
        <w:t>(Baumeister et al., 1998)</w:t>
      </w:r>
      <w:r w:rsidR="00B06E70">
        <w:rPr>
          <w:sz w:val="24"/>
          <w:szCs w:val="24"/>
        </w:rPr>
        <w:fldChar w:fldCharType="end"/>
      </w:r>
      <w:r w:rsidRPr="00D05EBD">
        <w:rPr>
          <w:sz w:val="24"/>
          <w:szCs w:val="24"/>
        </w:rPr>
        <w:t xml:space="preserve">. For example, people whose self-control resources have been depleted might say inappropriate things, have that second drink they did not want to, or binge on chocolates. People who have expended this resource or that are low in self-control are </w:t>
      </w:r>
      <w:r w:rsidRPr="00D05EBD">
        <w:rPr>
          <w:sz w:val="24"/>
          <w:szCs w:val="24"/>
        </w:rPr>
        <w:lastRenderedPageBreak/>
        <w:t xml:space="preserve">more likely to act according to impulses, to rely on heuristics, on effortless processes and associative mental representations </w:t>
      </w:r>
      <w:r w:rsidR="00B06E70">
        <w:rPr>
          <w:sz w:val="24"/>
          <w:szCs w:val="24"/>
        </w:rPr>
        <w:fldChar w:fldCharType="begin" w:fldLock="1"/>
      </w:r>
      <w:r w:rsidR="00FC6B2A">
        <w:rPr>
          <w:sz w:val="24"/>
          <w:szCs w:val="24"/>
        </w:rPr>
        <w:instrText>ADDIN CSL_CITATION { "citationItems" : [ { "id" : "ITEM-1", "itemData" : { "DOI" : "10.1111/j.1745-6924.2009.01116.x", "PMID" : "26158943", "abstract" : "Though human beings embody a unique ability for planned behavior, they also often act impulsively. This insight may be important for the study of self-control situations in which people are torn between their long-term goals to restrain behavior and their immediate impulses that promise hedonic fulfillment. In the present article, we outline a dual-systems perspective of impulse and self-control and suggest a framework for the prediction of self-control outcomes. This framework combines three elements that, considered jointly, may enable a more precise prediction of self-control outcomes than they do when studied in isolation: impulsive precursors of behavior, reflective precursors, and situational or dispositional boundary conditions. The theoretical and practical utility of such an approach is demonstrated by drawing on recent evidence from several domains of self-control such as eating, drinking, and sexual behavior.\u00a9 2009 Association for Psychological Science.", "author" : [ { "dropping-particle" : "", "family" : "Hofmann", "given" : "Wilhelm", "non-dropping-particle" : "", "parse-names" : false, "suffix" : "" }, { "dropping-particle" : "", "family" : "Friese", "given" : "Malte", "non-dropping-particle" : "", "parse-names" : false, "suffix" : "" }, { "dropping-particle" : "", "family" : "Strack", "given" : "Fritz", "non-dropping-particle" : "", "parse-names" : false, "suffix" : "" } ], "container-title" : "Perspectives on psychological science : a journal of the Association for Psychological Science", "id" : "ITEM-1", "issue" : "2", "issued" : { "date-parts" : [ [ "2009" ] ] }, "page" : "162-176", "title" : "Impulse and Self-Control From a Dual-Systems Perspective.", "type" : "article-journal", "volume" : "4" }, "uris" : [ "http://www.mendeley.com/documents/?uuid=12a652a2-59d6-329d-9043-6f5aca92d192" ] }, { "id" : "ITEM-2", "itemData" : { "DOI" : "10.1207/s15327957pspr0803_1", "ISBN" : "10888683", "ISSN" : "1088-8683", "PMID" : "15454347", "abstract" : "This article describes a 2-systems model that explains social behavior as a joint function of reflective and impulsive processes. In particular, it is assumed that social behavior is controlled by 2 interacting systems that follow different operating principles. The reflective system generates behavioral decisions that are based on knowledge about facts and values, whereas the impulsive system elicits behavior through associative links and motivational orientations. The proposed model describes how the 2 systems interact at various stages of processing, and how their outputs may determine behavior in a synergistic or antagonistic fashion. It extends previous models by integrating motivational components that allow more precise predictions of behavior. The implications of this reflective-impulsive model are applied to various phenomena from social psychology and beyond. Extending previous dual-process accounts, this model is not limited to specific domains of mental functioning and attempts to integrate cognitive, motivational, and behavioral mechanisms.", "author" : [ { "dropping-particle" : "", "family" : "Strack", "given" : "Fritz", "non-dropping-particle" : "", "parse-names" : false, "suffix" : "" }, { "dropping-particle" : "", "family" : "Deutsch", "given" : "Roland", "non-dropping-particle" : "", "parse-names" : false, "suffix" : "" } ], "container-title" : "Personality and social psychology review : an official journal of the Society for Personality and Social Psychology, Inc", "id" : "ITEM-2", "issue" : "3", "issued" : { "date-parts" : [ [ "2004" ] ] }, "page" : "220-247", "title" : "Reflective and impulsive determinants of social behavior.", "type" : "article-journal", "volume" : "8" }, "uris" : [ "http://www.mendeley.com/documents/?uuid=7cb9b165-3d8a-380c-a064-a421a84834f6" ] } ], "mendeley" : { "formattedCitation" : "(W. Hofmann et al., 2009; Strack &amp; Deutsch, 2004)", "manualFormatting" : "(Hofmann et al., 2009; Strack &amp; Deutsch, 2004)", "plainTextFormattedCitation" : "(W. Hofmann et al., 2009; Strack &amp; Deutsch, 2004)", "previouslyFormattedCitation" : "(W. Hofmann et al., 2009; Strack &amp; Deutsch, 2004)" }, "properties" : { "noteIndex" : 0 }, "schema" : "https://github.com/citation-style-language/schema/raw/master/csl-citation.json" }</w:instrText>
      </w:r>
      <w:r w:rsidR="00B06E70">
        <w:rPr>
          <w:sz w:val="24"/>
          <w:szCs w:val="24"/>
        </w:rPr>
        <w:fldChar w:fldCharType="separate"/>
      </w:r>
      <w:r w:rsidR="000728C8">
        <w:rPr>
          <w:noProof/>
          <w:sz w:val="24"/>
          <w:szCs w:val="24"/>
        </w:rPr>
        <w:t>(</w:t>
      </w:r>
      <w:r w:rsidR="000728C8" w:rsidRPr="000728C8">
        <w:rPr>
          <w:noProof/>
          <w:sz w:val="24"/>
          <w:szCs w:val="24"/>
        </w:rPr>
        <w:t>Hofmann et al., 2009; Strack &amp; Deutsch, 2004)</w:t>
      </w:r>
      <w:r w:rsidR="00B06E70">
        <w:rPr>
          <w:sz w:val="24"/>
          <w:szCs w:val="24"/>
        </w:rPr>
        <w:fldChar w:fldCharType="end"/>
      </w:r>
      <w:r w:rsidRPr="00D05EBD">
        <w:rPr>
          <w:sz w:val="24"/>
          <w:szCs w:val="24"/>
        </w:rPr>
        <w:t xml:space="preserve">. For example, a person trying to lose weight might have been controlling him/herself all morning by trying not to snack and when lunch times arrives, instead of waiting for the food he/she ordered, he/she might just start eating the bread that the waiter put on the table due to being depleted of self-control. For example, research conducted by </w:t>
      </w:r>
      <w:r w:rsidR="00B06E70">
        <w:rPr>
          <w:sz w:val="24"/>
          <w:szCs w:val="24"/>
        </w:rPr>
        <w:fldChar w:fldCharType="begin" w:fldLock="1"/>
      </w:r>
      <w:r w:rsidR="000B6F33">
        <w:rPr>
          <w:sz w:val="24"/>
          <w:szCs w:val="24"/>
        </w:rPr>
        <w:instrText>ADDIN CSL_CITATION { "citationItems" : [ { "id" : "ITEM-1", "itemData" : { "DOI" : "10.1016/j.jesp.2006.05.004", "ISBN" : "0022-1031", "ISSN" : "00221031", "PMID" : "246229000019", "abstract" : "Linking contemporary models of self-regulation to recent research on automatic attitudes, the present study investigated the impact of automatic candy attitudes, dietary restraint standards, and self-regulation resources on eating behavior. Participants were assigned to either an emotion suppression task (low self-regulation resources) or an emotion flow task (high self-regulation resources), and were then given an opportunity to taste candies. When self-regulation resources were high, candy consumption was uniquely related to dietary restraint standards (but not automatic candy attitudes). In contrast, when self-regulation resources were low, candy consumption was primarily predicted by automatic candy attitudes, with dietary restraint standards showing a tendency for counterintentional effects. These results indicate that the behavioral impact of automatic attitudes and personal standards depends on available control resources. Implications for research on automatic attitudes and self-regulation are discussed. \u00a9 2006 Elsevier Inc. All rights reserved.", "author" : [ { "dropping-particle" : "", "family" : "Hofmann", "given" : "Wilhelm", "non-dropping-particle" : "", "parse-names" : false, "suffix" : "" }, { "dropping-particle" : "", "family" : "Rauch", "given" : "Wolfgang", "non-dropping-particle" : "", "parse-names" : false, "suffix" : "" }, { "dropping-particle" : "", "family" : "Gawronski", "given" : "Bertram", "non-dropping-particle" : "", "parse-names" : false, "suffix" : "" } ], "container-title" : "Journal of Experimental Social Psychology", "id" : "ITEM-1", "issue" : "3", "issued" : { "date-parts" : [ [ "2007" ] ] }, "page" : "497-504", "title" : "And deplete us not into temptation: Automatic attitudes, dietary restraint, and self-regulatory resources as determinants of eating behavior", "type" : "article-journal", "volume" : "43" }, "uris" : [ "http://www.mendeley.com/documents/?uuid=1f8e2c7a-7f1a-39b1-99b8-820761ec72fb" ] } ], "mendeley" : { "formattedCitation" : "(W. Hofmann, Rauch, &amp; Gawronski, 2007)", "manualFormatting" : "Hofmann, Rauch, and Gawronski (2007)", "plainTextFormattedCitation" : "(W. Hofmann, Rauch, &amp; Gawronski, 2007)", "previouslyFormattedCitation" : "(W. Hofmann, Rauch, &amp; Gawronski, 2007)" }, "properties" : { "noteIndex" : 0 }, "schema" : "https://github.com/citation-style-language/schema/raw/master/csl-citation.json" }</w:instrText>
      </w:r>
      <w:r w:rsidR="00B06E70">
        <w:rPr>
          <w:sz w:val="24"/>
          <w:szCs w:val="24"/>
        </w:rPr>
        <w:fldChar w:fldCharType="separate"/>
      </w:r>
      <w:r w:rsidR="000B6F33">
        <w:rPr>
          <w:noProof/>
          <w:sz w:val="24"/>
          <w:szCs w:val="24"/>
        </w:rPr>
        <w:t>Hofmann, Rauch, and Gawronski</w:t>
      </w:r>
      <w:r w:rsidR="000B6F33" w:rsidRPr="000B6F33">
        <w:rPr>
          <w:noProof/>
          <w:sz w:val="24"/>
          <w:szCs w:val="24"/>
        </w:rPr>
        <w:t xml:space="preserve"> </w:t>
      </w:r>
      <w:r w:rsidR="000B6F33">
        <w:rPr>
          <w:noProof/>
          <w:sz w:val="24"/>
          <w:szCs w:val="24"/>
        </w:rPr>
        <w:t>(</w:t>
      </w:r>
      <w:r w:rsidR="000B6F33" w:rsidRPr="000B6F33">
        <w:rPr>
          <w:noProof/>
          <w:sz w:val="24"/>
          <w:szCs w:val="24"/>
        </w:rPr>
        <w:t>2007)</w:t>
      </w:r>
      <w:r w:rsidR="00B06E70">
        <w:rPr>
          <w:sz w:val="24"/>
          <w:szCs w:val="24"/>
        </w:rPr>
        <w:fldChar w:fldCharType="end"/>
      </w:r>
      <w:r w:rsidRPr="00D05EBD">
        <w:rPr>
          <w:sz w:val="24"/>
          <w:szCs w:val="24"/>
        </w:rPr>
        <w:t xml:space="preserve"> showed that participants that were depleted of self-control resources (by asking them to suppress any feelings that might come up while watching an emotion eliciting video) acted more according to their implicit attitudes (as measured by the Implicit Association Test, the IAT) towards candy consumption (ate more candy) than to their dietary restraint standards, than participants in which self-control capacity was not depleted (asked to watch the video as they would normally do). In another study by </w:t>
      </w:r>
      <w:r w:rsidR="00B06E70">
        <w:rPr>
          <w:sz w:val="24"/>
          <w:szCs w:val="24"/>
        </w:rPr>
        <w:fldChar w:fldCharType="begin" w:fldLock="1"/>
      </w:r>
      <w:r w:rsidR="00FC6B2A">
        <w:rPr>
          <w:sz w:val="24"/>
          <w:szCs w:val="24"/>
        </w:rPr>
        <w:instrText>ADDIN CSL_CITATION { "citationItems" : [ { "id" : "ITEM-1", "itemData" : { "DOI" : "10.1016/j.brat.2008.08.003", "ISBN" : "1873-622X (Electronic) 0005-7967 (Linking)", "ISSN" : "00057967", "PMID" : "18823876", "abstract" : "Addiction is characterized by dyscontrol - substance use despite intentions to restrain. Using a sample of at-risk drinkers, the present study examined whether an implicit measure of alcohol motivation (the Implicit Association Test [IAT]; Greenwald, A.G., McGhee, D.E., &amp; Schwartz, J.L.K. (1998). Measuring individual differences in implicit cognition: the Implicit Association Test. Journal of Personality and Social Psychology, 74, 1464-1480) would predict dyscontrol of alcohol use. Participants completed an IAT and, to elicit motivation to restrain alcohol use, were instructed that greater consumption in a taste test would impair performance on a later task for which they could win a prize. All participants viewed aversive slides and then completed a thought-listing task. Participants either exerted self-control by suppressing negative affect and thoughts regarding the slides or did not exert self-control. Post-manipulation, the groups did not differ in mood, urge to drink or motivation to restrain consumption. During the subsequent taste test, participants whose self-control resources were depleted consumed more alcohol than did those in the control group. Additionally, the IAT, but not an explicit measure of alcohol motivation, more strongly predicted alcohol use when self-control resources were depleted. The results indicate that the IAT may have utility in predicting dyscontrolled alcohol use. ?? 2008 Elsevier Ltd. All rights reserved.", "author" : [ { "dropping-particle" : "", "family" : "Ostafin", "given" : "Brian D.", "non-dropping-particle" : "", "parse-names" : false, "suffix" : "" }, { "dropping-particle" : "", "family" : "Marlatt", "given" : "G. Alan", "non-dropping-particle" : "", "parse-names" : false, "suffix" : "" }, { "dropping-particle" : "", "family" : "Greenwald", "given" : "Anthony G.", "non-dropping-particle" : "", "parse-names" : false, "suffix" : "" } ], "container-title" : "Behaviour Research and Therapy", "id" : "ITEM-1", "issue" : "11", "issued" : { "date-parts" : [ [ "2008" ] ] }, "page" : "1210-1219", "publisher" : "Elsevier Ltd", "title" : "Drinking without thinking: An implicit measure of alcohol motivation predicts failure to control alcohol use", "type" : "article-journal", "volume" : "46" }, "uris" : [ "http://www.mendeley.com/documents/?uuid=9dad0fa1-9140-4799-b82f-d83f2906259e" ] } ], "mendeley" : { "formattedCitation" : "(Ostafin, Marlatt, &amp; Greenwald, 2008)", "manualFormatting" : "Ostafin, Marlatt, and Greenwald (2008)", "plainTextFormattedCitation" : "(Ostafin, Marlatt, &amp; Greenwald, 2008)", "previouslyFormattedCitation" : "(Ostafin, Marlatt, &amp; Greenwald, 2008)" }, "properties" : { "noteIndex" : 0 }, "schema" : "https://github.com/citation-style-language/schema/raw/master/csl-citation.json" }</w:instrText>
      </w:r>
      <w:r w:rsidR="00B06E70">
        <w:rPr>
          <w:sz w:val="24"/>
          <w:szCs w:val="24"/>
        </w:rPr>
        <w:fldChar w:fldCharType="separate"/>
      </w:r>
      <w:r w:rsidR="00FC6B2A" w:rsidRPr="00FC6B2A">
        <w:rPr>
          <w:noProof/>
          <w:sz w:val="24"/>
          <w:szCs w:val="24"/>
        </w:rPr>
        <w:t xml:space="preserve">Ostafin, Marlatt, </w:t>
      </w:r>
      <w:r w:rsidR="00FC6B2A">
        <w:rPr>
          <w:noProof/>
          <w:sz w:val="24"/>
          <w:szCs w:val="24"/>
        </w:rPr>
        <w:t>and</w:t>
      </w:r>
      <w:r w:rsidR="00FC6B2A" w:rsidRPr="00FC6B2A">
        <w:rPr>
          <w:noProof/>
          <w:sz w:val="24"/>
          <w:szCs w:val="24"/>
        </w:rPr>
        <w:t xml:space="preserve"> Greenwald </w:t>
      </w:r>
      <w:r w:rsidR="00FC6B2A">
        <w:rPr>
          <w:noProof/>
          <w:sz w:val="24"/>
          <w:szCs w:val="24"/>
        </w:rPr>
        <w:t>(</w:t>
      </w:r>
      <w:r w:rsidR="00FC6B2A" w:rsidRPr="00FC6B2A">
        <w:rPr>
          <w:noProof/>
          <w:sz w:val="24"/>
          <w:szCs w:val="24"/>
        </w:rPr>
        <w:t>2008)</w:t>
      </w:r>
      <w:r w:rsidR="00B06E70">
        <w:rPr>
          <w:sz w:val="24"/>
          <w:szCs w:val="24"/>
        </w:rPr>
        <w:fldChar w:fldCharType="end"/>
      </w:r>
      <w:r w:rsidR="001D3E14">
        <w:rPr>
          <w:sz w:val="24"/>
          <w:szCs w:val="24"/>
        </w:rPr>
        <w:t xml:space="preserve"> </w:t>
      </w:r>
      <w:r w:rsidRPr="00D05EBD">
        <w:rPr>
          <w:sz w:val="24"/>
          <w:szCs w:val="24"/>
        </w:rPr>
        <w:t xml:space="preserve">it was also shown that implicit attitudes are a good predictor of behaviour that occurs when people are depleted of self-control. In their research, </w:t>
      </w:r>
      <w:proofErr w:type="spellStart"/>
      <w:r w:rsidRPr="00D05EBD">
        <w:rPr>
          <w:sz w:val="24"/>
          <w:szCs w:val="24"/>
        </w:rPr>
        <w:t>Ostafin</w:t>
      </w:r>
      <w:proofErr w:type="spellEnd"/>
      <w:r w:rsidRPr="00D05EBD">
        <w:rPr>
          <w:sz w:val="24"/>
          <w:szCs w:val="24"/>
        </w:rPr>
        <w:t xml:space="preserve"> and colleagues showed that implicit attitudes toward alcohol consumption were a good predictor of later consumption of alcohol in participants whose self-control resources were depleted (by suppressing their emotions while seeing emotion eliciting slides) but not in participants whose self-control resources where not depleted. </w:t>
      </w:r>
      <w:r w:rsidR="00B06E70">
        <w:rPr>
          <w:sz w:val="24"/>
          <w:szCs w:val="24"/>
        </w:rPr>
        <w:fldChar w:fldCharType="begin" w:fldLock="1"/>
      </w:r>
      <w:r w:rsidR="00FC6B2A">
        <w:rPr>
          <w:sz w:val="24"/>
          <w:szCs w:val="24"/>
        </w:rPr>
        <w:instrText>ADDIN CSL_CITATION { "citationItems" : [ { "id" : "ITEM-1", "itemData" : { "DOI" : "10.1348/014466607X241540", "ISBN" : "0144-6665", "ISSN" : "0144-6665", "PMID" : "17880753", "abstract" : "Recent theories in social psychology suggest that explicitly measured attitudes are particularly valuable for the prediction of deliberate, controlled behaviour. In contrast, implicitly measured attitudes are assumed to be more important for the prediction of less controlled, more impulsive behaviour. Yet, conclusive evidence for the differential predictive validity of both measures is scarce. We hypothesized that limitations of different control resources would lead to functionally equivalent effects. In Study 1, cognitive capacity moderated the predictive validity of both explicit and implicit attitude measures in a choice task. Self-regulatory resources led to similar patterns for eating (Study 2) and drinking behaviour (Study 3). In addition to the predictive validity of implicit and explicit attitude measures, in Study 3 we more closely investigated the relative contributions of explicitly measured attitudes and general restraint standards as two distinct, but complementing constructs that are dependent on control resources.", "author" : [ { "dropping-particle" : "", "family" : "Friese", "given" : "Malte", "non-dropping-particle" : "", "parse-names" : false, "suffix" : "" }, { "dropping-particle" : "", "family" : "Hofmann", "given" : "Wilhelm", "non-dropping-particle" : "", "parse-names" : false, "suffix" : "" }, { "dropping-particle" : "", "family" : "W\u00e4nke", "given" : "Michaela", "non-dropping-particle" : "", "parse-names" : false, "suffix" : "" } ], "container-title" : "The British journal of social psychology / the British Psychological Society", "id" : "ITEM-1", "issue" : "Pt 3", "issued" : { "date-parts" : [ [ "2008" ] ] }, "page" : "397-419", "title" : "When impulses take over: moderated predictive validity of explicit and implicit attitude measures in predicting food choice and consumption behaviour.", "type" : "article-journal", "volume" : "47" }, "uris" : [ "http://www.mendeley.com/documents/?uuid=e282daee-5217-348f-a660-6d1f89ddd1d3" ] } ], "mendeley" : { "formattedCitation" : "(Friese, Hofmann, &amp; W\u00e4nke, 2008)", "manualFormatting" : "Friese, Hofmann, and W\u00e4nke (2008)", "plainTextFormattedCitation" : "(Friese, Hofmann, &amp; W\u00e4nke, 2008)", "previouslyFormattedCitation" : "(Friese, Hofmann, &amp; W\u00e4nke, 2008)" }, "properties" : { "noteIndex" : 0 }, "schema" : "https://github.com/citation-style-language/schema/raw/master/csl-citation.json" }</w:instrText>
      </w:r>
      <w:r w:rsidR="00B06E70">
        <w:rPr>
          <w:sz w:val="24"/>
          <w:szCs w:val="24"/>
        </w:rPr>
        <w:fldChar w:fldCharType="separate"/>
      </w:r>
      <w:r w:rsidR="00FC6B2A">
        <w:rPr>
          <w:noProof/>
          <w:sz w:val="24"/>
          <w:szCs w:val="24"/>
        </w:rPr>
        <w:t>Friese, Hofmann, and Wänke</w:t>
      </w:r>
      <w:r w:rsidR="00FC6B2A" w:rsidRPr="00FC6B2A">
        <w:rPr>
          <w:noProof/>
          <w:sz w:val="24"/>
          <w:szCs w:val="24"/>
        </w:rPr>
        <w:t xml:space="preserve"> </w:t>
      </w:r>
      <w:r w:rsidR="00FC6B2A">
        <w:rPr>
          <w:noProof/>
          <w:sz w:val="24"/>
          <w:szCs w:val="24"/>
        </w:rPr>
        <w:t>(</w:t>
      </w:r>
      <w:r w:rsidR="00FC6B2A" w:rsidRPr="00FC6B2A">
        <w:rPr>
          <w:noProof/>
          <w:sz w:val="24"/>
          <w:szCs w:val="24"/>
        </w:rPr>
        <w:t>2008)</w:t>
      </w:r>
      <w:r w:rsidR="00B06E70">
        <w:rPr>
          <w:sz w:val="24"/>
          <w:szCs w:val="24"/>
        </w:rPr>
        <w:fldChar w:fldCharType="end"/>
      </w:r>
      <w:r w:rsidRPr="00D05EBD">
        <w:rPr>
          <w:sz w:val="24"/>
          <w:szCs w:val="24"/>
        </w:rPr>
        <w:t>, also found that implicit attitudes towards beer predicted its consumption in participants that exerted previous self-control (participants with positive attitudes towards beer consumed more beer afterwards) but not in participants that did not exert previous self-control. These studies demonstrate than when participants are low in self-control resources they are more likely to act according to their implicit attitudes.</w:t>
      </w:r>
    </w:p>
    <w:p w:rsidR="00FB1389" w:rsidRPr="00D05EBD" w:rsidRDefault="00FB1389" w:rsidP="00AE640B">
      <w:pPr>
        <w:spacing w:line="480" w:lineRule="auto"/>
        <w:ind w:firstLine="720"/>
        <w:jc w:val="both"/>
        <w:rPr>
          <w:sz w:val="24"/>
          <w:szCs w:val="24"/>
        </w:rPr>
      </w:pPr>
      <w:r w:rsidRPr="00D05EBD">
        <w:rPr>
          <w:sz w:val="24"/>
          <w:szCs w:val="24"/>
        </w:rPr>
        <w:lastRenderedPageBreak/>
        <w:t xml:space="preserve">Self-control depletion has been studied by many researchers. For example, in a series of studies by </w:t>
      </w:r>
      <w:r w:rsidR="00B06E70">
        <w:rPr>
          <w:sz w:val="24"/>
          <w:szCs w:val="24"/>
        </w:rPr>
        <w:fldChar w:fldCharType="begin" w:fldLock="1"/>
      </w:r>
      <w:r w:rsidR="00FC6B2A">
        <w:rPr>
          <w:sz w:val="24"/>
          <w:szCs w:val="24"/>
        </w:rPr>
        <w:instrText>ADDIN CSL_CITATION { "citationItems" : [ { "id" : "ITEM-1", "itemData" : { "abstract" : "If self-regulation conforms to an energy or strength model, then self-control should be impaired by prior exertion. In Study 1, trying to regulate one's emotional response to an upsetting movie was followed by a decrease in physical stamina. In Study 2, suppressing forbidden thoughts led to a subsequent tendency to give up quickly on unsolvable anagrams. In Study 3, suppressing thoughts impaired subsequent efforts to control the expression of amusement and enjoyment. In Study 4, autobiographical accounts of successful versus failed emotional control linked prior regulatory de-mands and fatigue to self-regulatory failure. A strength model of self-regulation fits the data better than activation, priming, skill, or constant capacity models of self-regulation.", "author" : [ { "dropping-particle" : "", "family" : "Muraven", "given" : "Mark", "non-dropping-particle" : "", "parse-names" : false, "suffix" : "" }, { "dropping-particle" : "", "family" : "Tice", "given" : "Dianne M", "non-dropping-particle" : "", "parse-names" : false, "suffix" : "" }, { "dropping-particle" : "", "family" : "Baumeister", "given" : "Roy F", "non-dropping-particle" : "", "parse-names" : false, "suffix" : "" } ], "container-title" : "JOURNAL OF PERSONALITY AND SOCIAL PSYCHOLOGY", "id" : "ITEM-1", "issue" : "3", "issued" : { "date-parts" : [ [ "1998" ] ] }, "page" : "774-789", "title" : "Self-Control as Limited Resource: Regulatory Depletion Patterns", "type" : "article-journal", "volume" : "74" }, "uris" : [ "http://www.mendeley.com/documents/?uuid=c83dcf2b-5f48-3a92-aedd-9fae27d33f40" ] } ], "mendeley" : { "formattedCitation" : "(Muraven, Tice, &amp; Baumeister, 1998)", "manualFormatting" : "Muraven, Tice, and Baumeister (1998)", "plainTextFormattedCitation" : "(Muraven, Tice, &amp; Baumeister, 1998)", "previouslyFormattedCitation" : "(Muraven, Tice, &amp; Baumeister, 1998)" }, "properties" : { "noteIndex" : 0 }, "schema" : "https://github.com/citation-style-language/schema/raw/master/csl-citation.json" }</w:instrText>
      </w:r>
      <w:r w:rsidR="00B06E70">
        <w:rPr>
          <w:sz w:val="24"/>
          <w:szCs w:val="24"/>
        </w:rPr>
        <w:fldChar w:fldCharType="separate"/>
      </w:r>
      <w:r w:rsidR="00FC6B2A">
        <w:rPr>
          <w:noProof/>
          <w:sz w:val="24"/>
          <w:szCs w:val="24"/>
        </w:rPr>
        <w:t>Muraven, Tice, and Baumeister</w:t>
      </w:r>
      <w:r w:rsidR="00FC6B2A" w:rsidRPr="00FC6B2A">
        <w:rPr>
          <w:noProof/>
          <w:sz w:val="24"/>
          <w:szCs w:val="24"/>
        </w:rPr>
        <w:t xml:space="preserve"> </w:t>
      </w:r>
      <w:r w:rsidR="00FC6B2A">
        <w:rPr>
          <w:noProof/>
          <w:sz w:val="24"/>
          <w:szCs w:val="24"/>
        </w:rPr>
        <w:t>(</w:t>
      </w:r>
      <w:r w:rsidR="00FC6B2A" w:rsidRPr="00FC6B2A">
        <w:rPr>
          <w:noProof/>
          <w:sz w:val="24"/>
          <w:szCs w:val="24"/>
        </w:rPr>
        <w:t>1998)</w:t>
      </w:r>
      <w:r w:rsidR="00B06E70">
        <w:rPr>
          <w:sz w:val="24"/>
          <w:szCs w:val="24"/>
        </w:rPr>
        <w:fldChar w:fldCharType="end"/>
      </w:r>
      <w:r w:rsidRPr="00D05EBD">
        <w:rPr>
          <w:sz w:val="24"/>
          <w:szCs w:val="24"/>
        </w:rPr>
        <w:t xml:space="preserve">, the exertion of self-control (suppressing or expressing emotions – Study 1, </w:t>
      </w:r>
      <w:r w:rsidR="000B6F33" w:rsidRPr="00D05EBD">
        <w:rPr>
          <w:sz w:val="24"/>
          <w:szCs w:val="24"/>
        </w:rPr>
        <w:t>suppressing</w:t>
      </w:r>
      <w:r w:rsidRPr="00D05EBD">
        <w:rPr>
          <w:sz w:val="24"/>
          <w:szCs w:val="24"/>
        </w:rPr>
        <w:t xml:space="preserve"> thoughts – Study 2 and 3) affected a subsequent act of self-control (a hand-grip task – Study 1, unsolvable anagrams – Study 2, and mathematical calculations – Study 3), making participants to persevere less on the second task.</w:t>
      </w:r>
    </w:p>
    <w:p w:rsidR="00FB1389" w:rsidRPr="00D05EBD" w:rsidRDefault="00FB1389" w:rsidP="00AE640B">
      <w:pPr>
        <w:spacing w:line="480" w:lineRule="auto"/>
        <w:ind w:firstLine="720"/>
        <w:jc w:val="both"/>
        <w:rPr>
          <w:sz w:val="24"/>
          <w:szCs w:val="24"/>
        </w:rPr>
      </w:pPr>
      <w:r w:rsidRPr="00D05EBD">
        <w:rPr>
          <w:sz w:val="24"/>
          <w:szCs w:val="24"/>
        </w:rPr>
        <w:t xml:space="preserve">Self-control depletion seems to affect subsequent acts that require self-control regardless of its nature, in other words, the nature of the task where people got their self-control depleted, does not have to be the same as the nature of the subsequent task where the effects of self-control depletion are expected to be observable. In </w:t>
      </w:r>
      <w:proofErr w:type="spellStart"/>
      <w:r w:rsidRPr="00D05EBD">
        <w:rPr>
          <w:sz w:val="24"/>
          <w:szCs w:val="24"/>
        </w:rPr>
        <w:t>Muraven’s</w:t>
      </w:r>
      <w:proofErr w:type="spellEnd"/>
      <w:r w:rsidRPr="00D05EBD">
        <w:rPr>
          <w:sz w:val="24"/>
          <w:szCs w:val="24"/>
        </w:rPr>
        <w:t xml:space="preserve"> and colleagues (1998) experiments, exerting self-control by controlling one’s emotions was of a different nature than exerting self-control by holding a hand-grip, the former being emotional control and the latter physical control, but the researchers still found an effect of the first self-regulatory task on the second self-regulatory task (i.e. people that controlled their emotions persisted less on the hand-grip task). Thus, it seems that the exertion of self-control in any kind of activity can potentially affect a later act of self-control.</w:t>
      </w:r>
    </w:p>
    <w:p w:rsidR="00FB1389" w:rsidRPr="00D05EBD" w:rsidRDefault="00FB1389" w:rsidP="00AE640B">
      <w:pPr>
        <w:autoSpaceDE w:val="0"/>
        <w:autoSpaceDN w:val="0"/>
        <w:adjustRightInd w:val="0"/>
        <w:spacing w:after="0" w:line="480" w:lineRule="auto"/>
        <w:ind w:firstLine="720"/>
        <w:jc w:val="both"/>
        <w:rPr>
          <w:sz w:val="24"/>
          <w:szCs w:val="24"/>
        </w:rPr>
      </w:pPr>
      <w:r w:rsidRPr="00D05EBD">
        <w:rPr>
          <w:sz w:val="24"/>
          <w:szCs w:val="24"/>
        </w:rPr>
        <w:t>Depleting self-control resources does not necessarily mean that the subsequent tasks after the initial act of self-control will be loaded with failure at controlling people’s behaviours. Research suggests that there are things that can replenish self-control resources, one of them being the consumption of glucose. When people engage in acts of self-control they spend glucose (the brain’s main source of energy), resulting in less glucose in the bloodstream</w:t>
      </w:r>
      <w:r w:rsidRPr="00D05EBD">
        <w:rPr>
          <w:rFonts w:cs="Bembo"/>
          <w:sz w:val="24"/>
          <w:szCs w:val="24"/>
        </w:rPr>
        <w:t xml:space="preserve"> </w:t>
      </w:r>
      <w:r w:rsidR="00B06E70">
        <w:rPr>
          <w:rFonts w:cs="Bembo"/>
          <w:sz w:val="24"/>
          <w:szCs w:val="24"/>
        </w:rPr>
        <w:fldChar w:fldCharType="begin" w:fldLock="1"/>
      </w:r>
      <w:r w:rsidR="00927FCB">
        <w:rPr>
          <w:rFonts w:cs="Bembo"/>
          <w:sz w:val="24"/>
          <w:szCs w:val="24"/>
        </w:rPr>
        <w:instrText>ADDIN CSL_CITATION { "citationItems" : [ { "id" : "ITEM-1", "itemData" : { "DOI" : "10.1037/0022-3514.92.2.325", "abstract" : "The present work suggests that self-control relies on glucose as a limited energy source. Laboratory tests of self-control (i.e., the Stroop task, thought suppression, emotion regulation, attention control) and of social behaviors (i.e., helping behavior, coping with thoughts of death, stifling prejudice during an interracial interaction) showed that (a) acts of self-control reduced blood glucose levels, (b) low levels of blood glucose after an initial self-control task predicted poor performance on a subsequent self-control task, and (c) initial acts of self-control impaired performance on subsequent self-control tasks, but consuming a glucose drink eliminated these impairments. Self-control requires a certain amount of glucose to operate unimpaired. A single act of self-control causes glucose to drop below optimal levels, thereby impairing subsequent attempts at self-control. Self-control (or self-regulation) is the ability to control or over-ride one's thoughts, emotions, urges, and behavior. Self-control allows for the flexibility necessary for successful goal attainment, and it greatly facilitates adherence to morals, laws, social norms, and other rules and regulations. As such, it is one of the most important and beneficial processes in the human personality struc-ture. A burgeoning body of evidence has linked good self-control to a broad range of desirable outcomes, including healthier inter-personal relationships, greater popularity, better mental health, more effective coping skills, reduced aggression, and superior academic performance, as well as less susceptibility to drug and alcohol abuse, criminality, and eating disorders (DeWall,", "author" : [ { "dropping-particle" : "", "family" : "Gailliot", "given" : "Matthew T", "non-dropping-particle" : "", "parse-names" : false, "suffix" : "" }, { "dropping-particle" : "", "family" : "Baumeister", "given" : "Roy F", "non-dropping-particle" : "", "parse-names" : false, "suffix" : "" }, { "dropping-particle" : "", "family" : "Dewall", "given" : "C Nathan", "non-dropping-particle" : "", "parse-names" : false, "suffix" : "" }, { "dropping-particle" : "", "family" : "Maner", "given" : "Jon K", "non-dropping-particle" : "", "parse-names" : false, "suffix" : "" }, { "dropping-particle" : "", "family" : "Plant", "given" : "E Ashby", "non-dropping-particle" : "", "parse-names" : false, "suffix" : "" }, { "dropping-particle" : "", "family" : "Tice", "given" : "Dianne M", "non-dropping-particle" : "", "parse-names" : false, "suffix" : "" }, { "dropping-particle" : "", "family" : "Brewer", "given" : "Lauren E", "non-dropping-particle" : "", "parse-names" : false, "suffix" : "" }, { "dropping-particle" : "", "family" : "Schmeichel", "given" : "Brandon J", "non-dropping-particle" : "", "parse-names" : false, "suffix" : "" } ], "container-title" : "Journal of Personality and Social Psychology", "id" : "ITEM-1", "issue" : "2", "issued" : { "date-parts" : [ [ "2007" ] ] }, "page" : "325-336", "publisher" : "Pratt &amp; Cullen Tangney Vohs &amp; Heatherton", "title" : "Self-Control Relies on Glucose as a Limited Energy Source: Willpower Is More Than a Metaphor", "type" : "article-journal", "volume" : "92" }, "uris" : [ "http://www.mendeley.com/documents/?uuid=6263e328-4ccc-39f7-86c8-1ceadf566a08" ] } ], "mendeley" : { "formattedCitation" : "(Gailliot et al., 2007)", "plainTextFormattedCitation" : "(Gailliot et al., 2007)", "previouslyFormattedCitation" : "(Gailliot et al., 2007)" }, "properties" : { "noteIndex" : 0 }, "schema" : "https://github.com/citation-style-language/schema/raw/master/csl-citation.json" }</w:instrText>
      </w:r>
      <w:r w:rsidR="00B06E70">
        <w:rPr>
          <w:rFonts w:cs="Bembo"/>
          <w:sz w:val="24"/>
          <w:szCs w:val="24"/>
        </w:rPr>
        <w:fldChar w:fldCharType="separate"/>
      </w:r>
      <w:r w:rsidR="00927FCB" w:rsidRPr="00927FCB">
        <w:rPr>
          <w:rFonts w:cs="Bembo"/>
          <w:noProof/>
          <w:sz w:val="24"/>
          <w:szCs w:val="24"/>
        </w:rPr>
        <w:t>(Gailliot et al., 2007)</w:t>
      </w:r>
      <w:r w:rsidR="00B06E70">
        <w:rPr>
          <w:rFonts w:cs="Bembo"/>
          <w:sz w:val="24"/>
          <w:szCs w:val="24"/>
        </w:rPr>
        <w:fldChar w:fldCharType="end"/>
      </w:r>
      <w:r w:rsidRPr="00D05EBD">
        <w:rPr>
          <w:rFonts w:cs="Bembo"/>
          <w:sz w:val="24"/>
          <w:szCs w:val="24"/>
        </w:rPr>
        <w:t xml:space="preserve"> which has been linked </w:t>
      </w:r>
      <w:r w:rsidRPr="00D05EBD">
        <w:rPr>
          <w:sz w:val="24"/>
          <w:szCs w:val="24"/>
        </w:rPr>
        <w:t xml:space="preserve">to impulsive, </w:t>
      </w:r>
      <w:r w:rsidRPr="00D05EBD">
        <w:rPr>
          <w:sz w:val="24"/>
          <w:szCs w:val="24"/>
        </w:rPr>
        <w:lastRenderedPageBreak/>
        <w:t xml:space="preserve">uninhibited behaviour </w:t>
      </w:r>
      <w:r w:rsidR="00B06E70">
        <w:rPr>
          <w:sz w:val="24"/>
          <w:szCs w:val="24"/>
        </w:rPr>
        <w:fldChar w:fldCharType="begin" w:fldLock="1"/>
      </w:r>
      <w:r w:rsidR="0087187E">
        <w:rPr>
          <w:sz w:val="24"/>
          <w:szCs w:val="24"/>
        </w:rPr>
        <w:instrText>ADDIN CSL_CITATION { "citationItems" : [ { "id" : "ITEM-1", "itemData" : { "DOI" : "10.1177/0146167206293472", "ISBN" : "0146-1672", "ISSN" : "0146-1672", "PMID" : "17259579", "abstract" : "Nonsexual deficiencies in self-control may contribute to inappropriate or objectionable sexual behaviors, as shown by survey questionnaires, autobiographical narratives, and experimental manipulations. People with low overall trait self-control and/or whose self-control strength had been depleted by recent, nonsexual acts were less likely than other people to stifle inappropriate sexual thoughts and to resist the temptation to engage in sexual activities with someone other than their primary relationship partner. They also engaged in more extensive sexual activity in the laboratory with their dating partner and they reported more undercontrolled or impulsive sexual behavior generally. Furthermore, there was some evidence that the effects of diminished self-control were strongest among those with the strongest sexual desires (men and sexually unrestricted individuals) and among couples with less sexual experience.", "author" : [ { "dropping-particle" : "", "family" : "Gailliot", "given" : "Matthew T", "non-dropping-particle" : "", "parse-names" : false, "suffix" : "" }, { "dropping-particle" : "", "family" : "Baumeister", "given" : "Roy F", "non-dropping-particle" : "", "parse-names" : false, "suffix" : "" } ], "container-title" : "Personality and social psychology bulletin", "id" : "ITEM-1", "issue" : "2", "issued" : { "date-parts" : [ [ "2007" ] ] }, "page" : "173-186", "title" : "Self-regulation and sexual restraint: dispositionally and temporarily poor self-regulatory abilities contribute to failures at restraining sexual behavior.", "type" : "article-journal", "volume" : "33" }, "uris" : [ "http://www.mendeley.com/documents/?uuid=2aeb0856-f564-4707-828a-97d2317fc09e" ] } ], "mendeley" : { "formattedCitation" : "(Gailliot &amp; Baumeister, 2007)", "plainTextFormattedCitation" : "(Gailliot &amp; Baumeister, 2007)", "previouslyFormattedCitation" : "(Gailliot &amp; Baumeister, 2007)" }, "properties" : { "noteIndex" : 0 }, "schema" : "https://github.com/citation-style-language/schema/raw/master/csl-citation.json" }</w:instrText>
      </w:r>
      <w:r w:rsidR="00B06E70">
        <w:rPr>
          <w:sz w:val="24"/>
          <w:szCs w:val="24"/>
        </w:rPr>
        <w:fldChar w:fldCharType="separate"/>
      </w:r>
      <w:r w:rsidR="00FC6B2A" w:rsidRPr="00FC6B2A">
        <w:rPr>
          <w:noProof/>
          <w:sz w:val="24"/>
          <w:szCs w:val="24"/>
        </w:rPr>
        <w:t>(Gailliot &amp; Baumeister, 2007)</w:t>
      </w:r>
      <w:r w:rsidR="00B06E70">
        <w:rPr>
          <w:sz w:val="24"/>
          <w:szCs w:val="24"/>
        </w:rPr>
        <w:fldChar w:fldCharType="end"/>
      </w:r>
      <w:r w:rsidRPr="00D05EBD">
        <w:rPr>
          <w:sz w:val="24"/>
          <w:szCs w:val="24"/>
        </w:rPr>
        <w:t xml:space="preserve">. </w:t>
      </w:r>
      <w:r w:rsidRPr="00D05EBD">
        <w:rPr>
          <w:rFonts w:cs="Bembo"/>
          <w:sz w:val="24"/>
          <w:szCs w:val="24"/>
        </w:rPr>
        <w:t xml:space="preserve"> </w:t>
      </w:r>
      <w:r w:rsidRPr="00D05EBD">
        <w:rPr>
          <w:sz w:val="24"/>
          <w:szCs w:val="24"/>
        </w:rPr>
        <w:t>Research</w:t>
      </w:r>
      <w:r w:rsidRPr="00D05EBD">
        <w:rPr>
          <w:rFonts w:cs="Bembo"/>
          <w:sz w:val="24"/>
          <w:szCs w:val="24"/>
        </w:rPr>
        <w:t xml:space="preserve"> by </w:t>
      </w:r>
      <w:r w:rsidR="00B06E70">
        <w:rPr>
          <w:rFonts w:cs="Bembo"/>
          <w:sz w:val="24"/>
          <w:szCs w:val="24"/>
        </w:rPr>
        <w:fldChar w:fldCharType="begin" w:fldLock="1"/>
      </w:r>
      <w:r w:rsidR="0087187E">
        <w:rPr>
          <w:rFonts w:cs="Bembo"/>
          <w:sz w:val="24"/>
          <w:szCs w:val="24"/>
        </w:rPr>
        <w:instrText>ADDIN CSL_CITATION { "citationItems" : [ { "id" : "ITEM-1", "itemData" : { "DOI" : "10.1080/02699931.2012.679916", "ISBN" : "0269-9931\\n1464-0600", "ISSN" : "1464-0600", "PMID" : "22712512", "abstract" : "Previous studies have found that acts of self-control like emotion regulation deplete blood glucose levels. The present experiment investigated the hypothesis that the extent to which people's blood glucose levels decline during emotion regulation attempts is influenced by whether they believe themselves to be good or poor at emotion control. We found that although good and poor emotion regulators were equally able to achieve positive and negative moods, the blood glucose of poor emotion regulators was reduced after performing an affect-improving task, whereas the blood glucose of good emotion regulators remained unchanged. As evidence suggests that glucose is a limited energy resource upon which self-control relies, the implication is that good emotion regulators are able to achieve the same positive mood with less cost to their self-regulatory resource. Thus, depletion may not be an inevitable consequence of engaging in emotion regulation.", "author" : [ { "dropping-particle" : "", "family" : "Niven", "given" : "Karen", "non-dropping-particle" : "", "parse-names" : false, "suffix" : "" }, { "dropping-particle" : "", "family" : "Totterdell", "given" : "Peter", "non-dropping-particle" : "", "parse-names" : false, "suffix" : "" }, { "dropping-particle" : "", "family" : "Miles", "given" : "Eleanor", "non-dropping-particle" : "", "parse-names" : false, "suffix" : "" }, { "dropping-particle" : "", "family" : "Webb", "given" : "Thomas L", "non-dropping-particle" : "", "parse-names" : false, "suffix" : "" }, { "dropping-particle" : "", "family" : "Sheeran", "given" : "Paschal", "non-dropping-particle" : "", "parse-names" : false, "suffix" : "" } ], "container-title" : "Cognition &amp; Emotion", "id" : "ITEM-1", "issue" : "1", "issued" : { "date-parts" : [ [ "2013" ] ] }, "page" : "133-40", "title" : "Achieving the same for less: improving mood depletes blood glucose for people with poor (but not good) emotion control.", "type" : "article-journal", "volume" : "27" }, "uris" : [ "http://www.mendeley.com/documents/?uuid=6a8f26a6-d4c9-3315-b387-a13e11412f53" ] } ], "mendeley" : { "formattedCitation" : "(Niven, Totterdell, Miles, Webb, &amp; Sheeran, 2013)", "manualFormatting" : "Niven, Totterdell, Miles, Webb, and Sheeran (2013)", "plainTextFormattedCitation" : "(Niven, Totterdell, Miles, Webb, &amp; Sheeran, 2013)", "previouslyFormattedCitation" : "(Niven, Totterdell, Miles, Webb, &amp; Sheeran, 2013)" }, "properties" : { "noteIndex" : 0 }, "schema" : "https://github.com/citation-style-language/schema/raw/master/csl-citation.json" }</w:instrText>
      </w:r>
      <w:r w:rsidR="00B06E70">
        <w:rPr>
          <w:rFonts w:cs="Bembo"/>
          <w:sz w:val="24"/>
          <w:szCs w:val="24"/>
        </w:rPr>
        <w:fldChar w:fldCharType="separate"/>
      </w:r>
      <w:r w:rsidR="0087187E" w:rsidRPr="0087187E">
        <w:rPr>
          <w:rFonts w:cs="Bembo"/>
          <w:noProof/>
          <w:sz w:val="24"/>
          <w:szCs w:val="24"/>
        </w:rPr>
        <w:t xml:space="preserve">Niven, Totterdell, Miles, Webb, </w:t>
      </w:r>
      <w:r w:rsidR="0087187E">
        <w:rPr>
          <w:rFonts w:cs="Bembo"/>
          <w:noProof/>
          <w:sz w:val="24"/>
          <w:szCs w:val="24"/>
        </w:rPr>
        <w:t>and</w:t>
      </w:r>
      <w:r w:rsidR="0087187E" w:rsidRPr="0087187E">
        <w:rPr>
          <w:rFonts w:cs="Bembo"/>
          <w:noProof/>
          <w:sz w:val="24"/>
          <w:szCs w:val="24"/>
        </w:rPr>
        <w:t xml:space="preserve"> Sheeran </w:t>
      </w:r>
      <w:r w:rsidR="0087187E">
        <w:rPr>
          <w:rFonts w:cs="Bembo"/>
          <w:noProof/>
          <w:sz w:val="24"/>
          <w:szCs w:val="24"/>
        </w:rPr>
        <w:t>(</w:t>
      </w:r>
      <w:r w:rsidR="0087187E" w:rsidRPr="0087187E">
        <w:rPr>
          <w:rFonts w:cs="Bembo"/>
          <w:noProof/>
          <w:sz w:val="24"/>
          <w:szCs w:val="24"/>
        </w:rPr>
        <w:t>2013)</w:t>
      </w:r>
      <w:r w:rsidR="00B06E70">
        <w:rPr>
          <w:rFonts w:cs="Bembo"/>
          <w:sz w:val="24"/>
          <w:szCs w:val="24"/>
        </w:rPr>
        <w:fldChar w:fldCharType="end"/>
      </w:r>
      <w:r w:rsidRPr="00D05EBD">
        <w:rPr>
          <w:rFonts w:cs="Bembo"/>
          <w:sz w:val="24"/>
          <w:szCs w:val="24"/>
        </w:rPr>
        <w:t xml:space="preserve"> showed that, unlike people that are good at regulating their emotions (as measured by their perceptions on self-regulatory success in emotion regulation), people that are bad at regulating their emotions spend more glucose when they engage in a self-control activity (to improve their affect). Given the fact that acts of self-control spend body-levels of glucose, receiving </w:t>
      </w:r>
      <w:r w:rsidRPr="00D05EBD">
        <w:rPr>
          <w:sz w:val="24"/>
          <w:szCs w:val="24"/>
        </w:rPr>
        <w:t xml:space="preserve">glucose can counteract the effects of depletion </w:t>
      </w:r>
      <w:r w:rsidR="00B06E70">
        <w:rPr>
          <w:sz w:val="24"/>
          <w:szCs w:val="24"/>
        </w:rPr>
        <w:fldChar w:fldCharType="begin" w:fldLock="1"/>
      </w:r>
      <w:r w:rsidR="00927FCB">
        <w:rPr>
          <w:sz w:val="24"/>
          <w:szCs w:val="24"/>
        </w:rPr>
        <w:instrText>ADDIN CSL_CITATION { "citationItems" : [ { "id" : "ITEM-1", "itemData" : { "author" : [ { "dropping-particle" : "", "family" : "Alquist", "given" : "Jessica", "non-dropping-particle" : "", "parse-names" : false, "suffix" : "" }, { "dropping-particle" : "", "family" : "Baumeister", "given" : "Roy F", "non-dropping-particle" : "", "parse-names" : false, "suffix" : "" }, { "dropping-particle" : "", "family" : "Tice", "given" : "Dianne M", "non-dropping-particle" : "", "parse-names" : false, "suffix" : "" } ], "container-title" : "Advances in Consumer Research", "id" : "ITEM-1", "issued" : { "date-parts" : [ [ "2012" ] ] }, "page" : "9-12", "title" : "What you dont know can hurt you: uncertainty depletes self-regulatory reserves", "type" : "article-journal", "volume" : "40" }, "uris" : [ "http://www.mendeley.com/documents/?uuid=94774d0e-2746-446d-8f62-ae2949ff2538" ] }, { "id" : "ITEM-2", "itemData" : { "DOI" : "10.1037/0022-3514.92.2.325", "abstract" : "The present work suggests that self-control relies on glucose as a limited energy source. Laboratory tests of self-control (i.e., the Stroop task, thought suppression, emotion regulation, attention control) and of social behaviors (i.e., helping behavior, coping with thoughts of death, stifling prejudice during an interracial interaction) showed that (a) acts of self-control reduced blood glucose levels, (b) low levels of blood glucose after an initial self-control task predicted poor performance on a subsequent self-control task, and (c) initial acts of self-control impaired performance on subsequent self-control tasks, but consuming a glucose drink eliminated these impairments. Self-control requires a certain amount of glucose to operate unimpaired. A single act of self-control causes glucose to drop below optimal levels, thereby impairing subsequent attempts at self-control. Self-control (or self-regulation) is the ability to control or over-ride one's thoughts, emotions, urges, and behavior. Self-control allows for the flexibility necessary for successful goal attainment, and it greatly facilitates adherence to morals, laws, social norms, and other rules and regulations. As such, it is one of the most important and beneficial processes in the human personality struc-ture. A burgeoning body of evidence has linked good self-control to a broad range of desirable outcomes, including healthier inter-personal relationships, greater popularity, better mental health, more effective coping skills, reduced aggression, and superior academic performance, as well as less susceptibility to drug and alcohol abuse, criminality, and eating disorders (DeWall,", "author" : [ { "dropping-particle" : "", "family" : "Gailliot", "given" : "Matthew T", "non-dropping-particle" : "", "parse-names" : false, "suffix" : "" }, { "dropping-particle" : "", "family" : "Baumeister", "given" : "Roy F", "non-dropping-particle" : "", "parse-names" : false, "suffix" : "" }, { "dropping-particle" : "", "family" : "Dewall", "given" : "C Nathan", "non-dropping-particle" : "", "parse-names" : false, "suffix" : "" }, { "dropping-particle" : "", "family" : "Maner", "given" : "Jon K", "non-dropping-particle" : "", "parse-names" : false, "suffix" : "" }, { "dropping-particle" : "", "family" : "Plant", "given" : "E Ashby", "non-dropping-particle" : "", "parse-names" : false, "suffix" : "" }, { "dropping-particle" : "", "family" : "Tice", "given" : "Dianne M", "non-dropping-particle" : "", "parse-names" : false, "suffix" : "" }, { "dropping-particle" : "", "family" : "Brewer", "given" : "Lauren E", "non-dropping-particle" : "", "parse-names" : false, "suffix" : "" }, { "dropping-particle" : "", "family" : "Schmeichel", "given" : "Brandon J", "non-dropping-particle" : "", "parse-names" : false, "suffix" : "" } ], "container-title" : "Journal of Personality and Social Psychology", "id" : "ITEM-2", "issue" : "2", "issued" : { "date-parts" : [ [ "2007" ] ] }, "page" : "325-336", "publisher" : "Pratt &amp; Cullen Tangney Vohs &amp; Heatherton", "title" : "Self-Control Relies on Glucose as a Limited Energy Source: Willpower Is More Than a Metaphor", "type" : "article-journal", "volume" : "92" }, "uris" : [ "http://www.mendeley.com/documents/?uuid=6263e328-4ccc-39f7-86c8-1ceadf566a08" ] }, { "id" : "ITEM-3", "itemData" : { "ISSN" : "19302975", "abstract" : "Participants drank either regular root beer or sugar-free diet root beer before working on a probablity-learning task in which they tried to predict which of two events would occur on each of 200 trails.  One event (E1) randomly occurred on 140 trials, the other (E2) on 60.  In each of the last two blocks of 50 trials, the regular group matched prediction and event frequencies.  In contrast, the diet group predicted E1 more often in each of these blocks.  After the task, participants were asked to write down rules they used for responding.  Blind ratings of rule complexity were inversely related to E1 predictions in the final 50  trials.  Participants also took longer to advance after incorrect predictions and before predicting E2, reflecting time for revising and consulting rules.  These results support the hypothessis that an effortful controlled process of normative rule-generation matching in probability-learning experiments, and that this process is a function of glucose availability.", "author" : [ { "dropping-particle" : "", "family" : "McMahon", "given" : "Anthony J.", "non-dropping-particle" : "", "parse-names" : false, "suffix" : "" }, { "dropping-particle" : "", "family" : "Scheel", "given" : "Matthew H.", "non-dropping-particle" : "", "parse-names" : false, "suffix" : "" } ], "container-title" : "Judgment and Decision Making", "id" : "ITEM-3", "issue" : "6", "issued" : { "date-parts" : [ [ "2010" ] ] }, "page" : "450-457", "title" : "Glucose promotes controlled processing: Matching, maximizing, and root beer", "type" : "article-journal", "volume" : "5" }, "uris" : [ "http://www.mendeley.com/documents/?uuid=ef0d1aac-4cc3-45cc-9655-cdbfa3e3bb77" ] }, { "id" : "ITEM-4", "itemData" : { "DOI" : "10.1177/0956797609358096", "ISBN" : "0956-7976", "ISSN" : "1467-9280", "PMID" : "20424042", "abstract" : "This study explored metabolic mechanisms of future (delay) discounting, a choice phenomenon where people value present goods over future goods. Using fluctuating blood glucose as an index of body-energy budget, optimal discounting should regulate choice among rewards as a function of temporal caloric requirement. We identified this novel link between blood glucose levels measured in the lab and future-discounting rates of participants, who made choices between a \"smaller and sooner\" reward and a \"larger but later\" option, with possible actual monetary rewards. A group of participants who drank a soft drink that contained sugar showed a reduced rate of future discounting afterward, when we controlled for sex, age, body mass index, and the taste of the drink. In contrast, a group of participants</w:instrText>
      </w:r>
      <w:r w:rsidR="00927FCB" w:rsidRPr="00973AEB">
        <w:rPr>
          <w:sz w:val="24"/>
          <w:szCs w:val="24"/>
          <w:lang w:val="de-DE"/>
        </w:rPr>
        <w:instrText xml:space="preserve"> who drank a soft drink that contained artificial sweetener showed an increased rate of future discounting. Blood glucose levels not only varied as a result of caloric intake but also regulated the rate of future discounting, according to participants' dynamic body-energy budget.", "author" : [ { "dropping-particle" : "", "family" : "Wang", "given" : "X T", "non-dropping-particle" : "", "parse-names" : false, "suffix" : "" }, { "dropping-particle" : "", "family" : "Dvorak", "given" : "Robert D", "non-dropping-particle" : "", "parse-names" : false, "suffix" : "" } ], "container-title" : "Psychological science", "id" : "ITEM-4", "issue" : "2", "issued" : { "date-parts" : [ [ "2010" ] ] }, "page" : "183-188", "title" : "Sweet future: Fluctuating blood glucose levels affect future discounting.", "type" : "article-journal", "volume" : "21" }, "uris" : [ "http://www.mendeley.com/documents/?uuid=74d422c9-82e7-411d-b123-7c482b74218e" ] } ], "mendeley" : { "formattedCitation" : "(Alquist, Baumeister, &amp; Tice, 2012; Gailliot et al., 2007; McMahon &amp; Scheel, 2010; Wang &amp; Dvorak, 2010)", "plainTextFormattedCitation" : "(Alquist, Baumeister, &amp; Tice, 2012; Gailliot et al., 2007; McMahon &amp; Scheel, 2010; Wang &amp; Dvorak, 2010)", "previouslyFormattedCitation" : "(Alquist, Baumeister, &amp; Tice, 2012; Gailliot et al., 2007; McMahon &amp; Scheel, 2010; Wang &amp; Dvorak, 2010)" }, "properties" : { "noteIndex" : 0 }, "schema" : "https://github.com/citation-style-language/schema/raw/master/csl-citation.json" }</w:instrText>
      </w:r>
      <w:r w:rsidR="00B06E70">
        <w:rPr>
          <w:sz w:val="24"/>
          <w:szCs w:val="24"/>
        </w:rPr>
        <w:fldChar w:fldCharType="separate"/>
      </w:r>
      <w:r w:rsidR="00927FCB" w:rsidRPr="00927FCB">
        <w:rPr>
          <w:noProof/>
          <w:sz w:val="24"/>
          <w:szCs w:val="24"/>
          <w:lang w:val="de-DE"/>
        </w:rPr>
        <w:t>(Alquist, Baumeister, &amp; Tice, 2012; Gailliot et al., 2007; McMahon &amp; Scheel, 2010; Wang &amp; Dvorak, 2010)</w:t>
      </w:r>
      <w:r w:rsidR="00B06E70">
        <w:rPr>
          <w:sz w:val="24"/>
          <w:szCs w:val="24"/>
        </w:rPr>
        <w:fldChar w:fldCharType="end"/>
      </w:r>
      <w:r w:rsidRPr="00424711">
        <w:rPr>
          <w:sz w:val="24"/>
          <w:szCs w:val="24"/>
          <w:lang w:val="de-DE"/>
        </w:rPr>
        <w:t>.</w:t>
      </w:r>
      <w:r w:rsidRPr="00424711">
        <w:rPr>
          <w:rFonts w:cs="Bembo"/>
          <w:sz w:val="24"/>
          <w:szCs w:val="24"/>
          <w:lang w:val="de-DE"/>
        </w:rPr>
        <w:t xml:space="preserve"> </w:t>
      </w:r>
      <w:r w:rsidRPr="00D05EBD">
        <w:rPr>
          <w:rFonts w:cs="Bembo"/>
          <w:sz w:val="24"/>
          <w:szCs w:val="24"/>
        </w:rPr>
        <w:t>In the present study</w:t>
      </w:r>
      <w:r w:rsidRPr="00D05EBD">
        <w:rPr>
          <w:sz w:val="24"/>
          <w:szCs w:val="24"/>
        </w:rPr>
        <w:t xml:space="preserve"> (Study 3) glucose was monitored before participants engaged in a self-control task (i.e. Stroop task) to see how much glucose participants were likely to have before starting the self-control task, as this could affect their performance.  </w:t>
      </w:r>
    </w:p>
    <w:p w:rsidR="00FB1389" w:rsidRPr="00D05EBD" w:rsidRDefault="00FB1389" w:rsidP="00AE640B">
      <w:pPr>
        <w:autoSpaceDE w:val="0"/>
        <w:autoSpaceDN w:val="0"/>
        <w:adjustRightInd w:val="0"/>
        <w:spacing w:after="0" w:line="480" w:lineRule="auto"/>
        <w:ind w:firstLine="720"/>
        <w:jc w:val="both"/>
        <w:rPr>
          <w:sz w:val="24"/>
          <w:szCs w:val="24"/>
        </w:rPr>
      </w:pPr>
      <w:r w:rsidRPr="00D05EBD">
        <w:rPr>
          <w:sz w:val="24"/>
          <w:szCs w:val="24"/>
        </w:rPr>
        <w:t xml:space="preserve">This chapter has mentioned what is self-control and how its depletion affects subsequent acts that also require self-control. It is worth noticing that most of the research mentioned up to now experimentally manipulates self-control (it exposes participants to self-control tasks in the laboratory context to then identify the possible effects its depletion on a subsequent self-control task). Although these experiments allow the researcher to have good control of the manipulation task, they pose the disadvantage of not reflecting self-control depletion that would occur, otherwise, naturally (i.e. in daily life activities). Some research exceptions have investigated the use of self-control outside the laboratory. For example, </w:t>
      </w:r>
      <w:r w:rsidR="00B06E70">
        <w:rPr>
          <w:sz w:val="24"/>
          <w:szCs w:val="24"/>
        </w:rPr>
        <w:fldChar w:fldCharType="begin" w:fldLock="1"/>
      </w:r>
      <w:r w:rsidR="00424711">
        <w:rPr>
          <w:sz w:val="24"/>
          <w:szCs w:val="24"/>
        </w:rPr>
        <w:instrText>ADDIN CSL_CITATION { "citationItems" : [ { "id" : "ITEM-1", "itemData" : { "abstract" : "If self-regulation conforms to an energy or strength model, then self-control should be impaired by prior exertion. In Study 1, trying to regulate one's emotional response to an upsetting movie was followed by a decrease in physical stamina. In Study 2, suppressing forbidden thoughts led to a subsequent tendency to give up quickly on unsolvable anagrams. In Study 3, suppressing thoughts impaired subsequent efforts to control the expression of amusement and enjoyment. In Study 4, autobiographical accounts of successful versus failed emotional control linked prior regulatory de-mands and fatigue to self-regulatory failure. A strength model of self-regulation fits the data better than activation, priming, skill, or constant capacity models of self-regulation.", "author" : [ { "dropping-particle" : "", "family" : "Muraven", "given" : "Mark", "non-dropping-particle" : "", "parse-names" : false, "suffix" : "" }, { "dropping-particle" : "", "family" : "Tice", "given" : "Dianne M", "non-dropping-particle" : "", "parse-names" : false, "suffix" : "" }, { "dropping-particle" : "", "family" : "Baumeister", "given" : "Roy F", "non-dropping-particle" : "", "parse-names" : false, "suffix" : "" } ], "container-title" : "JOURNAL OF PERSONALITY AND SOCIAL PSYCHOLOGY", "id" : "ITEM-1", "issue" : "3", "issued" : { "date-parts" : [ [ "1998" ] ] }, "page" : "774-789", "title" : "Self-Control as Limited Resource: Regulatory Depletion Patterns", "type" : "article-journal", "volume" : "74" }, "uris" : [ "http://www.mendeley.com/documents/?uuid=c83dcf2b-5f48-3a92-aedd-9fae27d33f40" ] } ], "mendeley" : { "formattedCitation" : "(Muraven et al., 1998)", "manualFormatting" : "Muraven et al. (Study 4, 1998)", "plainTextFormattedCitation" : "(Muraven et al., 1998)", "previouslyFormattedCitation" : "(Muraven et al., 1998)" }, "properties" : { "noteIndex" : 0 }, "schema" : "https://github.com/citation-style-language/schema/raw/master/csl-citation.json" }</w:instrText>
      </w:r>
      <w:r w:rsidR="00B06E70">
        <w:rPr>
          <w:sz w:val="24"/>
          <w:szCs w:val="24"/>
        </w:rPr>
        <w:fldChar w:fldCharType="separate"/>
      </w:r>
      <w:r w:rsidR="00424711">
        <w:rPr>
          <w:noProof/>
          <w:sz w:val="24"/>
          <w:szCs w:val="24"/>
        </w:rPr>
        <w:t>Muraven et al.</w:t>
      </w:r>
      <w:r w:rsidR="00424711" w:rsidRPr="00424711">
        <w:rPr>
          <w:noProof/>
          <w:sz w:val="24"/>
          <w:szCs w:val="24"/>
        </w:rPr>
        <w:t xml:space="preserve"> </w:t>
      </w:r>
      <w:r w:rsidR="00424711">
        <w:rPr>
          <w:noProof/>
          <w:sz w:val="24"/>
          <w:szCs w:val="24"/>
        </w:rPr>
        <w:t xml:space="preserve">(Study 4, </w:t>
      </w:r>
      <w:r w:rsidR="00424711" w:rsidRPr="00424711">
        <w:rPr>
          <w:noProof/>
          <w:sz w:val="24"/>
          <w:szCs w:val="24"/>
        </w:rPr>
        <w:t>1998)</w:t>
      </w:r>
      <w:r w:rsidR="00B06E70">
        <w:rPr>
          <w:sz w:val="24"/>
          <w:szCs w:val="24"/>
        </w:rPr>
        <w:fldChar w:fldCharType="end"/>
      </w:r>
      <w:r w:rsidRPr="00D05EBD">
        <w:rPr>
          <w:sz w:val="24"/>
          <w:szCs w:val="24"/>
        </w:rPr>
        <w:t xml:space="preserve"> asked participants to write down a story where they were successful at self-control (controlling their emotions) and where they were unsuccessful (failed at regulating their emotions) and they found that the stories of self-regulatory failure had more instances of events where participants had other self-regulatory demands (e.g. were under stress, were </w:t>
      </w:r>
      <w:r w:rsidRPr="00D05EBD">
        <w:rPr>
          <w:sz w:val="24"/>
          <w:szCs w:val="24"/>
        </w:rPr>
        <w:lastRenderedPageBreak/>
        <w:t xml:space="preserve">experiencing simultaneous emotions). Also, in the self-regulatory failure stories, the researchers found that participants mentioned that they had to respond to another self-regulatory demand (trying to remain motivated while working, having to deal with people in some problematic situation, or trying to make a good impression) shortly before the event they were describing. In an attempt to have more external validity the present study, Study 3, introduces a self-report measure of self-control that people exerted during their working day, which presumably could </w:t>
      </w:r>
      <w:r w:rsidRPr="00D05EBD">
        <w:rPr>
          <w:rFonts w:cs="Bembo"/>
          <w:sz w:val="24"/>
          <w:szCs w:val="24"/>
        </w:rPr>
        <w:t>reflect several areas where self-control might be used, instead of restraining participants to experimentally engage in a specific self-control activity. Study 3</w:t>
      </w:r>
      <w:r w:rsidRPr="00D05EBD">
        <w:rPr>
          <w:sz w:val="24"/>
          <w:szCs w:val="24"/>
        </w:rPr>
        <w:t xml:space="preserve"> will be validated by observing participants’ self-control success on a colour recognition task. Both tasks will be explained in more detail in the materials section.</w:t>
      </w:r>
    </w:p>
    <w:p w:rsidR="00FB1389" w:rsidRPr="00D05EBD" w:rsidRDefault="00FB1389" w:rsidP="00AE640B">
      <w:pPr>
        <w:autoSpaceDE w:val="0"/>
        <w:autoSpaceDN w:val="0"/>
        <w:adjustRightInd w:val="0"/>
        <w:spacing w:after="0" w:line="480" w:lineRule="auto"/>
        <w:ind w:firstLine="720"/>
        <w:jc w:val="both"/>
        <w:rPr>
          <w:rFonts w:cs="Bembo"/>
          <w:sz w:val="24"/>
          <w:szCs w:val="24"/>
        </w:rPr>
      </w:pPr>
      <w:r w:rsidRPr="00D05EBD">
        <w:rPr>
          <w:sz w:val="24"/>
          <w:szCs w:val="24"/>
        </w:rPr>
        <w:t xml:space="preserve">Self-control has been related to several things, such as being fatigued, being in a bad mood, or being emotionally exhausted. People that exert self-control report being more fatigued than people that do not. In </w:t>
      </w:r>
      <w:proofErr w:type="spellStart"/>
      <w:r w:rsidRPr="00D05EBD">
        <w:rPr>
          <w:sz w:val="24"/>
          <w:szCs w:val="24"/>
        </w:rPr>
        <w:t>Muraven</w:t>
      </w:r>
      <w:proofErr w:type="spellEnd"/>
      <w:r w:rsidRPr="00D05EBD">
        <w:rPr>
          <w:sz w:val="24"/>
          <w:szCs w:val="24"/>
        </w:rPr>
        <w:t xml:space="preserve"> and colleagues research (Study 1, 1998), it was found that participants depleted of self-control (that were asked to suppress and noticeably express their emotions) reported being more fatigued than participants  whose self-control resources were not manipulated (participants asked to act normally). In a meta-analysis by </w:t>
      </w:r>
      <w:r w:rsidR="00B06E70">
        <w:rPr>
          <w:sz w:val="24"/>
          <w:szCs w:val="24"/>
        </w:rPr>
        <w:fldChar w:fldCharType="begin" w:fldLock="1"/>
      </w:r>
      <w:r w:rsidR="00253808">
        <w:rPr>
          <w:sz w:val="24"/>
          <w:szCs w:val="24"/>
        </w:rPr>
        <w:instrText>ADDIN CSL_CITATION { "citationItems" : [ { "id" : "ITEM-1", "itemData" : { "DOI" : "10.1037/a0019486", "ISBN" : "0033-2909\\r1939-1455", "ISSN" : "0033-2909", "PMID" : "20565167", "abstract" : "According to the strength model, self-control is a finite resource that determines capacity for effortful control over dominant responses and, once expended, leads to impaired self-control task performance, known as ego depletion. A meta-analysis of 83 studies tested the effect of ego depletion on task performance and related outcomes, alternative explanations and moderators of the effect, and additional strength model hypotheses. Results revealed a significant effect of ego depletion on self-control task performance. Significant effect sizes were found for ego depletion on effort, perceived difficulty, negative affect, subjective fatigue, and blood glucose levels. Small, nonsignificant effects were found for positive affect and self-efficacy. Moderator analyses indicated minimal variation in the effect across sphere of depleting and dependent task, frequently used depleting and dependent tasks, presentation of tasks as single or separate experiments, type of dependent measure and control condition task, and source laboratory. The effect size was moderated by depleting task duration, task presentation by the same or different experimenters, intertask interim period, dependent task complexity, and use of dependent tasks in the choice and volition and cognitive spheres. Motivational incentives, training on self-control tasks, and glucose supplementation promoted better self-control in ego-depleted samples. Expecting further acts of self-control exacerbated the effect. Findings provide preliminary support for the ego-depletion effect and strength model hypotheses. Support for motivation and fatigue as alternative explanations for ego depletion indicate a need to integrate the strength model with other theories. Findings provide impetus for future investigation testing additional hypotheses and mechanisms of the ego-depletion effect.", "author" : [ { "dropping-particle" : "", "family" : "Hagger", "given" : "Martin S", "non-dropping-particle" : "", "parse-names" : false, "suffix" : "" }, { "dropping-particle" : "", "family" : "Wood", "given" : "Chantelle", "non-dropping-particle" : "", "parse-names" : false, "suffix" : "" }, { "dropping-particle" : "", "family" : "Stiff", "given" : "Chris", "non-dropping-particle" : "", "parse-names" : false, "suffix" : "" }, { "dropping-particle" : "", "family" : "Chatzisarantis", "given" : "Nikos L D", "non-dropping-particle" : "", "parse-names" : false, "suffix" : "" } ], "container-title" : "Psychological bulletin", "id" : "ITEM-1", "issue" : "4", "issued" : { "date-parts" : [ [ "2010" ] ] }, "page" : "495-525", "title" : "Ego depletion and the strength model of self-control: a meta-analysis.", "type" : "article-journal", "volume" : "136" }, "uris" : [ "http://www.mendeley.com/documents/?uuid=e3caf5e6-4d25-30b4-8d05-82b39ff0f4af" ] } ], "mendeley" : { "formattedCitation" : "(Hagger et al., 2010)", "manualFormatting" : "Hagger et al. (2010)", "plainTextFormattedCitation" : "(Hagger et al., 2010)", "previouslyFormattedCitation" : "(Hagger et al., 2010)" }, "properties" : { "noteIndex" : 0 }, "schema" : "https://github.com/citation-style-language/schema/raw/master/csl-citation.json" }</w:instrText>
      </w:r>
      <w:r w:rsidR="00B06E70">
        <w:rPr>
          <w:sz w:val="24"/>
          <w:szCs w:val="24"/>
        </w:rPr>
        <w:fldChar w:fldCharType="separate"/>
      </w:r>
      <w:r w:rsidR="00253808">
        <w:rPr>
          <w:noProof/>
          <w:sz w:val="24"/>
          <w:szCs w:val="24"/>
        </w:rPr>
        <w:t>Hagger et al.</w:t>
      </w:r>
      <w:r w:rsidR="00253808" w:rsidRPr="00253808">
        <w:rPr>
          <w:noProof/>
          <w:sz w:val="24"/>
          <w:szCs w:val="24"/>
        </w:rPr>
        <w:t xml:space="preserve"> </w:t>
      </w:r>
      <w:r w:rsidR="00253808">
        <w:rPr>
          <w:noProof/>
          <w:sz w:val="24"/>
          <w:szCs w:val="24"/>
        </w:rPr>
        <w:t>(</w:t>
      </w:r>
      <w:r w:rsidR="00253808" w:rsidRPr="00253808">
        <w:rPr>
          <w:noProof/>
          <w:sz w:val="24"/>
          <w:szCs w:val="24"/>
        </w:rPr>
        <w:t>2010)</w:t>
      </w:r>
      <w:r w:rsidR="00B06E70">
        <w:rPr>
          <w:sz w:val="24"/>
          <w:szCs w:val="24"/>
        </w:rPr>
        <w:fldChar w:fldCharType="end"/>
      </w:r>
      <w:r w:rsidRPr="00D05EBD">
        <w:rPr>
          <w:sz w:val="24"/>
          <w:szCs w:val="24"/>
        </w:rPr>
        <w:t xml:space="preserve"> it was found that there were two things that correlated with ego-depletion: fatigue and negative </w:t>
      </w:r>
      <w:proofErr w:type="spellStart"/>
      <w:r w:rsidRPr="00D05EBD">
        <w:rPr>
          <w:sz w:val="24"/>
          <w:szCs w:val="24"/>
        </w:rPr>
        <w:t>affect</w:t>
      </w:r>
      <w:proofErr w:type="spellEnd"/>
      <w:r w:rsidRPr="00D05EBD">
        <w:rPr>
          <w:sz w:val="24"/>
          <w:szCs w:val="24"/>
        </w:rPr>
        <w:t xml:space="preserve">. Nevertheless, some researchers believe it is not necessarily negative emotions but emotions in general (both positive and negative) but experienced more strongly that is related to ego-depletion </w:t>
      </w:r>
      <w:r w:rsidR="00B06E70">
        <w:rPr>
          <w:sz w:val="24"/>
          <w:szCs w:val="24"/>
        </w:rPr>
        <w:fldChar w:fldCharType="begin" w:fldLock="1"/>
      </w:r>
      <w:r w:rsidR="00FA4094">
        <w:rPr>
          <w:sz w:val="24"/>
          <w:szCs w:val="24"/>
        </w:rPr>
        <w:instrText>ADDIN CSL_CITATION { "citationItems" : [ { "id" : "ITEM-1", "itemData" : { "author" : [ { "dropping-particle" : "", "family" : "Vohs", "given" : "K D", "non-dropping-particle" : "", "parse-names" : false, "suffix" : "" }, { "dropping-particle" : "", "family" : "Baumeister", "given" : "R F", "non-dropping-particle" : "", "parse-names" : false, "suffix" : "" }, { "dropping-particle" : "", "family" : "Ramanthan", "given" : "S", "non-dropping-particle" : "", "parse-names" : false, "suffix" : "" }, { "dropping-particle" : "", "family" : "Mead", "given" : "N L", "non-dropping-particle" : "", "parse-names" : false, "suffix" : "" }, { "dropping-particle" : "", "family" : "Schmeichel", "given" : "B J", "non-dropping-particle" : "", "parse-names" : false, "suffix" : "" }, { "dropping-particle" : "", "family" : "Hofmann", "given" : "W", "non-dropping-particle" : "", "parse-names" : false, "suffix" : "" } ], "container-title" : "Unpublished manuscript", "id" : "ITEM-1", "issued" : { "date-parts" : [ [ "2014" ] ] }, "title" : "Depletion enhances urges and feelings", "type" : "article-journal" }, "uris" : [ "http://www.mendeley.com/documents/?uuid=793c1491-ae31-4186-a79a-7d612d8e7e45" ] } ], "mendeley" : { "formattedCitation" : "(K D Vohs et al., 2014)", "manualFormatting" : "(Vohs et al., 2014)", "plainTextFormattedCitation" : "(K D Vohs et al., 2014)", "previouslyFormattedCitation" : "(K D Vohs et al., 2014)" }, "properties" : { "noteIndex" : 0 }, "schema" : "https://github.com/citation-style-language/schema/raw/master/csl-citation.json" }</w:instrText>
      </w:r>
      <w:r w:rsidR="00B06E70">
        <w:rPr>
          <w:sz w:val="24"/>
          <w:szCs w:val="24"/>
        </w:rPr>
        <w:fldChar w:fldCharType="separate"/>
      </w:r>
      <w:r w:rsidR="00FA4094">
        <w:rPr>
          <w:noProof/>
          <w:sz w:val="24"/>
          <w:szCs w:val="24"/>
        </w:rPr>
        <w:t>(</w:t>
      </w:r>
      <w:r w:rsidR="00FA4094" w:rsidRPr="00FA4094">
        <w:rPr>
          <w:noProof/>
          <w:sz w:val="24"/>
          <w:szCs w:val="24"/>
        </w:rPr>
        <w:t>Vohs et al., 2014)</w:t>
      </w:r>
      <w:r w:rsidR="00B06E70">
        <w:rPr>
          <w:sz w:val="24"/>
          <w:szCs w:val="24"/>
        </w:rPr>
        <w:fldChar w:fldCharType="end"/>
      </w:r>
      <w:r w:rsidRPr="00D05EBD">
        <w:rPr>
          <w:sz w:val="24"/>
          <w:szCs w:val="24"/>
        </w:rPr>
        <w:t xml:space="preserve">. Emotional exhaustion has also been linked to ego-depletion. Research by </w:t>
      </w:r>
      <w:r w:rsidR="00B06E70">
        <w:rPr>
          <w:sz w:val="24"/>
          <w:szCs w:val="24"/>
        </w:rPr>
        <w:fldChar w:fldCharType="begin" w:fldLock="1"/>
      </w:r>
      <w:r w:rsidR="001B142F">
        <w:rPr>
          <w:sz w:val="24"/>
          <w:szCs w:val="24"/>
        </w:rPr>
        <w:instrText>ADDIN CSL_CITATION { "citationItems" : [ { "id" : "ITEM-1", "itemData" : { "DOI" : "10.1111/aphw.12009", "ISBN" : "1758-0846", "ISSN" : "17580846", "PMID" : "23625803", "abstract" : "BACKGROUND: This investigation focuses on what occurs to individuals' self-regulatory resource during controlled Interpersonal Affect Regulation (IAR) which is the process of deliberately influencing the internal feeling states of others. Combining the strength model of self-regulation and the resources conservation model, the investigation tested whether: (1) IAR behaviors are positively related to ego-depletion because goal-directed behaviors demand self-regulatory processes, and (2) the use of affect-improving strategies benefits from a source of resource-recovery because it initiates positive feedback from targets, as proposed from a resource-conservation perspective.\\n\\nMETHOD: To test this, a lab study based on an experimental dual-task paradigm using a sample of pairs of friends in the UK and a longitudinal field study of a sample of healthcare workers in Spain were conducted.\\n\\nRESULTS: The experimental study showed a depleting effect of interpersonal affect-improving IAR on a subsequent self-regulation task. The field study showed that while interpersonal affect-worsening was positively associated with depletion, as indicated by the level of emotional exhaustion, interpersonal affect-improving was only associated with depletion after controlling for the effect of positive feedback from clients.\\n\\nCONCLUSION: The findings indicate that IAR does have implications for resource depletion, but that social reactions play a role in the outcome.", "author" : [ { "dropping-particle" : "", "family" : "Martinez", "given" : "", "non-dropping-particle" : "", "parse-names" : false, "suffix" : "" }, { "dropping-particle" : "", "family" : "Poerio", "given" : "", "non-dropping-particle" : "", "parse-names" : false, "suffix" : "" }, { "dropping-particle" : "", "family" : "Totterdell", "given" : "", "non-dropping-particle" : "", "parse-names" : false, "suffix" : "" } ], "container-title" : "Applied Psychology: Health and Well-Being", "id" : "ITEM-1", "issue" : "2", "issued" : { "date-parts" : [ [ "2013" ] ] }, "page" : "248-269", "title" : "The association between controlled interpersonal affect regulation and resource depletion", "type" : "article-journal", "volume" : "5" }, "uris" : [ "http://www.mendeley.com/documents/?uuid=d721edac-fbbf-45ed-a664-9ec14982c8c2" ] } ], "mendeley" : { "formattedCitation" : "(Martinez, Poerio, &amp; Totterdell, 2013)", "manualFormatting" : "Martinez, Poerio, and Totterdell (2013)", "plainTextFormattedCitation" : "(Martinez, Poerio, &amp; Totterdell, 2013)", "previouslyFormattedCitation" : "(Martinez, Poerio, &amp; Totterdell, 2013)" }, "properties" : { "noteIndex" : 0 }, "schema" : "https://github.com/citation-style-language/schema/raw/master/csl-citation.json" }</w:instrText>
      </w:r>
      <w:r w:rsidR="00B06E70">
        <w:rPr>
          <w:sz w:val="24"/>
          <w:szCs w:val="24"/>
        </w:rPr>
        <w:fldChar w:fldCharType="separate"/>
      </w:r>
      <w:r w:rsidR="001B142F">
        <w:rPr>
          <w:noProof/>
          <w:sz w:val="24"/>
          <w:szCs w:val="24"/>
        </w:rPr>
        <w:t>Martinez, Poerio, and Totterdell</w:t>
      </w:r>
      <w:r w:rsidR="001B142F" w:rsidRPr="001B142F">
        <w:rPr>
          <w:noProof/>
          <w:sz w:val="24"/>
          <w:szCs w:val="24"/>
        </w:rPr>
        <w:t xml:space="preserve"> </w:t>
      </w:r>
      <w:r w:rsidR="001B142F">
        <w:rPr>
          <w:noProof/>
          <w:sz w:val="24"/>
          <w:szCs w:val="24"/>
        </w:rPr>
        <w:t>(</w:t>
      </w:r>
      <w:r w:rsidR="001B142F" w:rsidRPr="001B142F">
        <w:rPr>
          <w:noProof/>
          <w:sz w:val="24"/>
          <w:szCs w:val="24"/>
        </w:rPr>
        <w:t>2013)</w:t>
      </w:r>
      <w:r w:rsidR="00B06E70">
        <w:rPr>
          <w:sz w:val="24"/>
          <w:szCs w:val="24"/>
        </w:rPr>
        <w:fldChar w:fldCharType="end"/>
      </w:r>
      <w:r w:rsidRPr="00D05EBD">
        <w:rPr>
          <w:rFonts w:cs="Bembo"/>
          <w:sz w:val="24"/>
          <w:szCs w:val="24"/>
        </w:rPr>
        <w:t xml:space="preserve"> observed that people who were asked to regulate the emotions of someone else or to use IER (which is also </w:t>
      </w:r>
      <w:r w:rsidRPr="00D05EBD">
        <w:rPr>
          <w:rFonts w:cs="Bembo"/>
          <w:sz w:val="24"/>
          <w:szCs w:val="24"/>
        </w:rPr>
        <w:lastRenderedPageBreak/>
        <w:t>considered an activity that requires self-control) later persisted less time trying to solve an unsolvable anagram. Importantly, self-reports of the use of IER (as measured by the Emotion Regulation of Other and Self</w:t>
      </w:r>
      <w:r w:rsidR="001B142F">
        <w:rPr>
          <w:rFonts w:cs="Bembo"/>
          <w:sz w:val="24"/>
          <w:szCs w:val="24"/>
        </w:rPr>
        <w:t>;</w:t>
      </w:r>
      <w:r w:rsidR="001B142F" w:rsidRPr="00D05EBD">
        <w:rPr>
          <w:rFonts w:cs="Bembo"/>
          <w:sz w:val="24"/>
          <w:szCs w:val="24"/>
        </w:rPr>
        <w:t xml:space="preserve"> </w:t>
      </w:r>
      <w:r w:rsidR="00B06E70">
        <w:rPr>
          <w:rFonts w:cs="Bembo"/>
          <w:sz w:val="24"/>
          <w:szCs w:val="24"/>
        </w:rPr>
        <w:fldChar w:fldCharType="begin" w:fldLock="1"/>
      </w:r>
      <w:r w:rsidR="000B6F33">
        <w:rPr>
          <w:rFonts w:cs="Bembo"/>
          <w:sz w:val="24"/>
          <w:szCs w:val="24"/>
        </w:rPr>
        <w:instrText>ADDIN CSL_CITATION { "citationItems" : [ { "id" : "ITEM-1", "itemData" : { "DOI" : "10.1007/s12144-011-9099-9", "ISBN" : "10461310", "ISSN" : "10461310", "PMID" : "59222920", "abstract" : "Research on affect regulation has blossomed in recent years. However, the lack of validated scales assessing individual differences in the use of strategies to achieve alternative types of affect regulation, e.g., the regulation of others\u2019 affect and the worsening of affect, has hampered research on these important processes. This\\r\\npaper presents the development and validation of a brief new measure of individual differences in the use of strategies to regulate one\u2019s own and other people\u2019s feelings:m the Emotion Regulation of Others and Self (EROS) scale. Two distinct samples (N=551 and N=227) confirmed a four-factor structure: intrinsic affect-improving,\\r\\nintrinsic affect-worsening, extrinsic affect-improving and extrinsic affect-worsening. In line with predictions, these factors were associated with existing measures of affect regulation, personality and affect. Both intrinsic factors were positively associated with emotional exhaustion, while all factors except extrinsic affect-improving were positively associated with health-related impairments. Convergence between self- and other-reported scores on the extrinsic factors in a third sample (N=50 dyads) demonstrated further evidence of validity.", "author" : [ { "dropping-particle" : "", "family" : "Niven", "given" : "Karen", "non-dropping-particle" : "", "parse-names" : false, "suffix" : "" }, { "dropping-particle" : "", "family" : "Totterdell", "given" : "Peter", "non-dropping-particle" : "", "parse-names" : false, "suffix" : "" }, { "dropping-particle" : "", "family" : "Stride", "given" : "Christopher B.", "non-dropping-particle" : "", "parse-names" : false, "suffix" : "" }, { "dropping-particle" : "", "family" : "Holman", "given" : "David", "non-dropping-particle" : "", "parse-names" : false, "suffix" : "" } ], "container-title" : "Current Psychology", "id" : "ITEM-1", "issue" : "1", "issued" : { "date-parts" : [ [ "2011" ] ] }, "page" : "53-73", "title" : "Emotion Regulation of Others and Self (EROS): The Development and Validation of a New Individual Difference Measure", "type" : "article-journal", "volume" : "30" }, "uris" : [ "http://www.mendeley.com/documents/?uuid=4ea71d50-689a-3b25-aa32-744cd3a8d801" ] } ], "mendeley" : { "formattedCitation" : "(Niven et al., 2011)", "manualFormatting" : "Niven et al., 2011)", "plainTextFormattedCitation" : "(Niven et al., 2011)", "previouslyFormattedCitation" : "(Niven et al., 2011)" }, "properties" : { "noteIndex" : 0 }, "schema" : "https://github.com/citation-style-language/schema/raw/master/csl-citation.json" }</w:instrText>
      </w:r>
      <w:r w:rsidR="00B06E70">
        <w:rPr>
          <w:rFonts w:cs="Bembo"/>
          <w:sz w:val="24"/>
          <w:szCs w:val="24"/>
        </w:rPr>
        <w:fldChar w:fldCharType="separate"/>
      </w:r>
      <w:r w:rsidR="000B6F33" w:rsidRPr="000B6F33">
        <w:rPr>
          <w:rFonts w:cs="Bembo"/>
          <w:noProof/>
          <w:sz w:val="24"/>
          <w:szCs w:val="24"/>
        </w:rPr>
        <w:t>Niven et al., 2011)</w:t>
      </w:r>
      <w:r w:rsidR="00B06E70">
        <w:rPr>
          <w:rFonts w:cs="Bembo"/>
          <w:sz w:val="24"/>
          <w:szCs w:val="24"/>
        </w:rPr>
        <w:fldChar w:fldCharType="end"/>
      </w:r>
      <w:r w:rsidRPr="00D05EBD">
        <w:rPr>
          <w:rFonts w:cs="Bembo"/>
          <w:sz w:val="24"/>
          <w:szCs w:val="24"/>
        </w:rPr>
        <w:t xml:space="preserve"> were linked to emotional exhaustion when people engaged in worsening IER but not when they engaged in improving IER, as indicated by people’s scores on the </w:t>
      </w:r>
      <w:proofErr w:type="spellStart"/>
      <w:r w:rsidRPr="00D05EBD">
        <w:rPr>
          <w:rFonts w:cs="Bembo"/>
          <w:sz w:val="24"/>
          <w:szCs w:val="24"/>
        </w:rPr>
        <w:t>Maslach</w:t>
      </w:r>
      <w:proofErr w:type="spellEnd"/>
      <w:r w:rsidRPr="00D05EBD">
        <w:rPr>
          <w:rFonts w:cs="Bembo"/>
          <w:sz w:val="24"/>
          <w:szCs w:val="24"/>
        </w:rPr>
        <w:t xml:space="preserve"> Burnout Inventory (MBI; </w:t>
      </w:r>
      <w:r w:rsidR="00B06E70">
        <w:rPr>
          <w:rFonts w:cs="Bembo"/>
          <w:sz w:val="24"/>
          <w:szCs w:val="24"/>
        </w:rPr>
        <w:fldChar w:fldCharType="begin" w:fldLock="1"/>
      </w:r>
      <w:r w:rsidR="003C70B0">
        <w:rPr>
          <w:rFonts w:cs="Bembo"/>
          <w:sz w:val="24"/>
          <w:szCs w:val="24"/>
        </w:rPr>
        <w:instrText>ADDIN CSL_CITATION { "citationItems" : [ { "id" : "ITEM-1", "itemData" : { "author" : [ { "dropping-particle" : "", "family" : "Maslach", "given" : "C", "non-dropping-particle" : "", "parse-names" : false, "suffix" : "" }, { "dropping-particle" : "", "family" : "Jackson", "given" : "S E", "non-dropping-particle" : "", "parse-names" : false, "suffix" : "" }, { "dropping-particle" : "", "family" : "Leiter", "given" : "M P", "non-dropping-particle" : "", "parse-names" : false, "suffix" : "" } ], "id" : "ITEM-1", "issue" : "January", "issued" : { "date-parts" : [ [ "1996" ] ] }, "number-of-pages" : "191-218", "title" : "Evaluating Stress: A Book of Resources", "type" : "book" }, "uris" : [ "http://www.mendeley.com/documents/?uuid=e81442d9-eec1-49ec-875e-e9f6bd673cfa" ] } ], "mendeley" : { "formattedCitation" : "(Maslach, Jackson, &amp; Leiter, 1996)", "manualFormatting" : "Maslach, Jackson, &amp; Leiter, 1996)", "plainTextFormattedCitation" : "(Maslach, Jackson, &amp; Leiter, 1996)", "previouslyFormattedCitation" : "(Maslach, Jackson, &amp; Leiter, 1996)" }, "properties" : { "noteIndex" : 0 }, "schema" : "https://github.com/citation-style-language/schema/raw/master/csl-citation.json" }</w:instrText>
      </w:r>
      <w:r w:rsidR="00B06E70">
        <w:rPr>
          <w:rFonts w:cs="Bembo"/>
          <w:sz w:val="24"/>
          <w:szCs w:val="24"/>
        </w:rPr>
        <w:fldChar w:fldCharType="separate"/>
      </w:r>
      <w:r w:rsidR="003C70B0" w:rsidRPr="003C70B0">
        <w:rPr>
          <w:rFonts w:cs="Bembo"/>
          <w:noProof/>
          <w:sz w:val="24"/>
          <w:szCs w:val="24"/>
        </w:rPr>
        <w:t>Maslach, Jackson, &amp; Leiter, 1996)</w:t>
      </w:r>
      <w:r w:rsidR="00B06E70">
        <w:rPr>
          <w:rFonts w:cs="Bembo"/>
          <w:sz w:val="24"/>
          <w:szCs w:val="24"/>
        </w:rPr>
        <w:fldChar w:fldCharType="end"/>
      </w:r>
      <w:r w:rsidRPr="00D05EBD">
        <w:rPr>
          <w:rFonts w:cs="Bembo"/>
          <w:sz w:val="24"/>
          <w:szCs w:val="24"/>
        </w:rPr>
        <w:t xml:space="preserve">. Study 3 will include measures of fatigue, mood and emotional exhaustion (burnout) to see if they relate to self-control and to its contribution in self-control depletion. </w:t>
      </w:r>
    </w:p>
    <w:p w:rsidR="00FB1389" w:rsidRPr="00D05EBD" w:rsidRDefault="00FB1389" w:rsidP="00AE640B">
      <w:pPr>
        <w:autoSpaceDE w:val="0"/>
        <w:autoSpaceDN w:val="0"/>
        <w:adjustRightInd w:val="0"/>
        <w:spacing w:after="0" w:line="480" w:lineRule="auto"/>
        <w:ind w:firstLine="720"/>
        <w:jc w:val="both"/>
        <w:rPr>
          <w:sz w:val="24"/>
          <w:szCs w:val="24"/>
        </w:rPr>
      </w:pPr>
      <w:r w:rsidRPr="00456968">
        <w:rPr>
          <w:sz w:val="24"/>
          <w:szCs w:val="24"/>
        </w:rPr>
        <w:t xml:space="preserve">There is evidence that supports that the availability of self-control resources can affect interpersonal relationships. For example, self-regulatory depletion decreases the likelihood of a person responding constructively to his/her romantic partner destructive behaviour </w:t>
      </w:r>
      <w:r w:rsidR="00B06E70">
        <w:rPr>
          <w:sz w:val="24"/>
          <w:szCs w:val="24"/>
        </w:rPr>
        <w:fldChar w:fldCharType="begin" w:fldLock="1"/>
      </w:r>
      <w:r w:rsidR="00456968">
        <w:rPr>
          <w:sz w:val="24"/>
          <w:szCs w:val="24"/>
        </w:rPr>
        <w:instrText>ADDIN CSL_CITATION { "citationItems" : [ { "id" : "ITEM-1", "itemData" : { "DOI" : "10.1037/0022-3514.81.2.263", "ISBN" : "0022-3514\\n1939-1315", "ISSN" : "0022-3514", "PMID" : "11519931", "abstract" : "Accommodation refers to the willingness, when a partner has engaged in a potentially destructive behavior, to (a) inhibit impulses toward destructive responding and (b) instead respond constructively. A pilot study and 3 additional studies examined the hypothesis that self-control promotes individuals' ability to accommodate in response to a romantic partner's potentially destructive behavior. Dispositional self-control was positively associated with accommodative tendencies in all 4 investigations. In addition, Study 1 (a retrospective study) and Study 2 (a laboratory experiment) revealed that \"in-the-moment\" self-regulatory strength depletion decreased the likelihood that an individual would accommodate. Finally, Study 3 demonstrated that self-control exerted a significant effect on accommodation even after the authors included commitment to the relationship in the model. Implications for relationship functioning are discussed.", "author" : [ { "dropping-particle" : "", "family" : "Finkel", "given" : "Eli J", "non-dropping-particle" : "", "parse-names" : false, "suffix" : "" }, { "dropping-particle" : "", "family" : "Campbell", "given" : "W Keith", "non-dropping-particle" : "", "parse-names" : false, "suffix" : "" } ], "container-title" : "Journal of personality and social psychology", "id" : "ITEM-1", "issue" : "2", "issued" : { "date-parts" : [ [ "2001" ] ] }, "page" : "263-277", "title" : "Self-control and accommodation in close relationships: an interdependence analysis.", "type" : "article", "volume" : "81" }, "uris" : [ "http://www.mendeley.com/documents/?uuid=80a978af-e5b0-3886-b6e8-fa3f4729a971" ] } ], "mendeley" : { "formattedCitation" : "(Finkel &amp; Campbell, 2001)", "plainTextFormattedCitation" : "(Finkel &amp; Campbell, 2001)", "previouslyFormattedCitation" : "(Finkel &amp; Campbell, 2001)" }, "properties" : { "noteIndex" : 0 }, "schema" : "https://github.com/citation-style-language/schema/raw/master/csl-citation.json" }</w:instrText>
      </w:r>
      <w:r w:rsidR="00B06E70">
        <w:rPr>
          <w:sz w:val="24"/>
          <w:szCs w:val="24"/>
        </w:rPr>
        <w:fldChar w:fldCharType="separate"/>
      </w:r>
      <w:r w:rsidR="00456968" w:rsidRPr="00456968">
        <w:rPr>
          <w:noProof/>
          <w:sz w:val="24"/>
          <w:szCs w:val="24"/>
        </w:rPr>
        <w:t>(Finkel &amp; Campbell, 2001)</w:t>
      </w:r>
      <w:r w:rsidR="00B06E70">
        <w:rPr>
          <w:sz w:val="24"/>
          <w:szCs w:val="24"/>
        </w:rPr>
        <w:fldChar w:fldCharType="end"/>
      </w:r>
      <w:r w:rsidRPr="00456968">
        <w:rPr>
          <w:sz w:val="24"/>
          <w:szCs w:val="24"/>
        </w:rPr>
        <w:t xml:space="preserve">. People with high self-control report having a positive family environment, are more empathetic, and are less likely to react aggressively </w:t>
      </w:r>
      <w:r w:rsidR="00B06E70">
        <w:rPr>
          <w:sz w:val="24"/>
          <w:szCs w:val="24"/>
        </w:rPr>
        <w:fldChar w:fldCharType="begin" w:fldLock="1"/>
      </w:r>
      <w:r w:rsidR="00456968">
        <w:rPr>
          <w:sz w:val="24"/>
          <w:szCs w:val="24"/>
        </w:rPr>
        <w:instrText>ADDIN CSL_CITATION { "citationItems" : [ { "id" : "ITEM-1", "itemData" : { "DOI" : "10.1111/j.0022-3506.2004.00263.x", "ISBN" : "0022-3506", "ISSN" : "0022-3506", "PMID" : "15016066", "abstract" : "What good is self-control? We incorporated a new measure of individual differences in self-control into two large investigations of a broad spectrum of behaviors. The new scale showed good internal consistency and retest reliability. Higher scores on self-control correlated with a higher grade point average, better adjustment (fewer reports of psychopathology, higher self-esteem), less binge eating and alcohol abuse, better relationships and interpersonal skills, secure attachment, and more optimal emotional responses. Tests for curvilinearity failed to indicate any drawbacks of so-called overcontrol, and the positive effects remained after controlling for social desirability. Low self-control is thus a significant risk factor for a broad range of personal and interpersonal problems.", "author" : [ { "dropping-particle" : "", "family" : "Tangney", "given" : "June P", "non-dropping-particle" : "", "parse-names" : false, "suffix" : "" }, { "dropping-particle" : "", "family" : "Baumeister", "given" : "Roy F", "non-dropping-particle" : "", "parse-names" : false, "suffix" : "" }, { "dropping-particle" : "", "family" : "Boone", "given" : "Angie Luzio", "non-dropping-particle" : "", "parse-names" : false, "suffix" : "" } ], "container-title" : "Journal of personality", "id" : "ITEM-1", "issue" : "2", "issued" : { "date-parts" : [ [ "2004" ] ] }, "page" : "271-324", "publisher" : "Blackwell Publishing", "title" : "High self-control predicts good adjustment, less pathology, better grades, and interpersonal success.", "type" : "article-journal", "volume" : "72" }, "uris" : [ "http://www.mendeley.com/documents/?uuid=2e111bc3-8408-30ca-96ac-043d94e533a8" ] } ], "mendeley" : { "formattedCitation" : "(Tangney, Baumeister, &amp; Boone, 2004)", "plainTextFormattedCitation" : "(Tangney, Baumeister, &amp; Boone, 2004)", "previouslyFormattedCitation" : "(Tangney, Baumeister, &amp; Boone, 2004)" }, "properties" : { "noteIndex" : 0 }, "schema" : "https://github.com/citation-style-language/schema/raw/master/csl-citation.json" }</w:instrText>
      </w:r>
      <w:r w:rsidR="00B06E70">
        <w:rPr>
          <w:sz w:val="24"/>
          <w:szCs w:val="24"/>
        </w:rPr>
        <w:fldChar w:fldCharType="separate"/>
      </w:r>
      <w:r w:rsidR="00456968" w:rsidRPr="00456968">
        <w:rPr>
          <w:noProof/>
          <w:sz w:val="24"/>
          <w:szCs w:val="24"/>
        </w:rPr>
        <w:t>(Tangney, Baumeister, &amp; Boone, 2004)</w:t>
      </w:r>
      <w:r w:rsidR="00B06E70">
        <w:rPr>
          <w:sz w:val="24"/>
          <w:szCs w:val="24"/>
        </w:rPr>
        <w:fldChar w:fldCharType="end"/>
      </w:r>
      <w:r w:rsidRPr="00456968">
        <w:rPr>
          <w:sz w:val="24"/>
          <w:szCs w:val="24"/>
        </w:rPr>
        <w:t xml:space="preserve">. But being depleted of self-regulatory resources does not necessarily mean interpersonal relationships will be negatively affected. </w:t>
      </w:r>
      <w:r w:rsidR="00B06E70">
        <w:rPr>
          <w:sz w:val="24"/>
          <w:szCs w:val="24"/>
        </w:rPr>
        <w:fldChar w:fldCharType="begin" w:fldLock="1"/>
      </w:r>
      <w:r w:rsidR="00456968">
        <w:rPr>
          <w:sz w:val="24"/>
          <w:szCs w:val="24"/>
        </w:rPr>
        <w:instrText>ADDIN CSL_CITATION { "citationItems" : [ { "id" : "ITEM-1", "itemData" : { "DOI" : "10.1177/0956797613475457", "ISBN" : "1467-9280 (Electronic)\\r0956-7976 (Linking)", "ISSN" : "1467-9280", "PMID" : "23780725", "abstract" : "Although previous theories and research have suggested that human behavior is automatically driven by selfish impulses (e.g., vengeance rather than forgiveness), the present research tested the hypothesis that in close relationships, people's impulsive inclination is to be prosocial and to sacrifice for their partner-to pursue the interests of the partner or of the relationship at some costs for the self. Results from four studies demonstrated that people with low self-control, relative to those with high self-control, reported greater willingness to sacrifice for their close others. Furthermore, Study 4 demonstrated that communal orientation was more strongly associated with sacrifice among participants with low self-control than participants with high self-control. This moderational pattern supports the hypothesis that communal orientation functions as a default approach to sacrifice in the context of close relationships. Taken together, these findings suggest that under certain crucial conditions in close relationships, gut-level impulses are more likely than deliberative considerations to promote prorelationship behavior.", "author" : [ { "dropping-particle" : "", "family" : "Righetti", "given" : "Francesca", "non-dropping-particle" : "", "parse-names" : false, "suffix" : "" }, { "dropping-particle" : "", "family" : "Finkenauer", "given" : "Catrin", "non-dropping-particle" : "", "parse-names" : false, "suffix" : "" }, { "dropping-particle" : "", "family" : "Finkel", "given" : "Eli J", "non-dropping-particle" : "", "parse-names" : false, "suffix" : "" } ], "container-title" : "Psychological science", "id" : "ITEM-1", "issue" : "8", "issued" : { "date-parts" : [ [ "2013" ] ] }, "page" : "1533-40", "title" : "Low self-control promotes the willingness to sacrifice in close relationships.", "type" : "article-journal", "volume" : "24" }, "uris" : [ "http://www.mendeley.com/documents/?uuid=46d36896-46fb-30eb-90c2-8ed7b3945151" ] } ], "mendeley" : { "formattedCitation" : "(Righetti, Finkenauer, &amp; Finkel, 2013)", "manualFormatting" : "Righetti, Finkenauer, and Finkel (2013)", "plainTextFormattedCitation" : "(Righetti, Finkenauer, &amp; Finkel, 2013)", "previouslyFormattedCitation" : "(Righetti, Finkenauer, &amp; Finkel, 2013)" }, "properties" : { "noteIndex" : 0 }, "schema" : "https://github.com/citation-style-language/schema/raw/master/csl-citation.json" }</w:instrText>
      </w:r>
      <w:r w:rsidR="00B06E70">
        <w:rPr>
          <w:sz w:val="24"/>
          <w:szCs w:val="24"/>
        </w:rPr>
        <w:fldChar w:fldCharType="separate"/>
      </w:r>
      <w:r w:rsidR="00456968">
        <w:rPr>
          <w:noProof/>
          <w:sz w:val="24"/>
          <w:szCs w:val="24"/>
        </w:rPr>
        <w:t>Righetti, Finkenauer, and Finkel</w:t>
      </w:r>
      <w:r w:rsidR="00456968" w:rsidRPr="00456968">
        <w:rPr>
          <w:noProof/>
          <w:sz w:val="24"/>
          <w:szCs w:val="24"/>
        </w:rPr>
        <w:t xml:space="preserve"> </w:t>
      </w:r>
      <w:r w:rsidR="00456968">
        <w:rPr>
          <w:noProof/>
          <w:sz w:val="24"/>
          <w:szCs w:val="24"/>
        </w:rPr>
        <w:t>(</w:t>
      </w:r>
      <w:r w:rsidR="00456968" w:rsidRPr="00456968">
        <w:rPr>
          <w:noProof/>
          <w:sz w:val="24"/>
          <w:szCs w:val="24"/>
        </w:rPr>
        <w:t>2013)</w:t>
      </w:r>
      <w:r w:rsidR="00B06E70">
        <w:rPr>
          <w:sz w:val="24"/>
          <w:szCs w:val="24"/>
        </w:rPr>
        <w:fldChar w:fldCharType="end"/>
      </w:r>
      <w:r w:rsidRPr="00456968">
        <w:rPr>
          <w:sz w:val="24"/>
          <w:szCs w:val="24"/>
        </w:rPr>
        <w:t xml:space="preserve"> were interested in the way</w:t>
      </w:r>
      <w:r w:rsidRPr="00D05EBD">
        <w:rPr>
          <w:sz w:val="24"/>
          <w:szCs w:val="24"/>
        </w:rPr>
        <w:t xml:space="preserve"> people in close relationships (friends and romantic partners) behaved when their self-regulatory resources were depleted. They conducted a series of experiments where in the self-control depletion task some participants were exposed to a self-control situation (watching a video of a woman talking and, at the same time, avoiding looking at words that appeared on screen during the video), and some to a control condition (where asked to watch the video normally). </w:t>
      </w:r>
      <w:proofErr w:type="spellStart"/>
      <w:r w:rsidRPr="00D05EBD">
        <w:rPr>
          <w:sz w:val="24"/>
          <w:szCs w:val="24"/>
        </w:rPr>
        <w:t>Righetti</w:t>
      </w:r>
      <w:proofErr w:type="spellEnd"/>
      <w:r w:rsidRPr="00D05EBD">
        <w:rPr>
          <w:sz w:val="24"/>
          <w:szCs w:val="24"/>
        </w:rPr>
        <w:t xml:space="preserve"> and colleagues later observed that when encountered with a situation where participants had to sacrifice themselves for their close other (e.g. doing something undesirable or giving up something desirable for the </w:t>
      </w:r>
      <w:r w:rsidRPr="00D05EBD">
        <w:rPr>
          <w:sz w:val="24"/>
          <w:szCs w:val="24"/>
        </w:rPr>
        <w:lastRenderedPageBreak/>
        <w:t xml:space="preserve">interest of the other person or of the relationship), participants in the self-control condition were more willing to sacrifice themselves than participants whose self-regulatory resources had not been depleted. If people in a state of ego-depletion are more likely to rely on heuristics and automatic processes when asked to regulate someone else’s emotions, it is possible that sacrificing oneself is an automatic interpersonal behaviour. Empirical evidence of the effect of self-control resources on interpersonal relationships is important and a reason why, in the present study, self-control resources are investigated. Hopefully being able to identify people more vulnerable to depletion from people less vulnerable to depletion would present the opportunity to see how AIER manifests. </w:t>
      </w:r>
    </w:p>
    <w:p w:rsidR="00FB1389" w:rsidRPr="00D05EBD" w:rsidRDefault="00FB1389" w:rsidP="00AE640B">
      <w:pPr>
        <w:spacing w:line="480" w:lineRule="auto"/>
        <w:ind w:firstLine="720"/>
        <w:jc w:val="both"/>
        <w:rPr>
          <w:sz w:val="24"/>
          <w:szCs w:val="24"/>
        </w:rPr>
      </w:pPr>
      <w:r w:rsidRPr="00D05EBD">
        <w:rPr>
          <w:sz w:val="24"/>
          <w:szCs w:val="24"/>
        </w:rPr>
        <w:t xml:space="preserve">One instrument widely used to explore self-control capacity is the Self-Control Scale, developed by </w:t>
      </w:r>
      <w:r w:rsidR="00B06E70">
        <w:rPr>
          <w:sz w:val="24"/>
          <w:szCs w:val="24"/>
        </w:rPr>
        <w:fldChar w:fldCharType="begin" w:fldLock="1"/>
      </w:r>
      <w:r w:rsidR="00456968">
        <w:rPr>
          <w:sz w:val="24"/>
          <w:szCs w:val="24"/>
        </w:rPr>
        <w:instrText>ADDIN CSL_CITATION { "citationItems" : [ { "id" : "ITEM-1", "itemData" : { "DOI" : "10.1111/j.0022-3506.2004.00263.x", "ISBN" : "0022-3506", "ISSN" : "0022-3506", "PMID" : "15016066", "abstract" : "What good is self-control? We incorporated a new measure of individual differences in self-control into two large investigations of a broad spectrum of behaviors. The new scale showed good internal consistency and retest reliability. Higher scores on self-control correlated with a higher grade point average, better adjustment (fewer reports of psychopathology, higher self-esteem), less binge eating and alcohol abuse, better relationships and interpersonal skills, secure attachment, and more optimal emotional responses. Tests for curvilinearity failed to indicate any drawbacks of so-called overcontrol, and the positive effects remained after controlling for social desirability. Low self-control is thus a significant risk factor for a broad range of personal and interpersonal problems.", "author" : [ { "dropping-particle" : "", "family" : "Tangney", "given" : "June P", "non-dropping-particle" : "", "parse-names" : false, "suffix" : "" }, { "dropping-particle" : "", "family" : "Baumeister", "given" : "Roy F", "non-dropping-particle" : "", "parse-names" : false, "suffix" : "" }, { "dropping-particle" : "", "family" : "Boone", "given" : "Angie Luzio", "non-dropping-particle" : "", "parse-names" : false, "suffix" : "" } ], "container-title" : "Journal of personality", "id" : "ITEM-1", "issue" : "2", "issued" : { "date-parts" : [ [ "2004" ] ] }, "page" : "271-324", "publisher" : "Blackwell Publishing", "title" : "High self-control predicts good adjustment, less pathology, better grades, and interpersonal success.", "type" : "article-journal", "volume" : "72" }, "uris" : [ "http://www.mendeley.com/documents/?uuid=2e111bc3-8408-30ca-96ac-043d94e533a8" ] } ], "mendeley" : { "formattedCitation" : "(Tangney et al., 2004)", "manualFormatting" : "Tangney et al. (2004)", "plainTextFormattedCitation" : "(Tangney et al., 2004)", "previouslyFormattedCitation" : "(Tangney et al., 2004)" }, "properties" : { "noteIndex" : 0 }, "schema" : "https://github.com/citation-style-language/schema/raw/master/csl-citation.json" }</w:instrText>
      </w:r>
      <w:r w:rsidR="00B06E70">
        <w:rPr>
          <w:sz w:val="24"/>
          <w:szCs w:val="24"/>
        </w:rPr>
        <w:fldChar w:fldCharType="separate"/>
      </w:r>
      <w:r w:rsidR="00456968" w:rsidRPr="00456968">
        <w:rPr>
          <w:noProof/>
          <w:sz w:val="24"/>
          <w:szCs w:val="24"/>
        </w:rPr>
        <w:t>Tangney et al.</w:t>
      </w:r>
      <w:r w:rsidR="00456968">
        <w:rPr>
          <w:noProof/>
          <w:sz w:val="24"/>
          <w:szCs w:val="24"/>
        </w:rPr>
        <w:t xml:space="preserve"> (</w:t>
      </w:r>
      <w:r w:rsidR="00456968" w:rsidRPr="00456968">
        <w:rPr>
          <w:noProof/>
          <w:sz w:val="24"/>
          <w:szCs w:val="24"/>
        </w:rPr>
        <w:t>2004)</w:t>
      </w:r>
      <w:r w:rsidR="00B06E70">
        <w:rPr>
          <w:sz w:val="24"/>
          <w:szCs w:val="24"/>
        </w:rPr>
        <w:fldChar w:fldCharType="end"/>
      </w:r>
      <w:r w:rsidRPr="00D05EBD">
        <w:rPr>
          <w:sz w:val="24"/>
          <w:szCs w:val="24"/>
        </w:rPr>
        <w:t xml:space="preserve">. The 36 items of this scale measure people’s ability to override or change their inner responses and to interrupt undesired behavioural tendencies (e.g. impulses) and refrain from acting on them. Most of the items in this scale refer to exerting self-control by inhibiting some kind of behaviour or thought (example items include: </w:t>
      </w:r>
      <w:r w:rsidRPr="00D05EBD">
        <w:rPr>
          <w:i/>
          <w:sz w:val="24"/>
          <w:szCs w:val="24"/>
        </w:rPr>
        <w:t>I do certain things that are bad for me, if they are fun;</w:t>
      </w:r>
      <w:r w:rsidRPr="00D05EBD">
        <w:rPr>
          <w:sz w:val="24"/>
          <w:szCs w:val="24"/>
        </w:rPr>
        <w:t xml:space="preserve"> and, </w:t>
      </w:r>
      <w:r w:rsidRPr="00D05EBD">
        <w:rPr>
          <w:i/>
          <w:sz w:val="24"/>
          <w:szCs w:val="24"/>
        </w:rPr>
        <w:t>I wish I had more self-discipline</w:t>
      </w:r>
      <w:r w:rsidRPr="00D05EBD">
        <w:rPr>
          <w:sz w:val="24"/>
          <w:szCs w:val="24"/>
        </w:rPr>
        <w:t>). Inhibition seems to be one of the main forms of</w:t>
      </w:r>
      <w:r w:rsidR="00DA2355">
        <w:rPr>
          <w:sz w:val="24"/>
          <w:szCs w:val="24"/>
        </w:rPr>
        <w:t xml:space="preserve"> </w:t>
      </w:r>
      <w:r w:rsidRPr="00D05EBD">
        <w:rPr>
          <w:sz w:val="24"/>
          <w:szCs w:val="24"/>
        </w:rPr>
        <w:t>self-control as exemplified in the definition Tangney and colleagues (2004) give of self-control</w:t>
      </w:r>
      <w:r w:rsidRPr="00973AEB">
        <w:rPr>
          <w:rStyle w:val="Refdenotaalpie"/>
        </w:rPr>
        <w:footnoteReference w:id="29"/>
      </w:r>
      <w:r w:rsidRPr="00D05EBD">
        <w:rPr>
          <w:sz w:val="24"/>
          <w:szCs w:val="24"/>
        </w:rPr>
        <w:t>.</w:t>
      </w:r>
    </w:p>
    <w:p w:rsidR="00FB1389" w:rsidRPr="00D05EBD" w:rsidRDefault="00FB1389" w:rsidP="00AE640B">
      <w:pPr>
        <w:spacing w:line="480" w:lineRule="auto"/>
        <w:ind w:firstLine="720"/>
        <w:jc w:val="both"/>
        <w:rPr>
          <w:sz w:val="24"/>
          <w:szCs w:val="24"/>
        </w:rPr>
      </w:pPr>
      <w:r w:rsidRPr="006E74F2">
        <w:rPr>
          <w:sz w:val="24"/>
          <w:szCs w:val="24"/>
        </w:rPr>
        <w:t xml:space="preserve">Furthermore, according to </w:t>
      </w:r>
      <w:r w:rsidR="00B06E70">
        <w:rPr>
          <w:sz w:val="24"/>
          <w:szCs w:val="24"/>
        </w:rPr>
        <w:fldChar w:fldCharType="begin" w:fldLock="1"/>
      </w:r>
      <w:r w:rsidR="00844B08">
        <w:rPr>
          <w:sz w:val="24"/>
          <w:szCs w:val="24"/>
        </w:rPr>
        <w:instrText>ADDIN CSL_CITATION { "citationItems" : [ { "id" : "ITEM-1", "itemData" : { "DOI" : "10.1016/0272-7358(95)90149-3", "ISBN" : "0120831406", "ISSN" : "02727358", "PMID" : "15105", "abstract" : "toread", "author" : [ { "dropping-particle" : "", "family" : "Baumeister", "given" : "Roy F.", "non-dropping-particle" : "", "parse-names" : false, "suffix" : "" }, { "dropping-particle" : "", "family" : "Heatherton", "given" : "Todd F.", "non-dropping-particle" : "", "parse-names" : false, "suffix" : "" }, { "dropping-particle" : "", "family" : "Tice", "given" : "Dianne M.", "non-dropping-particle" : "", "parse-names" : false, "suffix" : "" } ], "container-title" : "The Journal of Psychiatry &amp; Law", "id" : "ITEM-1", "issue" : "4", "issued" : { "date-parts" : [ [ "1994" ] ] }, "page" : "367-368", "publisher" : "Academic Press", "title" : "Losing control: How and why people fail at self-regulation", "type" : "article-journal", "volume" : "15" }, "uris" : [ "http://www.mendeley.com/documents/?uuid=6bd1342d-ab04-318e-9655-5d4d1c60b29e" ] } ], "mendeley" : { "formattedCitation" : "(Baumeister, Heatherton, &amp; Tice, 1994)", "manualFormatting" : "Baumeister, Heatherton, and Tice (1994)", "plainTextFormattedCitation" : "(Baumeister, Heatherton, &amp; Tice, 1994)", "previouslyFormattedCitation" : "(Roy F. Baumeister, Heatherton, &amp; Tice, 1994)" }, "properties" : { "noteIndex" : 0 }, "schema" : "https://github.com/citation-style-language/schema/raw/master/csl-citation.json" }</w:instrText>
      </w:r>
      <w:r w:rsidR="00B06E70">
        <w:rPr>
          <w:sz w:val="24"/>
          <w:szCs w:val="24"/>
        </w:rPr>
        <w:fldChar w:fldCharType="separate"/>
      </w:r>
      <w:r w:rsidR="00E81E91">
        <w:rPr>
          <w:noProof/>
          <w:sz w:val="24"/>
          <w:szCs w:val="24"/>
        </w:rPr>
        <w:t>Baumeister, Heatherton, and Tice</w:t>
      </w:r>
      <w:r w:rsidR="00E81E91" w:rsidRPr="00E81E91">
        <w:rPr>
          <w:noProof/>
          <w:sz w:val="24"/>
          <w:szCs w:val="24"/>
        </w:rPr>
        <w:t xml:space="preserve"> </w:t>
      </w:r>
      <w:r w:rsidR="00E81E91">
        <w:rPr>
          <w:noProof/>
          <w:sz w:val="24"/>
          <w:szCs w:val="24"/>
        </w:rPr>
        <w:t>(</w:t>
      </w:r>
      <w:r w:rsidR="00E81E91" w:rsidRPr="00E81E91">
        <w:rPr>
          <w:noProof/>
          <w:sz w:val="24"/>
          <w:szCs w:val="24"/>
        </w:rPr>
        <w:t>1994)</w:t>
      </w:r>
      <w:r w:rsidR="00B06E70">
        <w:rPr>
          <w:sz w:val="24"/>
          <w:szCs w:val="24"/>
        </w:rPr>
        <w:fldChar w:fldCharType="end"/>
      </w:r>
      <w:r w:rsidRPr="006E74F2">
        <w:rPr>
          <w:sz w:val="24"/>
          <w:szCs w:val="24"/>
        </w:rPr>
        <w:t>, 80 to 90% of the regulation in daily life consists of inhibiting some kind of response</w:t>
      </w:r>
      <w:r w:rsidRPr="006E74F2">
        <w:rPr>
          <w:i/>
          <w:sz w:val="24"/>
          <w:szCs w:val="24"/>
        </w:rPr>
        <w:t xml:space="preserve">. </w:t>
      </w:r>
      <w:r w:rsidRPr="006E74F2">
        <w:rPr>
          <w:sz w:val="24"/>
          <w:szCs w:val="24"/>
        </w:rPr>
        <w:t xml:space="preserve">Since its publication in 2004, the scale has been used among different populations: young </w:t>
      </w:r>
      <w:r w:rsidRPr="006E74F2">
        <w:rPr>
          <w:sz w:val="24"/>
          <w:szCs w:val="24"/>
        </w:rPr>
        <w:lastRenderedPageBreak/>
        <w:t xml:space="preserve">adolescents </w:t>
      </w:r>
      <w:r w:rsidR="00B06E70">
        <w:rPr>
          <w:sz w:val="24"/>
          <w:szCs w:val="24"/>
        </w:rPr>
        <w:fldChar w:fldCharType="begin" w:fldLock="1"/>
      </w:r>
      <w:r w:rsidR="00807A4E">
        <w:rPr>
          <w:sz w:val="24"/>
          <w:szCs w:val="24"/>
        </w:rPr>
        <w:instrText>ADDIN CSL_CITATION { "citationItems" : [ { "id" : "ITEM-1", "itemData" : { "DOI" : "10.1080/01650250444000333", "ISBN" : "0165-0254", "ISSN" : "0165-0254", "PMID" : "15328889", "abstract" : "Cross-sectional data from 1359 boys and girls aged 10\u201314 years investigated whether parenting behaviours are directly or indirectly (through building self-control) associated with emotional (depression, stress, low self-esteem) and behavioural (delinquency, aggression) problems among adolescents. Replicating existing findings, both types of problems were directly, negatively related to adaptive parenting behaviour (high parental acceptance, strict control and monitoring, and little use of manipulative psychological control). Extending existing findings,</w:instrText>
      </w:r>
      <w:r w:rsidR="00807A4E" w:rsidRPr="004C0E2A">
        <w:rPr>
          <w:sz w:val="24"/>
          <w:szCs w:val="24"/>
          <w:lang w:val="de-DE"/>
        </w:rPr>
        <w:instrText xml:space="preserve"> self-control partially mediated the link between parenting behaviour and adolescent emotional and behavioural problems. Contrary to earlier suggestions, there was no sign that high self-control was associated with drawbacks or increased risk of psychosocial problems.", "author" : [ { "dropping-particle" : "", "family" : "Finkenauer", "given" : "Catrin", "non-dropping-particle" : "", "parse-names" : false, "suffix" : "" }, { "dropping-particle" : "", "family" : "Engels", "given" : "Rutger C M E", "non-dropping-particle" : "", "parse-names" : false, "suffix" : "" }, { "dropping-particle" : "", "family" : "Baumeister", "given" : "Roy F"</w:instrText>
      </w:r>
      <w:r w:rsidR="00807A4E" w:rsidRPr="00973AEB">
        <w:rPr>
          <w:sz w:val="24"/>
          <w:szCs w:val="24"/>
          <w:lang w:val="de-DE"/>
        </w:rPr>
        <w:instrText>, "non-dropping-particle" : "", "parse-names" : false, "suffix" : "" } ], "container-title" : "International Journal of Behavioral Development", "id" : "ITEM-1", "issue" : "1", "issued" : { "date-parts" : [ [ "2005" ] ] }, "page" : "58-69", "title" : "Parenting behaviour and adolescent behavioural and emotional problems: The role of self-control", "type" : "article-journal", "volume" : "29" }, "uris" : [ "http://www.mendeley.com/documents/?uuid=07b4a047-c2d5-4460-9dd0-1ec68c926be9" ] } ], "mendeley" : { "formattedCitation" : "(Finkenauer, Engels, &amp; Baumeister, 2005)", "plainTextFormattedCitation" : "(Finkenauer, Engels, &amp; Baumeister, 2005)", "previouslyFormattedCitation" : "(Finkenauer, Engels, &amp; Baumeister, 2005)" }, "properties" : { "noteIndex" : 0 }, "schema" : "https://github.com/citation-style-language/schema/raw/master/csl-citation.json" }</w:instrText>
      </w:r>
      <w:r w:rsidR="00B06E70">
        <w:rPr>
          <w:sz w:val="24"/>
          <w:szCs w:val="24"/>
        </w:rPr>
        <w:fldChar w:fldCharType="separate"/>
      </w:r>
      <w:r w:rsidR="00807A4E" w:rsidRPr="00973AEB">
        <w:rPr>
          <w:noProof/>
          <w:sz w:val="24"/>
          <w:szCs w:val="24"/>
          <w:lang w:val="de-DE"/>
        </w:rPr>
        <w:t>(Finkenauer, Engels, &amp; Baumeister, 2005)</w:t>
      </w:r>
      <w:r w:rsidR="00B06E70">
        <w:rPr>
          <w:sz w:val="24"/>
          <w:szCs w:val="24"/>
        </w:rPr>
        <w:fldChar w:fldCharType="end"/>
      </w:r>
      <w:r w:rsidRPr="00973AEB">
        <w:rPr>
          <w:sz w:val="24"/>
          <w:szCs w:val="24"/>
          <w:lang w:val="de-DE"/>
        </w:rPr>
        <w:t xml:space="preserve">, </w:t>
      </w:r>
      <w:r w:rsidR="0042410E" w:rsidRPr="00973AEB">
        <w:rPr>
          <w:sz w:val="24"/>
          <w:szCs w:val="24"/>
          <w:lang w:val="de-DE"/>
        </w:rPr>
        <w:t xml:space="preserve">and </w:t>
      </w:r>
      <w:r w:rsidRPr="00973AEB">
        <w:rPr>
          <w:sz w:val="24"/>
          <w:szCs w:val="24"/>
          <w:lang w:val="de-DE"/>
        </w:rPr>
        <w:t xml:space="preserve">adult romantic partners </w:t>
      </w:r>
      <w:r w:rsidR="00B06E70">
        <w:rPr>
          <w:sz w:val="24"/>
          <w:szCs w:val="24"/>
        </w:rPr>
        <w:fldChar w:fldCharType="begin" w:fldLock="1"/>
      </w:r>
      <w:r w:rsidR="00CB60B9" w:rsidRPr="00973AEB">
        <w:rPr>
          <w:sz w:val="24"/>
          <w:szCs w:val="24"/>
          <w:lang w:val="de-DE"/>
        </w:rPr>
        <w:instrText>ADDIN CSL_CITATION { "citationItems" : [ { "id" : "ITEM-1", "itemData" : { "DOI" : "10.1037/0022-3514.81.2.263", "ISBN" : "0022-3514\\n1939-1315", "ISSN" : "0022-3514", "PMID" : "11519931", "abstract" : "Accommodation refers to the willingness, when a partner has engaged in a potentially destructive behavior, to (a) inhibit impulses toward destructive responding and (b) instead respond constructively. A pilot study and 3 additional studies examined the hypothesis that self-control promotes individuals' ability to accommodate in response to a romantic partner's potentially destructive behavior. Dispositional self-control was positively associated with accommodative tendencies in all 4 investigations. In addition, Study 1 (a retrospective study) and Study 2 (a laboratory experiment) revealed that \"in-the-moment\" self-regulatory strength depletion decreased the likelihood that an individual would accommodate. Finally, Study 3 demonstrated that self-control exerted a significant effect on accommodation even after the authors included commitment to the relationship in the model. Implications for relationship functioning are discussed.", "author" : [ { "dropping-particle" : "", "family" : "Finkel", "given" : "Eli J", "non-dropping-particle" : "", "parse-names" : false, "suffix" : "" }, { "dropping-particle" : "", "family" : "Campbell", "given" : "W Keith", "non-dropping-particle" : "", "parse-names" : false, "suffix" : "" } ], "container-title" : "Journal of personality and social psychology", "id" : "ITEM-1", "issue" : "2", "issued" : { "date-parts" : [ [ "2001" ] ] }, "page" : "263-277", "title" : "Self-control and accommodation in close relationships: an interdependence analysis.", "type" : "article", "volume" : "81" }, "uris" : [ "http://www.mendeley.com/documents/?uuid=80a978af-e5b0-3886-b6e8-fa3f4729a971" ] } ], "mendeley" : { "formattedCitation" : "(Finkel &amp; Campbell, 2001)", "plainTextFormattedCitation" : "(Finkel &amp; Campbell, 2001)", "previouslyFormattedCitation" : "(Finkel &amp; Campbell, 2001)" }, "properties" : { "noteIndex" : 0 }, "schema" : "https://github.com/citation-style-language/schema/raw/master/csl-citation.json" }</w:instrText>
      </w:r>
      <w:r w:rsidR="00B06E70">
        <w:rPr>
          <w:sz w:val="24"/>
          <w:szCs w:val="24"/>
        </w:rPr>
        <w:fldChar w:fldCharType="separate"/>
      </w:r>
      <w:r w:rsidR="00807A4E" w:rsidRPr="00973AEB">
        <w:rPr>
          <w:noProof/>
          <w:sz w:val="24"/>
          <w:szCs w:val="24"/>
          <w:lang w:val="de-DE"/>
        </w:rPr>
        <w:t>(Finkel &amp; Campbell, 2001)</w:t>
      </w:r>
      <w:r w:rsidR="00B06E70">
        <w:rPr>
          <w:sz w:val="24"/>
          <w:szCs w:val="24"/>
        </w:rPr>
        <w:fldChar w:fldCharType="end"/>
      </w:r>
      <w:r w:rsidRPr="00973AEB">
        <w:rPr>
          <w:sz w:val="24"/>
          <w:szCs w:val="24"/>
          <w:lang w:val="de-DE"/>
        </w:rPr>
        <w:t>, to name some examples.</w:t>
      </w:r>
      <w:r w:rsidRPr="00973AEB">
        <w:rPr>
          <w:i/>
          <w:sz w:val="24"/>
          <w:szCs w:val="24"/>
          <w:lang w:val="de-DE"/>
        </w:rPr>
        <w:t xml:space="preserve"> </w:t>
      </w:r>
      <w:r w:rsidR="00B06E70">
        <w:rPr>
          <w:i/>
          <w:sz w:val="24"/>
          <w:szCs w:val="24"/>
        </w:rPr>
        <w:fldChar w:fldCharType="begin" w:fldLock="1"/>
      </w:r>
      <w:r w:rsidR="006810B8" w:rsidRPr="00973AEB">
        <w:rPr>
          <w:i/>
          <w:sz w:val="24"/>
          <w:szCs w:val="24"/>
          <w:lang w:val="de-DE"/>
        </w:rPr>
        <w:instrText>ADDIN CSL_CITATION { "citationItems" : [ { "id" : "ITEM-1", "itemData" : { "ISBN" : "1088-8683", "abstract" : "Given assertions of the theoretical, empirical, and practical importance of self-control, this meta-analytic study sought to review evidence concerning the relationship between dispositional self-control and behavior. The authors provide a brief overview over prominent theories of self-control, identifying implicit assumptions surrounding the effects of self-control that warrant empirical testing. They report the results of a meta-analysis of 102 studies (total N = 32,648) investigating the behavioral effects of self-control using the Self-Control Scale, the Barratt Impulsiveness Scale, and the Low Self-Control Scale. A small to medium positive effect of self-control on behavior was found for the three scales. Only the Self-Control Scale allowed for a fine-grained analysis of conceptual moderators of the self-control behavior relation. Specifically, self-control (measured by the Self-Control Scale) related similarly to the performance of desired behaviors and the inhibition of undesired behaviors, but its effects varied dramatically across life domains (e.g., achievement, adjustment). In addition, the associations between self-control and behavior were significantly stronger for automatic (as compared to controlled) behavior and for imagined (as compared to actual) behavior.", "author" : [ { "dropping-particle" : ""</w:instrText>
      </w:r>
      <w:r w:rsidR="006810B8">
        <w:rPr>
          <w:i/>
          <w:sz w:val="24"/>
          <w:szCs w:val="24"/>
        </w:rPr>
        <w:instrText>, "family" : "Ridder", "given" : "Denise T D", "non-dropping-particle" : "De", "parse-names" : false, "suffix" : "" }, { "dropping-particle" : "", "family" : "Lensvelt-mulders", "given" : "Gerty", "non-dropping-particle" : "", "parse-names" : false, "suffix" : "" }, { "dropping-particle" : "", "family" : "Finkenauer", "given" : "Catrin", "non-dropping-particle" : "", "parse-names" : false, "suffix" : "" }, { "dropping-particle" : "", "family" : "Stok", "given" : "F Marijn", "non-dropping-particle" : "", "parse-names" : false, "suffix" : "" }, { "dropping-particle" : "", "family" : "F.", "given" : "Roy Baumeister", "non-dropping-particle" : "", "parse-names" : false, "suffix" : "" }, { "dropping-particle" : "", "family" : "Ridder D.", "given" : "Denise T", "non-dropping-particle" : "de", "parse-names" : false, "suffix" : "" }, { "dropping-particle" : "", "family" : "Lensvelt-Mulders", "given" : "Gerty", "non-dropping-particle" : "", "parse-names" : false, "suffix" : "" }, { "dropping-particle" : "", "family" : "Finkenauer", "given" : "Catrin", "non-dropping-particle" : "", "parse-names" : false, "suffix" : "" }, { "dropping-particle" : "", "family" : "Stok", "given" : "F M", "non-dropping-particle" : "", "parse-names" : false, "suffix" : "" }, { "dropping-particle" : "", "family" : "Baumeister", "given" : "Roy F", "non-dropping-particle" : "", "parse-names" : false, "suffix" : "" } ], "container-title" : "Personality and Social Psychology Review", "id" : "ITEM-1", "issue" : "1", "issued" : { "date-parts" : [ [ "2012" ] ] }, "page" : "76-99", "title" : "Taking Stock of Self- Control", "type" : "article-journal", "volume" : "16" }, "uris" : [ "http://www.mendeley.com/documents/?uuid=671552a2-158b-4e42-8cfe-5c51d2fa09f1" ] } ], "mendeley" : { "formattedCitation" : "(De Ridder et al., 2012)", "manualFormatting" : "De Ridder et al. (2012)", "plainTextFormattedCitation" : "(De Ridder et al., 2012)", "previouslyFormattedCitation" : "(De Ridder et al., 2012)" }, "properties" : { "noteIndex" : 0 }, "schema" : "https://github.com/citation-style-language/schema/raw/master/csl-citation.json" }</w:instrText>
      </w:r>
      <w:r w:rsidR="00B06E70">
        <w:rPr>
          <w:i/>
          <w:sz w:val="24"/>
          <w:szCs w:val="24"/>
        </w:rPr>
        <w:fldChar w:fldCharType="separate"/>
      </w:r>
      <w:r w:rsidR="00CB60B9">
        <w:rPr>
          <w:noProof/>
          <w:sz w:val="24"/>
          <w:szCs w:val="24"/>
        </w:rPr>
        <w:t>De Ridder et al.</w:t>
      </w:r>
      <w:r w:rsidR="00CB60B9" w:rsidRPr="00CB60B9">
        <w:rPr>
          <w:noProof/>
          <w:sz w:val="24"/>
          <w:szCs w:val="24"/>
        </w:rPr>
        <w:t xml:space="preserve"> </w:t>
      </w:r>
      <w:r w:rsidR="00CB60B9">
        <w:rPr>
          <w:noProof/>
          <w:sz w:val="24"/>
          <w:szCs w:val="24"/>
        </w:rPr>
        <w:t>(</w:t>
      </w:r>
      <w:r w:rsidR="00CB60B9" w:rsidRPr="00CB60B9">
        <w:rPr>
          <w:noProof/>
          <w:sz w:val="24"/>
          <w:szCs w:val="24"/>
        </w:rPr>
        <w:t>2012)</w:t>
      </w:r>
      <w:r w:rsidR="00B06E70">
        <w:rPr>
          <w:i/>
          <w:sz w:val="24"/>
          <w:szCs w:val="24"/>
        </w:rPr>
        <w:fldChar w:fldCharType="end"/>
      </w:r>
      <w:r w:rsidRPr="00D05EBD">
        <w:rPr>
          <w:sz w:val="24"/>
          <w:szCs w:val="24"/>
        </w:rPr>
        <w:t xml:space="preserve"> conducted a meta-analysis to see how effective different instruments to investigate self-control were. They found that the Tangney’s Self-Control Scale had stronger relationships to behaviour than the other Self-Control measures included in their meta-ana</w:t>
      </w:r>
      <w:r w:rsidR="00A47EE2">
        <w:rPr>
          <w:sz w:val="24"/>
          <w:szCs w:val="24"/>
        </w:rPr>
        <w:t xml:space="preserve">lysis: </w:t>
      </w:r>
      <w:r w:rsidRPr="00D05EBD">
        <w:rPr>
          <w:sz w:val="24"/>
          <w:szCs w:val="24"/>
        </w:rPr>
        <w:t xml:space="preserve">The Barratt Impulsiveness Scale, </w:t>
      </w:r>
      <w:r w:rsidR="00B06E70">
        <w:rPr>
          <w:sz w:val="24"/>
          <w:szCs w:val="24"/>
        </w:rPr>
        <w:fldChar w:fldCharType="begin" w:fldLock="1"/>
      </w:r>
      <w:r w:rsidR="00874093">
        <w:rPr>
          <w:sz w:val="24"/>
          <w:szCs w:val="24"/>
        </w:rPr>
        <w:instrText>ADDIN CSL_CITATION { "citationItems" : [ { "id" : "ITEM-1", "itemData" : { "author" : [ { "dropping-particle" : "", "family" : "Patton", "given" : "J H", "non-dropping-particle" : "", "parse-names" : false, "suffix" : "" }, { "dropping-particle" : "", "family" : "Stanford", "given" : "M S", "non-dropping-particle" : "", "parse-names" : false, "suffix" : "" }, { "dropping-particle" : "", "family" : "Barratt", "given" : "E S", "non-dropping-particle" : "", "parse-names" : false, "suffix" : "" } ], "container-title" : "Journal of Clinical Psychology", "id" : "ITEM-1", "issue" : "6", "issued" : { "date-parts" : [ [ "1995" ] ] }, "page" : "768-774", "title" : "The factor structure of the Barratt Impulsiveness Scale", "type" : "article-journal", "volume" : "51" }, "uris" : [ "http://www.mendeley.com/documents/?uuid=2193866c-10e4-463a-ba3c-894b1519e584" ] } ], "mendeley" : { "formattedCitation" : "(Patton, Stanford, &amp; Barratt, 1995)", "plainTextFormattedCitation" : "(Patton, Stanford, &amp; Barratt, 1995)", "previouslyFormattedCitation" : "(Patton, Stanford, &amp; Barratt, 1995)" }, "properties" : { "noteIndex" : 0 }, "schema" : "https://github.com/citation-style-language/schema/raw/master/csl-citation.json" }</w:instrText>
      </w:r>
      <w:r w:rsidR="00B06E70">
        <w:rPr>
          <w:sz w:val="24"/>
          <w:szCs w:val="24"/>
        </w:rPr>
        <w:fldChar w:fldCharType="separate"/>
      </w:r>
      <w:r w:rsidR="008B2564" w:rsidRPr="008B2564">
        <w:rPr>
          <w:noProof/>
          <w:sz w:val="24"/>
          <w:szCs w:val="24"/>
        </w:rPr>
        <w:t>(Patton, Stanford, &amp; Barratt, 1995)</w:t>
      </w:r>
      <w:r w:rsidR="00B06E70">
        <w:rPr>
          <w:sz w:val="24"/>
          <w:szCs w:val="24"/>
        </w:rPr>
        <w:fldChar w:fldCharType="end"/>
      </w:r>
      <w:r w:rsidRPr="00D05EBD">
        <w:rPr>
          <w:sz w:val="24"/>
          <w:szCs w:val="24"/>
        </w:rPr>
        <w:t xml:space="preserve"> and the Low Self-Control Scale, </w:t>
      </w:r>
      <w:r w:rsidR="008B2564">
        <w:rPr>
          <w:sz w:val="24"/>
          <w:szCs w:val="24"/>
        </w:rPr>
        <w:tab/>
      </w:r>
      <w:r w:rsidR="00B06E70">
        <w:rPr>
          <w:sz w:val="24"/>
          <w:szCs w:val="24"/>
        </w:rPr>
        <w:fldChar w:fldCharType="begin" w:fldLock="1"/>
      </w:r>
      <w:r w:rsidR="00874093">
        <w:rPr>
          <w:sz w:val="24"/>
          <w:szCs w:val="24"/>
        </w:rPr>
        <w:instrText>ADDIN CSL_CITATION { "citationItems" : [ { "id" : "ITEM-1", "itemData" : { "author" : [ { "dropping-particle" : "", "family" : "Grasmick", "given" : "H G", "non-dropping-particle" : "", "parse-names" : false, "suffix" : "" }, { "dropping-particle" : "", "family" : "Tittle", "given" : "C R", "non-dropping-particle" : "", "parse-names" : false, "suffix" : "" }, { "dropping-particle" : "", "family" : "Bursik", "given" : "R J", "non-dropping-particle" : "", "parse-names" : false, "suffix" : "" }, { "dropping-particle" : "", "family" : "Arneklev", "given" : "B J", "non-dropping-particle" : "", "parse-names" : false, "suffix" : "" } ], "container-title" : "Journal of Research on Crime and Delinquency", "id" : "ITEM-1", "issued" : { "date-parts" : [ [ "1993" ] ] }, "page" : "5-29", "title" : "Testing the core empirical implications of Gottfredson and Hirschi's general theory of crime", "type" : "article-journal", "volume" : "30" }, "uris" : [ "http://www.mendeley.com/documents/?uuid=739959f1-331c-471c-897a-85de614a6cda" ] } ], "mendeley" : { "formattedCitation" : "(Grasmick, Tittle, Bursik, &amp; Arneklev, 1993)", "plainTextFormattedCitation" : "(Grasmick, Tittle, Bursik, &amp; Arneklev, 1993)", "previouslyFormattedCitation" : "(Grasmick, Tittle, Bursik, &amp; Arneklev, 1993)" }, "properties" : { "noteIndex" : 0 }, "schema" : "https://github.com/citation-style-language/schema/raw/master/csl-citation.json" }</w:instrText>
      </w:r>
      <w:r w:rsidR="00B06E70">
        <w:rPr>
          <w:sz w:val="24"/>
          <w:szCs w:val="24"/>
        </w:rPr>
        <w:fldChar w:fldCharType="separate"/>
      </w:r>
      <w:r w:rsidR="00874093" w:rsidRPr="00874093">
        <w:rPr>
          <w:noProof/>
          <w:sz w:val="24"/>
          <w:szCs w:val="24"/>
        </w:rPr>
        <w:t>(Grasmick, Tittle, Bursik, &amp; Arneklev, 1993)</w:t>
      </w:r>
      <w:r w:rsidR="00B06E70">
        <w:rPr>
          <w:sz w:val="24"/>
          <w:szCs w:val="24"/>
        </w:rPr>
        <w:fldChar w:fldCharType="end"/>
      </w:r>
      <w:r w:rsidRPr="00D05EBD">
        <w:rPr>
          <w:sz w:val="24"/>
          <w:szCs w:val="24"/>
        </w:rPr>
        <w:t xml:space="preserve">. </w:t>
      </w:r>
      <w:proofErr w:type="spellStart"/>
      <w:r w:rsidRPr="00D05EBD">
        <w:rPr>
          <w:sz w:val="24"/>
          <w:szCs w:val="24"/>
        </w:rPr>
        <w:t>Ridder</w:t>
      </w:r>
      <w:proofErr w:type="spellEnd"/>
      <w:r w:rsidRPr="00D05EBD">
        <w:rPr>
          <w:sz w:val="24"/>
          <w:szCs w:val="24"/>
        </w:rPr>
        <w:t xml:space="preserve"> and colleagues found that the Self-Control Scale had an effect size of ρ = .26 (</w:t>
      </w:r>
      <w:r w:rsidRPr="00D05EBD">
        <w:rPr>
          <w:i/>
          <w:sz w:val="24"/>
          <w:szCs w:val="24"/>
        </w:rPr>
        <w:t xml:space="preserve">p </w:t>
      </w:r>
      <w:r w:rsidRPr="00D05EBD">
        <w:rPr>
          <w:sz w:val="24"/>
          <w:szCs w:val="24"/>
        </w:rPr>
        <w:t xml:space="preserve">&lt; .001) in other words, a small to medium effect on behaviour (regardless of the type of behaviour involved). Several studies have successfully used it to measure a wide variety of behaviours (e.g. pain tolerance, </w:t>
      </w:r>
      <w:r w:rsidR="00B06E70">
        <w:rPr>
          <w:sz w:val="24"/>
          <w:szCs w:val="24"/>
        </w:rPr>
        <w:fldChar w:fldCharType="begin" w:fldLock="1"/>
      </w:r>
      <w:r w:rsidR="00CB60B9">
        <w:rPr>
          <w:sz w:val="24"/>
          <w:szCs w:val="24"/>
        </w:rPr>
        <w:instrText>ADDIN CSL_CITATION { "citationItems" : [ { "id" : "ITEM-1", "itemData" : { "DOI" : "10.1111/j.1467-6494.2007.00455.x", "ISBN" : "Print 0022-3506\\r1467-6494 Character &amp; Personality; A Quarterly for Psychodiagnostic &amp; Allied Studies Blackwell Publishing Wiley-Blackwell Publishing Ltd.; United Kingdom Electronic, Print Electronic", "ISSN" : "00223506", "PMID" : "17576357", "abstract" : "Two studies tested the extent to which trait self-control predicts performance on objective laboratory tests of behavioral self-control. In Study 1, participants attempted to refrain from blinking for a period of 2 minutes. Participants who reported higher trait self-control blinke</w:instrText>
      </w:r>
      <w:r w:rsidR="00CB60B9" w:rsidRPr="00874093">
        <w:rPr>
          <w:sz w:val="24"/>
          <w:szCs w:val="24"/>
        </w:rPr>
        <w:instrText>d less often than participants who reported lower trait self-control. In Study 2, participants attempted to tolerate a painful stimulus, and those higher in trait self-control tolerated pain longer than participants lower in trait self-control. These findings indicate that self-reported self-control corresponds moderately well with performance on objective behavioral tests of self-control. The discussion focuses on implications for self-control theory.", "author" : [ { "dropping-particle" : "", "family" : "Schmeichel", "given" : "Brandon J.", "non-dropping-particle" : "", "parse-names" : false, "suffix" : "" }, { "dropping-particle" : "", "family" : "Zell", "given" : "Anne", "non-dropping-particle" : "", "parse-names" : false, "suffix" : "" } ], "container-title" : "Journal of Personality", "id" : "ITE</w:instrText>
      </w:r>
      <w:r w:rsidR="00CB60B9" w:rsidRPr="00973AEB">
        <w:rPr>
          <w:sz w:val="24"/>
          <w:szCs w:val="24"/>
        </w:rPr>
        <w:instrText>M-1", "issue" : "4", "issued" : { "date-parts" : [ [ "2007" ] ] }, "page" : "743-756", "title" : "Trait self-control predicts performance on behavioral tests of self-control", "type" : "article-journal", "volume" : "75" }, "uris" : [ "http://www.mendeley.com/documents/?uuid=ad6c1e0b-1037-48de-b75e-fa1a2fe2293a" ] } ], "mendeley" : { "formattedCitation" : "(Schmeichel &amp; Zell, 2007)", "manualFormatting" : "Schmeichel &amp; Zell, 2007", "plainTextFormattedCitation" : "(Schmeichel &amp; Zell, 2007)", "previouslyFormattedCitation" : "(Schmeichel &amp; Zell, 2007)" }, "properties" : { "noteIndex" : 0 }, "schema" : "https://github.com/citation-style-language/schema/raw/master/csl-citation.json" }</w:instrText>
      </w:r>
      <w:r w:rsidR="00B06E70">
        <w:rPr>
          <w:sz w:val="24"/>
          <w:szCs w:val="24"/>
        </w:rPr>
        <w:fldChar w:fldCharType="separate"/>
      </w:r>
      <w:r w:rsidR="00CB60B9" w:rsidRPr="00973AEB">
        <w:rPr>
          <w:noProof/>
          <w:sz w:val="24"/>
          <w:szCs w:val="24"/>
        </w:rPr>
        <w:t>Schmeichel &amp; Zell, 2007</w:t>
      </w:r>
      <w:r w:rsidR="00B06E70">
        <w:rPr>
          <w:sz w:val="24"/>
          <w:szCs w:val="24"/>
        </w:rPr>
        <w:fldChar w:fldCharType="end"/>
      </w:r>
      <w:r w:rsidRPr="00973AEB">
        <w:rPr>
          <w:sz w:val="24"/>
          <w:szCs w:val="24"/>
        </w:rPr>
        <w:t xml:space="preserve">; </w:t>
      </w:r>
      <w:r w:rsidR="00874093" w:rsidRPr="00973AEB">
        <w:rPr>
          <w:sz w:val="24"/>
          <w:szCs w:val="24"/>
        </w:rPr>
        <w:t xml:space="preserve">and </w:t>
      </w:r>
      <w:r w:rsidRPr="00973AEB">
        <w:rPr>
          <w:sz w:val="24"/>
          <w:szCs w:val="24"/>
        </w:rPr>
        <w:t xml:space="preserve">unhealthy eating, </w:t>
      </w:r>
      <w:r w:rsidR="00B06E70">
        <w:rPr>
          <w:sz w:val="24"/>
          <w:szCs w:val="24"/>
          <w:lang w:val="de-DE"/>
        </w:rPr>
        <w:fldChar w:fldCharType="begin" w:fldLock="1"/>
      </w:r>
      <w:r w:rsidR="00874093" w:rsidRPr="00973AEB">
        <w:rPr>
          <w:sz w:val="24"/>
          <w:szCs w:val="24"/>
        </w:rPr>
        <w:instrText>ADDIN CSL_CITATION { "citationItems" : [ { "id" : "ITEM-1", "itemData" : { "DOI" : "10.2337/db09-1008.", "author" : [ { "dropping-particle" : "", "family" : "Gerrits", "given" : "Aj", "non-dropping-particle" : "", "parse-names" : false, "suffix" : "" }, { "dropping-particle" : "", "family" : "Koekman", "given" : "Ca", "non-dropping-particle" : "", "parse-names" : false, "suffix" : "" } ], "container-title" : "Diabetes", "id" : "ITEM-1", "issue" : "June", "issued" : { "date-parts" : [ [ "2010" ] ] }, "page" : "1487-1495", "title" : "Platelet tissue factor synthesis in type 2 diabetic patients is resistant to inhibition by insulin", "type" : "article-journal", "volume" : "59" }, "uris" : [ "http://www.mendeley.com/documents/?uuid=a0695883-2e70-467f-9479-357988f3f267" ] } ], "mendeley" : { "formattedCitation" : "(Gerrits &amp; Koekman, 2010)", "plainTextFormattedCitation" : "(Gerrits &amp; Koekman, 2010)", "previouslyFormattedCitation" : "(Gerrits &amp; Koekman, 2010)" }, "properties" : { "noteIndex" : 0 }, "schema" : "https://github.com/citation-style-language/schema/raw/master/csl-citation.json" }</w:instrText>
      </w:r>
      <w:r w:rsidR="00B06E70">
        <w:rPr>
          <w:sz w:val="24"/>
          <w:szCs w:val="24"/>
          <w:lang w:val="de-DE"/>
        </w:rPr>
        <w:fldChar w:fldCharType="separate"/>
      </w:r>
      <w:r w:rsidR="00874093" w:rsidRPr="00973AEB">
        <w:rPr>
          <w:noProof/>
          <w:sz w:val="24"/>
          <w:szCs w:val="24"/>
        </w:rPr>
        <w:t>Gerrits &amp; Koekman, 2010)</w:t>
      </w:r>
      <w:r w:rsidR="00B06E70">
        <w:rPr>
          <w:sz w:val="24"/>
          <w:szCs w:val="24"/>
          <w:lang w:val="de-DE"/>
        </w:rPr>
        <w:fldChar w:fldCharType="end"/>
      </w:r>
      <w:r w:rsidRPr="00973AEB">
        <w:rPr>
          <w:sz w:val="24"/>
          <w:szCs w:val="24"/>
        </w:rPr>
        <w:t xml:space="preserve">. </w:t>
      </w:r>
      <w:r w:rsidRPr="00D05EBD">
        <w:rPr>
          <w:sz w:val="24"/>
          <w:szCs w:val="24"/>
        </w:rPr>
        <w:t xml:space="preserve">In addition to the 36-item full scale, Tangney and her colleagues developed a 13-item brief scale which has also been used successfully to study self-control. For example, </w:t>
      </w:r>
      <w:r w:rsidR="00B06E70">
        <w:rPr>
          <w:sz w:val="24"/>
          <w:szCs w:val="24"/>
        </w:rPr>
        <w:fldChar w:fldCharType="begin" w:fldLock="1"/>
      </w:r>
      <w:r w:rsidR="00874093">
        <w:rPr>
          <w:sz w:val="24"/>
          <w:szCs w:val="24"/>
        </w:rPr>
        <w:instrText>ADDIN CSL_CITATION { "citationItems" : [ { "id" : "ITEM-1", "itemData" : { "DOI" : "10.1016/j.jrp.2009.07.004", "ISBN" : "0092-6566", "ISSN" : "00926566", "abstract" : "A central assumption in research on self-control is that impulses more strongly influence the self-regulatory behavior of individuals who are low as compared to high in trait self-control. The present research addresses this central assumption directly by assessing individual differences in trait self-control as well as in impulsive precursors of behavior. As expected, impulsive precursors translated into behavior for individuals who were low, but not high in trait self-control. This pattern emerged for the consumption of potato chips (Study 1), and self-reported alcohol consumption (Studies 2a and 2b). The findings persisted when controlling for the related construct of trait impulsivity. The results illustrate the dynamic interplay between impulses and trait self-control in the determination of self-regulatory behavior. ?? 2009 Elsevier Inc. All rights reserved.", "author" : [ { "dropping-particle" : "", "family" : "Friese", "given" : "Malte", "non-dropping-particle" : "", "parse-names" : false, "suffix" : "" }, { "dropping-particle" : "", "family" : "Hofmann", "given" : "Wilhelm", "non-dropping-particle" : "", "parse-names" : false, "suffix" : "" } ], "container-title" : "Journal of Research in Personality", "id" : "ITEM-1", "issue" : "5", "issued" : { "date-parts" : [ [ "2009" ] ] }, "page" : "795-805", "title" : "Control me or I will control you: Impulses, trait self-control, and the guidance of behavior", "type" : "article-journal", "volume" : "43" }, "uris" : [ "http://www.mendeley.com/documents/?uuid=a9f6c0a9-6cde-32e9-a25d-3694a13eb0d6" ] } ], "mendeley" : { "formattedCitation" : "(Friese &amp; Hofmann, 2009)", "manualFormatting" : "Friese and Hofmann (Study 1, 2009", "plainTextFormattedCitation" : "(Friese &amp; Hofmann, 2009)", "previouslyFormattedCitation" : "(Friese &amp; Hofmann, 2009)" }, "properties" : { "noteIndex" : 0 }, "schema" : "https://github.com/citation-style-language/schema/raw/master/csl-citation.json" }</w:instrText>
      </w:r>
      <w:r w:rsidR="00B06E70">
        <w:rPr>
          <w:sz w:val="24"/>
          <w:szCs w:val="24"/>
        </w:rPr>
        <w:fldChar w:fldCharType="separate"/>
      </w:r>
      <w:r w:rsidR="00874093">
        <w:rPr>
          <w:noProof/>
          <w:sz w:val="24"/>
          <w:szCs w:val="24"/>
        </w:rPr>
        <w:t>Friese and Hofmann</w:t>
      </w:r>
      <w:r w:rsidR="00874093" w:rsidRPr="00874093">
        <w:rPr>
          <w:noProof/>
          <w:sz w:val="24"/>
          <w:szCs w:val="24"/>
        </w:rPr>
        <w:t xml:space="preserve"> </w:t>
      </w:r>
      <w:r w:rsidR="00874093">
        <w:rPr>
          <w:noProof/>
          <w:sz w:val="24"/>
          <w:szCs w:val="24"/>
        </w:rPr>
        <w:t xml:space="preserve">(Study 1, </w:t>
      </w:r>
      <w:r w:rsidR="00874093" w:rsidRPr="00874093">
        <w:rPr>
          <w:noProof/>
          <w:sz w:val="24"/>
          <w:szCs w:val="24"/>
        </w:rPr>
        <w:t>2009</w:t>
      </w:r>
      <w:r w:rsidR="00B06E70">
        <w:rPr>
          <w:sz w:val="24"/>
          <w:szCs w:val="24"/>
        </w:rPr>
        <w:fldChar w:fldCharType="end"/>
      </w:r>
      <w:r w:rsidR="00874093">
        <w:rPr>
          <w:sz w:val="24"/>
          <w:szCs w:val="24"/>
        </w:rPr>
        <w:t>)</w:t>
      </w:r>
      <w:r w:rsidRPr="00D05EBD">
        <w:rPr>
          <w:sz w:val="24"/>
          <w:szCs w:val="24"/>
        </w:rPr>
        <w:t xml:space="preserve"> found that participants who scored low in self-control and whose automatic affective reactions towards chips (as measured by the SC-IAT</w:t>
      </w:r>
      <w:r w:rsidRPr="00973AEB">
        <w:rPr>
          <w:rStyle w:val="Refdenotaalpie"/>
        </w:rPr>
        <w:footnoteReference w:id="30"/>
      </w:r>
      <w:r w:rsidRPr="00D05EBD">
        <w:rPr>
          <w:sz w:val="24"/>
          <w:szCs w:val="24"/>
        </w:rPr>
        <w:t xml:space="preserve">) were more positive, consumed more chips than participants who scored high in self-control and who also had positive automatic affective reactions towards chips. Some studies have even used a modified version of the Self-Control Scale and they have found it reliable. For example, in a longitudinal study, </w:t>
      </w:r>
      <w:r w:rsidR="00B06E70">
        <w:rPr>
          <w:sz w:val="24"/>
          <w:szCs w:val="24"/>
        </w:rPr>
        <w:fldChar w:fldCharType="begin" w:fldLock="1"/>
      </w:r>
      <w:r w:rsidR="00564530">
        <w:rPr>
          <w:sz w:val="24"/>
          <w:szCs w:val="24"/>
        </w:rPr>
        <w:instrText>ADDIN CSL_CITATION { "citationItems" : [ { "id" : "ITEM-1", "itemData" : { "author" : [ { "dropping-particle" : "", "family" : "Kemp", "given" : "R A T", "non-dropping-particle" : "De", "parse-names" : false, "suffix" : "" }, { "dropping-particle" : "", "family" : "Vermults", "given" : "A A", "non-dropping-particle" : "", "parse-names" : false, "suffix" : "" }, { "dropping-particle" : "", "family" : "Finkenauer", "given" : "C", "non-dropping-particle" : "", "parse-names" : false, "suffix" : "" }, { "dropping-particle" : "", "family" : "Scholte", "given" : "R H J", "non-dropping-particle" : "", "parse-names" : false, "suffix" : "" }, { "dropping-particle" : "", "family" : "Overbeek", "given" : "G R", "non-dropping-particle" : "", "parse-names" : false, "suffix" : "" }, { "dropping-particle" : "", "family" : "Rommes", "given" : "E W M", "non-dropping-particle" : "", "parse-names" : false, "suffix" : "" }, { "dropping-particle" : "", "family" : "Engels", "given" : "R M C E", "non-dropping-particle" : "", "parse-names" : false, "suffix" : "" } ], "container-title" : "Journal of Early Adolescence", "id" : "ITEM-1", "issued" : { "date-parts" : [ [ "2009" ] ] }, "page" : "497-517", "title" : "Self-control and early adolescent antosocial behaviour", "type" : "article-journal", "volume" : "29" }, "uris" : [ "http://www.mendeley.com/documents/?uuid=6f34dc54-a68d-44c5-86d9-c5a9d89b77df" ] } ], "mendeley" : { "formattedCitation" : "(De Kemp et al., 2009)", "manualFormatting" : "De Kemp et al. (2009)", "plainTextFormattedCitation" : "(De Kemp et al., 2009)", "previouslyFormattedCitation" : "(De Kemp et al., 2009)" }, "properties" : { "noteIndex" : 0 }, "schema" : "https://github.com/citation-style-language/schema/raw/master/csl-citation.json" }</w:instrText>
      </w:r>
      <w:r w:rsidR="00B06E70">
        <w:rPr>
          <w:sz w:val="24"/>
          <w:szCs w:val="24"/>
        </w:rPr>
        <w:fldChar w:fldCharType="separate"/>
      </w:r>
      <w:r w:rsidR="00564530">
        <w:rPr>
          <w:noProof/>
          <w:sz w:val="24"/>
          <w:szCs w:val="24"/>
        </w:rPr>
        <w:t>De Kemp et al.</w:t>
      </w:r>
      <w:r w:rsidR="00564530" w:rsidRPr="00564530">
        <w:rPr>
          <w:noProof/>
          <w:sz w:val="24"/>
          <w:szCs w:val="24"/>
        </w:rPr>
        <w:t xml:space="preserve"> </w:t>
      </w:r>
      <w:r w:rsidR="00564530">
        <w:rPr>
          <w:noProof/>
          <w:sz w:val="24"/>
          <w:szCs w:val="24"/>
        </w:rPr>
        <w:t>(</w:t>
      </w:r>
      <w:r w:rsidR="00564530" w:rsidRPr="00564530">
        <w:rPr>
          <w:noProof/>
          <w:sz w:val="24"/>
          <w:szCs w:val="24"/>
        </w:rPr>
        <w:t>2009)</w:t>
      </w:r>
      <w:r w:rsidR="00B06E70">
        <w:rPr>
          <w:sz w:val="24"/>
          <w:szCs w:val="24"/>
        </w:rPr>
        <w:fldChar w:fldCharType="end"/>
      </w:r>
      <w:r w:rsidRPr="00D05EBD">
        <w:rPr>
          <w:sz w:val="24"/>
          <w:szCs w:val="24"/>
        </w:rPr>
        <w:t xml:space="preserve"> used a shortened version of 5 items of the Self-Control Scale to investigate self-control and antisocial behaviour, and found the scale to have an internal consistency of α = .68 at time one and α = .74 at time two (in </w:t>
      </w:r>
      <w:r w:rsidR="00B06E70">
        <w:rPr>
          <w:sz w:val="24"/>
          <w:szCs w:val="24"/>
        </w:rPr>
        <w:fldChar w:fldCharType="begin" w:fldLock="1"/>
      </w:r>
      <w:r w:rsidR="00A34C23">
        <w:rPr>
          <w:sz w:val="24"/>
          <w:szCs w:val="24"/>
        </w:rPr>
        <w:instrText>ADDIN CSL_CITATION { "citationItems" : [ { "id" : "ITEM-1", "itemData" : { "ISBN" : "1088-8683", "abstract" : "Given assertions of the theoretical, empirical, and practical importance of self-control, this meta-analytic study sought to review evidence concerning the relationship between dispositional self-control and behavior. The authors provide a brief overview over prominent theories of self-control, identifying implicit assumptions surrounding the effects of self-control that warrant empirical testing. They report the results of a meta-analysis of 102 studies (total N = 32,648) investigating the behavioral effects of self-control using the Self-Control Scale, the Barratt Impulsiveness Scale, and the Low Self-Control Scale. A small to medium positive effect of self-control on behavior was found for the three scales. Only the Self-Control Scale allowed for a fine-grained analysis of conceptual moderators of the self-control behavior relation. Specifically, self-control (measured by the Self-Control Scale) related similarly to the performance of desired behaviors and the inhibition of undesired behaviors, but its effects varied dramatically across life domains (e.g., achievement, adjustment). In addition, the associations between self-control and behavior were significantly stronger for automatic (as compared to controlled) behavior and for imagined (as compared to actual) behavior.", "author" : [ { "dropping-particle" : "", "family" : "Ridder", "given" : "Denise T D", "non-dropping-particle" : "De", "parse-names" : false, "suffix" : "" }, { "dropping-particle" : "", "family" : "Lensvelt-mulders", "given" : "Gerty", "non-dropping-particle" : "", "parse-names" : false, "suffix" : "" }, { "dropping-particle" : "", "family" : "Finkenauer", "given" : "Catrin", "non-dropping-particle" : "", "parse-names" : false, "suffix" : "" }, { "dropping-particle" : "", "family" : "Stok", "given" : "F Marijn", "non-dropping-particle" : "", "parse-names" : false, "suffix" : "" }, { "dropping-particle" : "", "family" : "F.", "given" : "Roy Baumeister", "non-dropping-particle" : "", "parse-names" : false, "suffix" : "" }, { "dropping-particle" : "", "family" : "Ridder D.", "given" : "Denise T", "non-dropping-particle" : "de", "parse-names" : false, "suffix" : "" }, { "dropping-particle" : "", "family" : "Lensvelt-Mulders", "given" : "Gerty", "non-dropping-particle" : "", "parse-names" : false, "suffix" : "" }, { "dropping-particle" : "", "family" : "Finkenauer", "given" : "Catrin", "non-dropping-particle" : "", "parse-names" : false, "suffix" : "" }, { "dropping-particle" : "", "family" : "Stok", "given" : "F M", "non-dropping-particle" : "", "parse-names" : false, "suffix" : "" }, { "dropping-particle" : "", "family" : "Baumeister", "given" : "Roy F", "non-dropping-particle" : "", "parse-names" : false, "suffix" : "" } ], "container-title" : "Personality and Social Psychology Review", "id" : "ITEM-1", "issue" : "1", "issued" : { "date-parts" : [ [ "2012" ] ] }, "page" : "76-99", "title" : "Taking Stock of Self- Control", "type" : "article-journal", "volume" : "16" }, "uris" : [ "http://www.mendeley.com/documents/?uuid=671552a2-158b-4e42-8cfe-5c51d2fa09f1" ] } ], "mendeley" : { "formattedCitation" : "(De Ridder et al., 2012)", "manualFormatting" : "De Ridder et al., 2012)", "plainTextFormattedCitation" : "(De Ridder et al., 2012)", "previouslyFormattedCitation" : "(De Ridder et al., 2012)" }, "properties" : { "noteIndex" : 0 }, "schema" : "https://github.com/citation-style-language/schema/raw/master/csl-citation.json" }</w:instrText>
      </w:r>
      <w:r w:rsidR="00B06E70">
        <w:rPr>
          <w:sz w:val="24"/>
          <w:szCs w:val="24"/>
        </w:rPr>
        <w:fldChar w:fldCharType="separate"/>
      </w:r>
      <w:r w:rsidR="00A34C23" w:rsidRPr="00A34C23">
        <w:rPr>
          <w:noProof/>
          <w:sz w:val="24"/>
          <w:szCs w:val="24"/>
        </w:rPr>
        <w:t>De Ridder et al., 2012)</w:t>
      </w:r>
      <w:r w:rsidR="00B06E70">
        <w:rPr>
          <w:sz w:val="24"/>
          <w:szCs w:val="24"/>
        </w:rPr>
        <w:fldChar w:fldCharType="end"/>
      </w:r>
      <w:r w:rsidRPr="00D05EBD">
        <w:rPr>
          <w:sz w:val="24"/>
          <w:szCs w:val="24"/>
        </w:rPr>
        <w:t>. Given the fact</w:t>
      </w:r>
      <w:r w:rsidR="00711002">
        <w:rPr>
          <w:sz w:val="24"/>
          <w:szCs w:val="24"/>
        </w:rPr>
        <w:t xml:space="preserve"> that</w:t>
      </w:r>
      <w:r w:rsidRPr="00D05EBD">
        <w:rPr>
          <w:sz w:val="24"/>
          <w:szCs w:val="24"/>
        </w:rPr>
        <w:t xml:space="preserve"> the brief Self-Control Scale </w:t>
      </w:r>
      <w:r w:rsidR="00B06E70">
        <w:rPr>
          <w:sz w:val="24"/>
          <w:szCs w:val="24"/>
        </w:rPr>
        <w:fldChar w:fldCharType="begin" w:fldLock="1"/>
      </w:r>
      <w:r w:rsidR="00A34C23">
        <w:rPr>
          <w:sz w:val="24"/>
          <w:szCs w:val="24"/>
        </w:rPr>
        <w:instrText>ADDIN CSL_CITATION { "citationItems" : [ { "id" : "ITEM-1", "itemData" : { "DOI" : "10.1111/j.0022-3506.2004.00263.x", "ISBN" : "0022-3506", "ISSN" : "0022-3506", "PMID" : "15016066", "abstract" : "What good is self-control? We incorporated a new measure of individual differences in self-control into two large investigations of a broad spectrum of behaviors. The new scale showed good internal consistency and retest reliability. Higher scores on self-control correlated with a higher grade point average, better adjustment (fewer reports of psychopathology, higher self-esteem), less binge eating and alcohol abuse, better relationships and interpersonal skills, secure attachment, and more optimal emotional responses. Tests for curvilinearity failed to indicate any drawbacks of so-called overcontrol, and the positive effects remained after controlling for social desirability. Low self-control is thus a significant risk factor for a broad range of personal and interpersonal problems.", "author" : [ { "dropping-particle" : "", "family" : "Tangney", "given" : "June P", "non-dropping-particle" : "", "parse-names" : false, "suffix" : "" }, { "dropping-particle" : "", "family" : "Baumeister", "given" : "Roy F", "non-dropping-particle" : "", "parse-names" : false, "suffix" : "" }, { "dropping-particle" : "", "family" : "Boone", "given" : "Angie Luzio", "non-dropping-particle" : "", "parse-names" : false, "suffix" : "" } ], "container-title" : "Journal of personality", "id" : "ITEM-1", "issue" : "2", "issued" : { "date-parts" : [ [ "2004" ] ] }, "page" : "271-324", "publisher" : "Blackwell Publishing", "title" : "High self-control predicts good adjustment, less pathology, better grades, and interpersonal success.", "type" : "article-journal", "volume" : "72" }, "uris" : [ "http://www.mendeley.com/documents/?uuid=2e111bc3-8408-30ca-96ac-043d94e533a8" ] } ], "mendeley" : { "formattedCitation" : "(Tangney et al., 2004)", "plainTextFormattedCitation" : "(Tangney et al., 2004)", "previouslyFormattedCitation" : "(Tangney et al., 2004)" }, "properties" : { "noteIndex" : 0 }, "schema" : "https://github.com/citation-style-language/schema/raw/master/csl-citation.json" }</w:instrText>
      </w:r>
      <w:r w:rsidR="00B06E70">
        <w:rPr>
          <w:sz w:val="24"/>
          <w:szCs w:val="24"/>
        </w:rPr>
        <w:fldChar w:fldCharType="separate"/>
      </w:r>
      <w:r w:rsidR="00A34C23" w:rsidRPr="00A34C23">
        <w:rPr>
          <w:noProof/>
          <w:sz w:val="24"/>
          <w:szCs w:val="24"/>
        </w:rPr>
        <w:t>(Tangney et al., 2004)</w:t>
      </w:r>
      <w:r w:rsidR="00B06E70">
        <w:rPr>
          <w:sz w:val="24"/>
          <w:szCs w:val="24"/>
        </w:rPr>
        <w:fldChar w:fldCharType="end"/>
      </w:r>
      <w:r w:rsidRPr="00D05EBD">
        <w:rPr>
          <w:sz w:val="24"/>
          <w:szCs w:val="24"/>
        </w:rPr>
        <w:t xml:space="preserve"> has been successfully used to study self-control in a </w:t>
      </w:r>
      <w:r w:rsidRPr="00D05EBD">
        <w:rPr>
          <w:sz w:val="24"/>
          <w:szCs w:val="24"/>
        </w:rPr>
        <w:lastRenderedPageBreak/>
        <w:t>variety of behaviours and that both, the full and brief Self-Control Scales, and even modified versions, have been successful at linking self-control to behaviour, a modified version of the brief Self-Control Scale was chosen to measure self-control in the present study. The details of how this scale was modified will be explained in more detail in the materials section.</w:t>
      </w:r>
    </w:p>
    <w:p w:rsidR="00FB1389" w:rsidRPr="00D05EBD" w:rsidRDefault="00FB1389" w:rsidP="00AE640B">
      <w:pPr>
        <w:spacing w:line="480" w:lineRule="auto"/>
        <w:ind w:firstLine="720"/>
        <w:jc w:val="both"/>
        <w:rPr>
          <w:sz w:val="24"/>
          <w:szCs w:val="24"/>
        </w:rPr>
      </w:pPr>
      <w:r w:rsidRPr="00D05EBD">
        <w:rPr>
          <w:sz w:val="24"/>
          <w:szCs w:val="24"/>
        </w:rPr>
        <w:t xml:space="preserve">One popular task in which the effect of self-control depletion can be observed is the Stroop Colour task </w:t>
      </w:r>
      <w:r w:rsidR="00B06E70">
        <w:rPr>
          <w:sz w:val="24"/>
          <w:szCs w:val="24"/>
        </w:rPr>
        <w:fldChar w:fldCharType="begin" w:fldLock="1"/>
      </w:r>
      <w:r w:rsidR="00A34C23">
        <w:rPr>
          <w:sz w:val="24"/>
          <w:szCs w:val="24"/>
        </w:rPr>
        <w:instrText>ADDIN CSL_CITATION { "citationItems" : [ { "id" : "ITEM-1", "itemData" : { "author" : [ { "dropping-particle" : "", "family" : "Stroop", "given" : "J R", "non-dropping-particle" : "", "parse-names" : false, "suffix" : "" } ], "container-title" : "Journal of Experimental P1sychology", "id" : "ITEM-1", "issue" : "6", "issued" : { "date-parts" : [ [ "1935" ] ] }, "page" : "643-662", "title" : "Studies of interference in serial verbal reactions", "type" : "article-journal", "volume" : "18" }, "uris" : [ "http://www.mendeley.com/documents/?uuid=78dd3f21-4e0a-4ce2-bb4c-d907533b5959" ] } ], "mendeley" : { "formattedCitation" : "(Stroop, 1935)", "plainTextFormattedCitation" : "(Stroop, 1935)", "previouslyFormattedCitation" : "(Stroop, 1935)" }, "properties" : { "noteIndex" : 0 }, "schema" : "https://github.com/citation-style-language/schema/raw/master/csl-citation.json" }</w:instrText>
      </w:r>
      <w:r w:rsidR="00B06E70">
        <w:rPr>
          <w:sz w:val="24"/>
          <w:szCs w:val="24"/>
        </w:rPr>
        <w:fldChar w:fldCharType="separate"/>
      </w:r>
      <w:r w:rsidR="00A34C23" w:rsidRPr="00A34C23">
        <w:rPr>
          <w:noProof/>
          <w:sz w:val="24"/>
          <w:szCs w:val="24"/>
        </w:rPr>
        <w:t>(Stroop, 1935)</w:t>
      </w:r>
      <w:r w:rsidR="00B06E70">
        <w:rPr>
          <w:sz w:val="24"/>
          <w:szCs w:val="24"/>
        </w:rPr>
        <w:fldChar w:fldCharType="end"/>
      </w:r>
      <w:r w:rsidRPr="00D05EBD">
        <w:rPr>
          <w:sz w:val="24"/>
          <w:szCs w:val="24"/>
        </w:rPr>
        <w:t xml:space="preserve"> which consists in reacting to the colour in which a word is written, instead of on what the word says (e.g. in the word “</w:t>
      </w:r>
      <w:r w:rsidRPr="00DA2355">
        <w:rPr>
          <w:sz w:val="24"/>
          <w:szCs w:val="24"/>
        </w:rPr>
        <w:t>blue</w:t>
      </w:r>
      <w:r w:rsidRPr="00D05EBD">
        <w:rPr>
          <w:sz w:val="24"/>
          <w:szCs w:val="24"/>
        </w:rPr>
        <w:t>” (printed in red) the participant should say or type in “red”). The Stroop Task requires self-control as people have to inhibit an automatic response, namely, recognising words. Furthermore, they have to name colours, which is not automatic and requires more effort and self-control than reading. Considering self-control depletion has been related to acting impulsively or automatically, the Stroop task seems like an ideal tool to study self-control depletion as depleted people would be unable to inhibit their impulses (reading the words). In study 3, the Stroop Task will be used to identify participants who are depleted of their self-regulatory resources from those who are not.</w:t>
      </w:r>
    </w:p>
    <w:p w:rsidR="00FB1389" w:rsidRPr="00D05EBD" w:rsidRDefault="00FB1389" w:rsidP="00AE640B">
      <w:pPr>
        <w:spacing w:line="480" w:lineRule="auto"/>
        <w:ind w:firstLine="720"/>
        <w:jc w:val="both"/>
        <w:rPr>
          <w:sz w:val="24"/>
          <w:szCs w:val="24"/>
        </w:rPr>
      </w:pPr>
      <w:r w:rsidRPr="00D05EBD">
        <w:rPr>
          <w:sz w:val="24"/>
          <w:szCs w:val="24"/>
        </w:rPr>
        <w:t xml:space="preserve">The present chapter develops a new self-report measure of the use of self-control during people’s working day. This self-report measure is then validated by comparing </w:t>
      </w:r>
      <w:r w:rsidRPr="00DA2355">
        <w:rPr>
          <w:sz w:val="24"/>
          <w:szCs w:val="24"/>
        </w:rPr>
        <w:t>responses to the measure to performance in a colour</w:t>
      </w:r>
      <w:r w:rsidRPr="00D05EBD">
        <w:rPr>
          <w:sz w:val="24"/>
          <w:szCs w:val="24"/>
        </w:rPr>
        <w:t xml:space="preserve"> recognition task that requires self-control (namely, the St</w:t>
      </w:r>
      <w:r w:rsidR="00DA2355">
        <w:rPr>
          <w:sz w:val="24"/>
          <w:szCs w:val="24"/>
        </w:rPr>
        <w:t>roop Colour Task, Stroop, 1935).</w:t>
      </w:r>
      <w:r w:rsidRPr="00D05EBD">
        <w:rPr>
          <w:sz w:val="24"/>
          <w:szCs w:val="24"/>
        </w:rPr>
        <w:t xml:space="preserve"> </w:t>
      </w:r>
      <w:r w:rsidR="00DA2355">
        <w:rPr>
          <w:sz w:val="24"/>
          <w:szCs w:val="24"/>
        </w:rPr>
        <w:t>A</w:t>
      </w:r>
      <w:r w:rsidRPr="00D05EBD">
        <w:rPr>
          <w:sz w:val="24"/>
          <w:szCs w:val="24"/>
        </w:rPr>
        <w:t xml:space="preserve"> poor performance in this task could be indicative of self-control depletion </w:t>
      </w:r>
      <w:r w:rsidR="00B06E70">
        <w:rPr>
          <w:sz w:val="24"/>
          <w:szCs w:val="24"/>
        </w:rPr>
        <w:fldChar w:fldCharType="begin" w:fldLock="1"/>
      </w:r>
      <w:r w:rsidR="00A1569A">
        <w:rPr>
          <w:sz w:val="24"/>
          <w:szCs w:val="24"/>
        </w:rPr>
        <w:instrText>ADDIN CSL_CITATION { "citationItems" : [ { "id" : "ITEM-1", "itemData" : { "DOI" : "10.1016/S0022-1031(02)00527-9", "ISBN" : "0022-1031", "ISSN" : "00221031", "abstract" : "Research on ego-depletion suggests that the ability to self-regulate one's behavior is limited: Exerting self-control on an initial task reduces performance on a subsequent task that also requires self-control. Two experiments tested whether forming implementation intentions could prevent ego-depletion and/or offset the effects of ego-depletion. Experiment 1 found that participants who formed implementation intentions during an initial ego-depleting task subsequently showed greater persistence on an unsolvable puzzles task compared to participants who did not form implementation intentions. Experiment 2 found that among participants who had been ego-depleted during an initial task, forming implementation intentions improved subsequent performance on a Stroop task to the level exhibited by non-depleted controls. Thus, implementation intentions help to enhance people's ability to self-regulate their behavior. \u00a9 2003 Elsevier Science (USA). All rights reserved.", "author" : [ { "dropping-particle" : "", "family" : "Webb", "given" : "Thomas L.", "non-dropping-particle" : "", "parse-names" : false, "suffix" : "" }, { "dropping-particle" : "", "family" : "Sheeran", "given" : "Paschal", "non-dropping-particle" : "", "parse-names" : false, "suffix" : "" } ], "container-title" : "Journal of Experimental Social Psychology", "id" : "ITEM-1", "issue" : "3", "issued" : { "date-parts" : [ [ "2003" ] ] }, "page" : "279-286", "title" : "Can implementation intentions help to overcome ego-depletion?", "type" : "article", "volume" : "39" }, "uris" : [ "http://www.mendeley.com/documents/?uuid=bc7b26dc-04a8-34e0-9848-c9a7274a7863" ] } ], "mendeley" : { "formattedCitation" : "(Webb &amp; Sheeran, 2003)", "plainTextFormattedCitation" : "(Webb &amp; Sheeran, 2003)", "previouslyFormattedCitation" : "(Webb &amp; Sheeran, 2003)" }, "properties" : { "noteIndex" : 0 }, "schema" : "https://github.com/citation-style-language/schema/raw/master/csl-citation.json" }</w:instrText>
      </w:r>
      <w:r w:rsidR="00B06E70">
        <w:rPr>
          <w:sz w:val="24"/>
          <w:szCs w:val="24"/>
        </w:rPr>
        <w:fldChar w:fldCharType="separate"/>
      </w:r>
      <w:r w:rsidR="00A34C23" w:rsidRPr="00A34C23">
        <w:rPr>
          <w:noProof/>
          <w:sz w:val="24"/>
          <w:szCs w:val="24"/>
        </w:rPr>
        <w:t>(Webb &amp; Sheeran, 2003)</w:t>
      </w:r>
      <w:r w:rsidR="00B06E70">
        <w:rPr>
          <w:sz w:val="24"/>
          <w:szCs w:val="24"/>
        </w:rPr>
        <w:fldChar w:fldCharType="end"/>
      </w:r>
      <w:r w:rsidRPr="00D05EBD">
        <w:rPr>
          <w:sz w:val="24"/>
          <w:szCs w:val="24"/>
        </w:rPr>
        <w:t xml:space="preserve">. Being able to identify people that have their self-control resources depleted could serve as a tool to detect people that might be more vulnerable to rely on automatic or </w:t>
      </w:r>
      <w:r w:rsidRPr="00D05EBD">
        <w:rPr>
          <w:sz w:val="24"/>
          <w:szCs w:val="24"/>
        </w:rPr>
        <w:lastRenderedPageBreak/>
        <w:t>impulsive processes. Once it is possible to identify people that are depleted of self-control it would be possible (in subsequent studies) to look at the relationship between self-regulatory depletion and the use of IER. If IER can take p</w:t>
      </w:r>
      <w:r w:rsidR="00711002">
        <w:rPr>
          <w:sz w:val="24"/>
          <w:szCs w:val="24"/>
        </w:rPr>
        <w:t>lace automatically, then it</w:t>
      </w:r>
      <w:r w:rsidRPr="00D05EBD">
        <w:rPr>
          <w:sz w:val="24"/>
          <w:szCs w:val="24"/>
        </w:rPr>
        <w:t xml:space="preserve">s use should not differ between people whose self-control resources have been depleted by use and those that have plenty of self-control resources. </w:t>
      </w:r>
    </w:p>
    <w:p w:rsidR="00FB1389" w:rsidRPr="00D05EBD" w:rsidRDefault="00FB1389" w:rsidP="00AE640B">
      <w:pPr>
        <w:spacing w:line="480" w:lineRule="auto"/>
        <w:ind w:firstLine="720"/>
        <w:jc w:val="both"/>
        <w:rPr>
          <w:b/>
          <w:sz w:val="24"/>
          <w:szCs w:val="24"/>
        </w:rPr>
      </w:pPr>
      <w:r w:rsidRPr="00D05EBD">
        <w:rPr>
          <w:b/>
          <w:sz w:val="24"/>
          <w:szCs w:val="24"/>
        </w:rPr>
        <w:t>4.2 Study 3</w:t>
      </w:r>
    </w:p>
    <w:p w:rsidR="00C06FB0" w:rsidRDefault="00FB1389" w:rsidP="00A47EE2">
      <w:pPr>
        <w:autoSpaceDE w:val="0"/>
        <w:autoSpaceDN w:val="0"/>
        <w:adjustRightInd w:val="0"/>
        <w:spacing w:after="0" w:line="480" w:lineRule="auto"/>
        <w:ind w:firstLine="720"/>
        <w:jc w:val="both"/>
        <w:rPr>
          <w:rFonts w:cs="Times New Roman"/>
          <w:i/>
          <w:sz w:val="24"/>
          <w:szCs w:val="24"/>
        </w:rPr>
      </w:pPr>
      <w:r w:rsidRPr="00D05EBD">
        <w:rPr>
          <w:rFonts w:cs="Times New Roman"/>
          <w:color w:val="000000" w:themeColor="text1"/>
          <w:sz w:val="24"/>
          <w:szCs w:val="24"/>
        </w:rPr>
        <w:t xml:space="preserve">The aim of the Study 3 was to </w:t>
      </w:r>
      <w:r w:rsidRPr="00D05EBD">
        <w:rPr>
          <w:rFonts w:cs="Times New Roman"/>
          <w:sz w:val="24"/>
          <w:szCs w:val="24"/>
        </w:rPr>
        <w:t xml:space="preserve">develop a self-report measure of the extent to which people have used self-control during their working day. This measure will be validated by measuring participant’s self-control capacity using the Stroop task. In line with research on ego-depletion effects (for a review, see </w:t>
      </w:r>
      <w:r w:rsidR="00B06E70">
        <w:rPr>
          <w:rFonts w:cs="Times New Roman"/>
          <w:sz w:val="24"/>
          <w:szCs w:val="24"/>
        </w:rPr>
        <w:fldChar w:fldCharType="begin" w:fldLock="1"/>
      </w:r>
      <w:r w:rsidR="00A1569A">
        <w:rPr>
          <w:rFonts w:cs="Times New Roman"/>
          <w:sz w:val="24"/>
          <w:szCs w:val="24"/>
        </w:rPr>
        <w:instrText>ADDIN CSL_CITATION { "citationItems" : [ { "id" : "ITEM-1", "itemData" : { "DOI" : "10.1037/a0019486", "ISBN" : "0033-2909\\r1939-1455", "ISSN" : "0033-2909", "PMID" : "20565167", "abstract" : "According to the strength model, self-control is a finite resource that determines capacity for effortful control over dominant responses and, once expended, leads to impaired self-control task performance, known as ego depletion. A meta-analysis of 83 studies tested the effect of ego depletion on task performance and related outcomes, alternative explanations and moderators of the effect, and additional strength model hypotheses. Results revealed a significant effect of ego depletion on self-control task performance. Significant effect sizes were found for ego depletion on effort, perceived difficulty, negative affect, subjective fatigue, and blood glucose levels. Small, nonsignificant effects were found for positive affect and self-efficacy. Moderator analyses indicated minimal variation in the effect across sphere of depleting and dependent task, frequently used depleting and dependent tasks, presentation of tasks as single or separate experiments, type of dependent measure and control condition task, and source laboratory. The effect size was moderated by depleting task duration, task presentation by the same or different experimenters, intertask interim period, dependent task complexity, and use of dependent tasks in the choice and volition and cognitive spheres. Motivational incentives, training on self-control tasks, and glucose supplementation promoted better self-control in ego-depleted samples. Expecting further acts of self-control exacerbated the effect. Findings provide preliminary support for the ego-depletion effect and strength model hypotheses. Support for motivation and fatigue as alternative explanations for ego depletion indicate a need to integrate the strength model with other theories. Findings provide impetus for future investigation testing additional hypotheses and mechanisms of the ego-depletion effect.", "author" : [ { "dropping-particle" : "", "family" : "Hagger", "given" : "Martin S", "non-dropping-particle" : "", "parse-names" : false, "suffix" : "" }, { "dropping-particle" : "", "family" : "Wood", "given" : "Chantelle", "non-dropping-particle" : "", "parse-names" : false, "suffix" : "" }, { "dropping-particle" : "", "family" : "Stiff", "given" : "Chris", "non-dropping-particle" : "", "parse-names" : false, "suffix" : "" }, { "dropping-particle" : "", "family" : "Chatzisarantis", "given" : "Nikos L D", "non-dropping-particle" : "", "parse-names" : false, "suffix" : "" } ], "container-title" : "Psychological bulletin", "id" : "ITEM-1", "issue" : "4", "issued" : { "date-parts" : [ [ "2010" ] ] }, "page" : "495-525", "title" : "Ego depletion and the strength model of self-control: a meta-analysis.", "type" : "article-journal", "volume" : "136" }, "uris" : [ "http://www.mendeley.com/documents/?uuid=e3caf5e6-4d25-30b4-8d05-82b39ff0f4af" ] } ], "mendeley" : { "formattedCitation" : "(Hagger et al., 2010)", "manualFormatting" : "Hagger et al., 2010)", "plainTextFormattedCitation" : "(Hagger et al., 2010)", "previouslyFormattedCitation" : "(Hagger et al., 2010)" }, "properties" : { "noteIndex" : 0 }, "schema" : "https://github.com/citation-style-language/schema/raw/master/csl-citation.json" }</w:instrText>
      </w:r>
      <w:r w:rsidR="00B06E70">
        <w:rPr>
          <w:rFonts w:cs="Times New Roman"/>
          <w:sz w:val="24"/>
          <w:szCs w:val="24"/>
        </w:rPr>
        <w:fldChar w:fldCharType="separate"/>
      </w:r>
      <w:r w:rsidR="00A1569A" w:rsidRPr="00A1569A">
        <w:rPr>
          <w:rFonts w:cs="Times New Roman"/>
          <w:noProof/>
          <w:sz w:val="24"/>
          <w:szCs w:val="24"/>
        </w:rPr>
        <w:t>Hagger et al., 2010)</w:t>
      </w:r>
      <w:r w:rsidR="00B06E70">
        <w:rPr>
          <w:rFonts w:cs="Times New Roman"/>
          <w:sz w:val="24"/>
          <w:szCs w:val="24"/>
        </w:rPr>
        <w:fldChar w:fldCharType="end"/>
      </w:r>
      <w:r w:rsidRPr="00D05EBD">
        <w:rPr>
          <w:rFonts w:cs="Times New Roman"/>
          <w:sz w:val="24"/>
          <w:szCs w:val="24"/>
        </w:rPr>
        <w:t xml:space="preserve"> it is predicted that participants who report using lots of self-control during their working day will perform worse on the Stroop than participants who have exerted less self-control.</w:t>
      </w:r>
      <w:r w:rsidRPr="00D05EBD">
        <w:rPr>
          <w:rStyle w:val="Refdecomentario"/>
          <w:sz w:val="24"/>
          <w:szCs w:val="24"/>
        </w:rPr>
        <w:t xml:space="preserve"> </w:t>
      </w:r>
      <w:r w:rsidRPr="00D05EBD">
        <w:rPr>
          <w:rFonts w:cs="Times New Roman"/>
          <w:sz w:val="24"/>
          <w:szCs w:val="24"/>
        </w:rPr>
        <w:t>In addition, other factors that have been related to self-control will be explored, including emotional exhaustion (burnout), fatigue (physical and mental fatigue, and quality of sleep) and affect.</w:t>
      </w:r>
      <w:r w:rsidRPr="00D05EBD">
        <w:rPr>
          <w:rFonts w:cs="Times New Roman"/>
          <w:i/>
          <w:sz w:val="24"/>
          <w:szCs w:val="24"/>
        </w:rPr>
        <w:t xml:space="preserve"> </w:t>
      </w:r>
    </w:p>
    <w:p w:rsidR="00C06FB0" w:rsidRPr="00D05EBD" w:rsidRDefault="00C06FB0" w:rsidP="00AE640B">
      <w:pPr>
        <w:autoSpaceDE w:val="0"/>
        <w:autoSpaceDN w:val="0"/>
        <w:adjustRightInd w:val="0"/>
        <w:spacing w:after="0" w:line="480" w:lineRule="auto"/>
        <w:ind w:firstLine="720"/>
        <w:jc w:val="both"/>
        <w:rPr>
          <w:rFonts w:cs="Bembo"/>
          <w:sz w:val="24"/>
          <w:szCs w:val="24"/>
        </w:rPr>
      </w:pPr>
    </w:p>
    <w:p w:rsidR="00FB1389" w:rsidRPr="00D05EBD" w:rsidRDefault="00FB1389" w:rsidP="00AE640B">
      <w:pPr>
        <w:tabs>
          <w:tab w:val="left" w:pos="800"/>
          <w:tab w:val="left" w:pos="1400"/>
          <w:tab w:val="left" w:pos="1800"/>
          <w:tab w:val="left" w:pos="3500"/>
          <w:tab w:val="left" w:pos="7200"/>
          <w:tab w:val="left" w:pos="9599"/>
        </w:tabs>
        <w:spacing w:line="480" w:lineRule="auto"/>
        <w:ind w:right="14"/>
        <w:jc w:val="both"/>
        <w:rPr>
          <w:rFonts w:cs="Times New Roman"/>
          <w:b/>
          <w:color w:val="000000" w:themeColor="text1"/>
          <w:sz w:val="24"/>
          <w:szCs w:val="24"/>
        </w:rPr>
      </w:pPr>
      <w:r w:rsidRPr="00D05EBD">
        <w:rPr>
          <w:rFonts w:cs="Times New Roman"/>
          <w:b/>
          <w:sz w:val="24"/>
          <w:szCs w:val="24"/>
        </w:rPr>
        <w:tab/>
      </w:r>
      <w:r w:rsidRPr="00D05EBD">
        <w:rPr>
          <w:rFonts w:cs="Times New Roman"/>
          <w:b/>
          <w:sz w:val="24"/>
          <w:szCs w:val="24"/>
        </w:rPr>
        <w:tab/>
        <w:t xml:space="preserve">4.2.1 </w:t>
      </w:r>
      <w:r w:rsidR="00B06E70" w:rsidRPr="00D05EBD">
        <w:rPr>
          <w:rFonts w:cs="Times New Roman"/>
          <w:b/>
          <w:sz w:val="24"/>
          <w:szCs w:val="24"/>
        </w:rPr>
        <w:fldChar w:fldCharType="begin"/>
      </w:r>
      <w:r w:rsidRPr="00D05EBD">
        <w:rPr>
          <w:rFonts w:cs="Times New Roman"/>
          <w:b/>
          <w:sz w:val="24"/>
          <w:szCs w:val="24"/>
        </w:rPr>
        <w:instrText xml:space="preserve"> ADDIN EN.CITE &lt;EndNote&gt;&lt;Cite ExcludeAuth="1" ExcludeYear="1" Hidden="1"&gt;&lt;Author&gt;Hagger&lt;/Author&gt;&lt;Year&gt;2010&lt;/Year&gt;&lt;RecNum&gt;61&lt;/RecNum&gt;&lt;record&gt;&lt;rec-number&gt;61&lt;/rec-number&gt;&lt;foreign-keys&gt;&lt;key app="EN" db-id="2av5p90x9xr9fjepadyvvf5kad5arwxtw92e"&gt;61&lt;/key&gt;&lt;/foreign-keys&gt;&lt;ref-type name="Journal Article"&gt;17&lt;/ref-type&gt;&lt;contributors&gt;&lt;authors&gt;&lt;author&gt;Hagger, M. S.&lt;/author&gt;&lt;author&gt;Wood, C.&lt;/author&gt;&lt;author&gt;Stiff, C.&lt;/author&gt;&lt;author&gt;Chatzisarantis, N. L. D.&lt;/author&gt;&lt;/authors&gt;&lt;/contributors&gt;&lt;titles&gt;&lt;title&gt;Ego Depletion and the Strength Model of Self-Control: A Meta-Analysis&lt;/title&gt;&lt;secondary-title&gt;Psychological Bulletin&lt;/secondary-title&gt;&lt;/titles&gt;&lt;periodical&gt;&lt;full-title&gt;Psychological Bulletin&lt;/full-title&gt;&lt;/periodical&gt;&lt;pages&gt;495-525&lt;/pages&gt;&lt;volume&gt;136&lt;/volume&gt;&lt;number&gt;4&lt;/number&gt;&lt;dates&gt;&lt;year&gt;2010&lt;/year&gt;&lt;pub-dates&gt;&lt;date&gt;Jul&lt;/date&gt;&lt;/pub-dates&gt;&lt;/dates&gt;&lt;isbn&gt;0033-2909&lt;/isbn&gt;&lt;accession-num&gt;WOS:000279187100004&lt;/accession-num&gt;&lt;urls&gt;&lt;related-urls&gt;&lt;url&gt;&amp;lt;Go to ISI&amp;gt;://WOS:000279187100004&lt;/url&gt;&lt;/related-urls&gt;&lt;/urls&gt;&lt;electronic-resource-num&gt;10.1037/a0019486&lt;/electronic-resource-num&gt;&lt;/record&gt;&lt;/Cite&gt;&lt;/EndNote&gt;</w:instrText>
      </w:r>
      <w:r w:rsidR="00B06E70" w:rsidRPr="00D05EBD">
        <w:rPr>
          <w:rFonts w:cs="Times New Roman"/>
          <w:b/>
          <w:sz w:val="24"/>
          <w:szCs w:val="24"/>
        </w:rPr>
        <w:fldChar w:fldCharType="end"/>
      </w:r>
      <w:r w:rsidRPr="00D05EBD">
        <w:rPr>
          <w:rFonts w:cs="Times New Roman"/>
          <w:b/>
          <w:color w:val="000000" w:themeColor="text1"/>
          <w:sz w:val="24"/>
          <w:szCs w:val="24"/>
        </w:rPr>
        <w:t>Predictions</w:t>
      </w:r>
    </w:p>
    <w:p w:rsidR="00FB1389" w:rsidRPr="00D05EBD" w:rsidRDefault="00FB1389" w:rsidP="00AE640B">
      <w:pPr>
        <w:spacing w:line="480" w:lineRule="auto"/>
        <w:ind w:firstLine="720"/>
        <w:jc w:val="both"/>
        <w:rPr>
          <w:rFonts w:cs="Times New Roman"/>
          <w:color w:val="000000" w:themeColor="text1"/>
          <w:sz w:val="24"/>
          <w:szCs w:val="24"/>
        </w:rPr>
      </w:pPr>
      <w:r w:rsidRPr="00D05EBD">
        <w:rPr>
          <w:rFonts w:cs="Times New Roman"/>
          <w:color w:val="000000" w:themeColor="text1"/>
          <w:sz w:val="24"/>
          <w:szCs w:val="24"/>
        </w:rPr>
        <w:t>First, the structure of the online questionnaire will be examined.</w:t>
      </w:r>
      <w:r w:rsidRPr="00D05EBD">
        <w:rPr>
          <w:sz w:val="24"/>
          <w:szCs w:val="24"/>
        </w:rPr>
        <w:t xml:space="preserve"> </w:t>
      </w:r>
      <w:r w:rsidRPr="00D05EBD">
        <w:rPr>
          <w:rFonts w:cs="Times New Roman"/>
          <w:color w:val="000000" w:themeColor="text1"/>
          <w:sz w:val="24"/>
          <w:szCs w:val="24"/>
        </w:rPr>
        <w:t>Tangney et al. (2004) found 5 factors in their complete Self-Control Scale. Factor 1 represented “general capacity for self-discipline”, factor 2 “inclination towards deliberate/</w:t>
      </w:r>
      <w:proofErr w:type="spellStart"/>
      <w:r w:rsidRPr="00D05EBD">
        <w:rPr>
          <w:rFonts w:cs="Times New Roman"/>
          <w:color w:val="000000" w:themeColor="text1"/>
          <w:sz w:val="24"/>
          <w:szCs w:val="24"/>
        </w:rPr>
        <w:t>nonimpulsive</w:t>
      </w:r>
      <w:proofErr w:type="spellEnd"/>
      <w:r w:rsidRPr="00D05EBD">
        <w:rPr>
          <w:rFonts w:cs="Times New Roman"/>
          <w:color w:val="000000" w:themeColor="text1"/>
          <w:sz w:val="24"/>
          <w:szCs w:val="24"/>
        </w:rPr>
        <w:t xml:space="preserve"> action, factor 3 “healthy habits”, factor 4 “self-regulation in service of a work ethic”, and factor 5 “reliability”. To build their Brief Self-Control Scale they took 5 items from factor </w:t>
      </w:r>
      <w:r w:rsidR="00D436E6">
        <w:rPr>
          <w:rFonts w:cs="Times New Roman"/>
          <w:color w:val="000000" w:themeColor="text1"/>
          <w:sz w:val="24"/>
          <w:szCs w:val="24"/>
        </w:rPr>
        <w:t>1</w:t>
      </w:r>
      <w:r w:rsidRPr="00D05EBD">
        <w:rPr>
          <w:rFonts w:cs="Times New Roman"/>
          <w:color w:val="000000" w:themeColor="text1"/>
          <w:sz w:val="24"/>
          <w:szCs w:val="24"/>
        </w:rPr>
        <w:t xml:space="preserve">, 3 from factor 2, 2 from factor 3, 2 from factor 4, and 1 </w:t>
      </w:r>
      <w:r w:rsidRPr="00D05EBD">
        <w:rPr>
          <w:rFonts w:cs="Times New Roman"/>
          <w:color w:val="000000" w:themeColor="text1"/>
          <w:sz w:val="24"/>
          <w:szCs w:val="24"/>
        </w:rPr>
        <w:lastRenderedPageBreak/>
        <w:t xml:space="preserve">from factor </w:t>
      </w:r>
      <w:r w:rsidR="00D436E6">
        <w:rPr>
          <w:rFonts w:cs="Times New Roman"/>
          <w:color w:val="000000" w:themeColor="text1"/>
          <w:sz w:val="24"/>
          <w:szCs w:val="24"/>
        </w:rPr>
        <w:t>5</w:t>
      </w:r>
      <w:r w:rsidRPr="00D05EBD">
        <w:rPr>
          <w:rFonts w:cs="Times New Roman"/>
          <w:color w:val="000000" w:themeColor="text1"/>
          <w:sz w:val="24"/>
          <w:szCs w:val="24"/>
        </w:rPr>
        <w:t xml:space="preserve">, but they did not state whether the Brief Self-Control Scale also had 5 factors. Other researchers </w:t>
      </w:r>
      <w:r w:rsidR="00D56690">
        <w:rPr>
          <w:rFonts w:cs="Times New Roman"/>
          <w:color w:val="000000" w:themeColor="text1"/>
          <w:sz w:val="24"/>
          <w:szCs w:val="24"/>
        </w:rPr>
        <w:t>that have used Tangney’s et al.</w:t>
      </w:r>
      <w:r w:rsidRPr="00D05EBD">
        <w:rPr>
          <w:rFonts w:cs="Times New Roman"/>
          <w:color w:val="000000" w:themeColor="text1"/>
          <w:sz w:val="24"/>
          <w:szCs w:val="24"/>
        </w:rPr>
        <w:t xml:space="preserve"> Brief Self-Control Scale have also found a </w:t>
      </w:r>
      <w:r w:rsidR="00A1569A" w:rsidRPr="00D05EBD">
        <w:rPr>
          <w:rFonts w:cs="Times New Roman"/>
          <w:color w:val="000000" w:themeColor="text1"/>
          <w:sz w:val="24"/>
          <w:szCs w:val="24"/>
        </w:rPr>
        <w:t>multidimensional</w:t>
      </w:r>
      <w:r w:rsidRPr="00D05EBD">
        <w:rPr>
          <w:rFonts w:cs="Times New Roman"/>
          <w:color w:val="000000" w:themeColor="text1"/>
          <w:sz w:val="24"/>
          <w:szCs w:val="24"/>
        </w:rPr>
        <w:t xml:space="preserve"> structure. For example, </w:t>
      </w:r>
      <w:r w:rsidR="00B06E70">
        <w:rPr>
          <w:rFonts w:cs="Times New Roman"/>
          <w:color w:val="000000" w:themeColor="text1"/>
          <w:sz w:val="24"/>
          <w:szCs w:val="24"/>
        </w:rPr>
        <w:fldChar w:fldCharType="begin" w:fldLock="1"/>
      </w:r>
      <w:r w:rsidR="00A1569A">
        <w:rPr>
          <w:rFonts w:cs="Times New Roman"/>
          <w:color w:val="000000" w:themeColor="text1"/>
          <w:sz w:val="24"/>
          <w:szCs w:val="24"/>
        </w:rPr>
        <w:instrText>ADDIN CSL_CITATION { "citationItems" : [ { "id" : "ITEM-1", "itemData" : { "DOI" : "10.1016/j.jrp.2011.10.001", "ISBN" : "0092-6566", "ISSN" : "00926566", "abstract" : "The Brief Self-Control Scale (BSCS; Tangney, Baumeister, &amp; Boone, 2004) was developed to assess dispositional self-control as it is conceptualized by contemporary theoretical perspectives; however, concerns regarding its unidimensionality and validity remain. This article addresses these concerns using three samples to define, confirm and test a multi-factor version of the BSCS. Results of Study 1 (n=909) identified two factors of the BSCS: restraint and impulsivity. Results of Study 2 (n=364) confirmed that the 2-factor structure fit the data well and performed better than 1-factor structures. Finally, results from Study 3 (n=175) demonstrated the utility of the multi-factor BSCS in predicting self-reported affective and behavioral outcomes. Implications for research and theoretical development are discussed. ?? 2011 Elsevier Inc..", "author" : [ { "dropping-particle" : "", "family" : "Maloney", "given" : "Patrick W.", "non-dropping-particle" : "", "parse-names" : false, "suffix" : "" }, { "dropping-particle" : "", "family" : "Grawitch", "given" : "Matthew J.", "non-dropping-particle" : "", "parse-names" : false, "suffix" : "" }, { "dropping-particle" : "", "family" : "Barber", "given" : "Larissa K.", "non-dropping-particle" : "", "parse-names" : false, "suffix" : "" } ], "container-title" : "Journal of Research in Personality", "id" : "ITEM-1", "issue" : "1", "issued" : { "date-parts" : [ [ "2012" ] ] }, "page" : "111-115", "title" : "The multi-factor structure of the Brief Self-Control Scale: Discriminant validity of restraint and impulsivity", "type" : "article-journal", "volume" : "46" }, "uris" : [ "http://www.mendeley.com/documents/?uuid=50892528-b47c-3024-adb1-998caade6632" ] } ], "mendeley" : { "formattedCitation" : "(Maloney, Grawitch, &amp; Barber, 2012)", "manualFormatting" : "Maloney, Grawitch, &amp; Barber, (2012)", "plainTextFormattedCitation" : "(Maloney, Grawitch, &amp; Barber, 2012)", "previouslyFormattedCitation" : "(Maloney, Grawitch, &amp; Barber, 2012)" }, "properties" : { "noteIndex" : 0 }, "schema" : "https://github.com/citation-style-language/schema/raw/master/csl-citation.json" }</w:instrText>
      </w:r>
      <w:r w:rsidR="00B06E70">
        <w:rPr>
          <w:rFonts w:cs="Times New Roman"/>
          <w:color w:val="000000" w:themeColor="text1"/>
          <w:sz w:val="24"/>
          <w:szCs w:val="24"/>
        </w:rPr>
        <w:fldChar w:fldCharType="separate"/>
      </w:r>
      <w:r w:rsidR="00A1569A" w:rsidRPr="00A1569A">
        <w:rPr>
          <w:rFonts w:cs="Times New Roman"/>
          <w:noProof/>
          <w:color w:val="000000" w:themeColor="text1"/>
          <w:sz w:val="24"/>
          <w:szCs w:val="24"/>
        </w:rPr>
        <w:t xml:space="preserve">Maloney, Grawitch, &amp; Barber, </w:t>
      </w:r>
      <w:r w:rsidR="00A1569A">
        <w:rPr>
          <w:rFonts w:cs="Times New Roman"/>
          <w:noProof/>
          <w:color w:val="000000" w:themeColor="text1"/>
          <w:sz w:val="24"/>
          <w:szCs w:val="24"/>
        </w:rPr>
        <w:t>(</w:t>
      </w:r>
      <w:r w:rsidR="00A1569A" w:rsidRPr="00A1569A">
        <w:rPr>
          <w:rFonts w:cs="Times New Roman"/>
          <w:noProof/>
          <w:color w:val="000000" w:themeColor="text1"/>
          <w:sz w:val="24"/>
          <w:szCs w:val="24"/>
        </w:rPr>
        <w:t>2012)</w:t>
      </w:r>
      <w:r w:rsidR="00B06E70">
        <w:rPr>
          <w:rFonts w:cs="Times New Roman"/>
          <w:color w:val="000000" w:themeColor="text1"/>
          <w:sz w:val="24"/>
          <w:szCs w:val="24"/>
        </w:rPr>
        <w:fldChar w:fldCharType="end"/>
      </w:r>
      <w:r w:rsidRPr="00D05EBD">
        <w:rPr>
          <w:rFonts w:cs="Times New Roman"/>
          <w:color w:val="000000" w:themeColor="text1"/>
          <w:sz w:val="24"/>
          <w:szCs w:val="24"/>
        </w:rPr>
        <w:t>, investigated t</w:t>
      </w:r>
      <w:r w:rsidR="00D56690">
        <w:rPr>
          <w:rFonts w:cs="Times New Roman"/>
          <w:color w:val="000000" w:themeColor="text1"/>
          <w:sz w:val="24"/>
          <w:szCs w:val="24"/>
        </w:rPr>
        <w:t>he structure of Tangney’s et al.</w:t>
      </w:r>
      <w:r w:rsidRPr="00D05EBD">
        <w:rPr>
          <w:rFonts w:cs="Times New Roman"/>
          <w:color w:val="000000" w:themeColor="text1"/>
          <w:sz w:val="24"/>
          <w:szCs w:val="24"/>
        </w:rPr>
        <w:t xml:space="preserve"> Brief Self-Control Scale in three different samples, finding two factors every time: restraint and impulsivity. As the items that conform the Brief Self-Control Scale belong to each of the factors of the complete Scale and as other researchers have also found a multidimensional structure.  In the present Study </w:t>
      </w:r>
      <w:proofErr w:type="spellStart"/>
      <w:r w:rsidRPr="00D05EBD">
        <w:rPr>
          <w:rFonts w:cs="Times New Roman"/>
          <w:i/>
          <w:color w:val="000000" w:themeColor="text1"/>
          <w:sz w:val="24"/>
          <w:szCs w:val="24"/>
        </w:rPr>
        <w:t>i</w:t>
      </w:r>
      <w:proofErr w:type="spellEnd"/>
      <w:r w:rsidRPr="00D05EBD">
        <w:rPr>
          <w:rFonts w:cs="Times New Roman"/>
          <w:i/>
          <w:color w:val="000000" w:themeColor="text1"/>
          <w:sz w:val="24"/>
          <w:szCs w:val="24"/>
        </w:rPr>
        <w:t>) it is expected that the new measure of use of self-control would also have a multidimensional structure</w:t>
      </w:r>
      <w:r w:rsidRPr="00D05EBD">
        <w:rPr>
          <w:rFonts w:cs="Times New Roman"/>
          <w:color w:val="000000" w:themeColor="text1"/>
          <w:sz w:val="24"/>
          <w:szCs w:val="24"/>
        </w:rPr>
        <w:t xml:space="preserve">. </w:t>
      </w:r>
    </w:p>
    <w:p w:rsidR="00FB1389" w:rsidRPr="00D05EBD" w:rsidRDefault="00FB1389" w:rsidP="00AE640B">
      <w:pPr>
        <w:spacing w:line="480" w:lineRule="auto"/>
        <w:ind w:firstLine="720"/>
        <w:jc w:val="both"/>
        <w:rPr>
          <w:rFonts w:cs="Times New Roman"/>
          <w:color w:val="000000" w:themeColor="text1"/>
          <w:sz w:val="24"/>
          <w:szCs w:val="24"/>
        </w:rPr>
      </w:pPr>
      <w:r w:rsidRPr="00D05EBD">
        <w:rPr>
          <w:sz w:val="24"/>
          <w:szCs w:val="24"/>
        </w:rPr>
        <w:t xml:space="preserve">Next, the relationship between scores on the new measure of self-control during the working day and related constructs such as affect, fatigue and emotional exhaustion will be examined. Given the fact that previous research has found mixed results regarding the relationship between affect and self-control depletion, in Study 3 it was only expected that </w:t>
      </w:r>
      <w:r w:rsidRPr="00D05EBD">
        <w:rPr>
          <w:i/>
          <w:sz w:val="24"/>
          <w:szCs w:val="24"/>
        </w:rPr>
        <w:t xml:space="preserve">ii) participants who reported using more self-control during their working day would also report stronger emotions, both positive and negative </w:t>
      </w:r>
      <w:r w:rsidR="00B06E70">
        <w:rPr>
          <w:i/>
          <w:sz w:val="24"/>
          <w:szCs w:val="24"/>
        </w:rPr>
        <w:fldChar w:fldCharType="begin" w:fldLock="1"/>
      </w:r>
      <w:r w:rsidR="00FA4094">
        <w:rPr>
          <w:i/>
          <w:sz w:val="24"/>
          <w:szCs w:val="24"/>
        </w:rPr>
        <w:instrText>ADDIN CSL_CITATION { "citationItems" : [ { "id" : "ITEM-1", "itemData" : { "DOI" : "10.1177/0956797613502732", "ISSN" : "1467-9280", "PMID" : "24270461", "abstract" : "Two experiments tested when and why women's typically negative, spontaneous reactions to sexual imagery would soften. Sexual economics theory predicts that women want sex to be seen as rare and special. We reasoned that this outlook would translate to women tolerating sexual images more when those images are linked to high worth as opposed to low worth. We manipulated whether an ad promoted an expensive or a cheap product using a sexually charged or a neutral scene. As predicted, women found sexual imagery distasteful when it was used to promote a cheap product, but this reaction to sexual imagery was mitigated if the product promoted was expensive. This pattern was not observed among men. Furthermore, we predicted and found that sexual ads promoting cheap products heightened feelings of being upset and angry among women. These findings suggest that women's reactions to sexual images can reveal deep-seated preferences about how sex should be used and understood.", "author" : [ { "dropping-particle" : "", "family" : "Vohs", "given" : "Kathleen D", "non-dropping-particle" : "", "parse-names" : false, "suffix" : "" }, { "dropping-particle" : "", "family" : "Sengupta", "given" : "Jaideep", "non-dropping-particle" : "", "parse-names" : false, "suffix" : "" }, { "dropping-particle" : "", "family" : "Dahl", "given" : "Darren W", "non-dropping-particle" : "", "parse-names" : false, "suffix" : "" } ], "container-title" : "Psychological science", "id" : "ITEM-1", "issue" : "1", "issued" : { "date-parts" : [ [ "2014" ] ] }, "page" : "278-83", "title" : "The Price Had Better Be Right: Women's Reactions to Sexual Stimuli Vary With Market Factors.", "type" : "article-journal", "volume" : "25" }, "uris" : [ "http://www.mendeley.com/documents/?uuid=1bbf41fa-2494-47bc-aec5-654dc9770ade" ] } ], "mendeley" : { "formattedCitation" : "(Kathleen D Vohs, Sengupta, &amp; Dahl, 2014)", "plainTextFormattedCitation" : "(Kathleen D Vohs, Sengupta, &amp; Dahl, 2014)", "previouslyFormattedCitation" : "(Kathleen D Vohs, Sengupta, &amp; Dahl, 2014)" }, "properties" : { "noteIndex" : 0 }, "schema" : "https://github.com/citation-style-language/schema/raw/master/csl-citation.json" }</w:instrText>
      </w:r>
      <w:r w:rsidR="00B06E70">
        <w:rPr>
          <w:i/>
          <w:sz w:val="24"/>
          <w:szCs w:val="24"/>
        </w:rPr>
        <w:fldChar w:fldCharType="separate"/>
      </w:r>
      <w:r w:rsidR="00FA4094" w:rsidRPr="00FA4094">
        <w:rPr>
          <w:noProof/>
          <w:sz w:val="24"/>
          <w:szCs w:val="24"/>
        </w:rPr>
        <w:t>(Vohs, Sengupta, &amp; Dahl, 2014)</w:t>
      </w:r>
      <w:r w:rsidR="00B06E70">
        <w:rPr>
          <w:i/>
          <w:sz w:val="24"/>
          <w:szCs w:val="24"/>
        </w:rPr>
        <w:fldChar w:fldCharType="end"/>
      </w:r>
      <w:r w:rsidRPr="00D05EBD">
        <w:rPr>
          <w:sz w:val="24"/>
          <w:szCs w:val="24"/>
        </w:rPr>
        <w:t>. Previous research has indicated fatigue correlates with ego-depletion (</w:t>
      </w:r>
      <w:proofErr w:type="spellStart"/>
      <w:r w:rsidRPr="00D05EBD">
        <w:rPr>
          <w:sz w:val="24"/>
          <w:szCs w:val="24"/>
        </w:rPr>
        <w:t>Hagger</w:t>
      </w:r>
      <w:proofErr w:type="spellEnd"/>
      <w:r w:rsidRPr="00D05EBD">
        <w:rPr>
          <w:sz w:val="24"/>
          <w:szCs w:val="24"/>
        </w:rPr>
        <w:t xml:space="preserve"> et al., 2010). For this reason it was expected that </w:t>
      </w:r>
      <w:r w:rsidRPr="00D05EBD">
        <w:rPr>
          <w:i/>
          <w:sz w:val="24"/>
          <w:szCs w:val="24"/>
        </w:rPr>
        <w:t>iii) participants who reported using more self-control during their working days would also report being more fatigued, as reflected on their scores of mental energy and physical energy.</w:t>
      </w:r>
      <w:r w:rsidRPr="00D05EBD">
        <w:rPr>
          <w:sz w:val="24"/>
          <w:szCs w:val="24"/>
        </w:rPr>
        <w:t xml:space="preserve"> Finally, based on empirical evidence that has linked emotional exhaustion and ego-depletion </w:t>
      </w:r>
      <w:r w:rsidR="00B06E70">
        <w:rPr>
          <w:sz w:val="24"/>
          <w:szCs w:val="24"/>
        </w:rPr>
        <w:fldChar w:fldCharType="begin" w:fldLock="1"/>
      </w:r>
      <w:r w:rsidR="00A15BB9">
        <w:rPr>
          <w:sz w:val="24"/>
          <w:szCs w:val="24"/>
        </w:rPr>
        <w:instrText>ADDIN CSL_CITATION { "citationItems" : [ { "id" : "ITEM-1", "itemData" : { "DOI" : "10.1111/aphw.12009", "ISBN" : "1758-0846", "ISSN" : "17580846", "PMID" : "23625803", "abstract" : "BACKGROUND: This investigation focuses on what occurs to individuals' self-regulatory resource during controlled Interpersonal Affect Regulation (IAR) which is the process of deliberately influencing the internal feeling states of others. Combining the strength model of self-regulation and the resources conservation model, the investigation tested whether: (1) IAR behaviors are positively related to ego-depletion because goal-directed behaviors demand self-regulatory processes, and (2) the use of affect-improving strategies benefits from a source of resource-recovery because it initiates positive feedback from targets, as proposed from a resource-conservation perspective.\\n\\nMETHOD: To test this, a lab study based on an experimental dual-task paradigm using a sample of pairs of friends in the UK and a longitudinal field study of a sample of healthcare workers in Spain were conducted.\\n\\nRESULTS: The experimental study showed a depleting effect of interpersonal affect-improving IAR on a subsequent self-regulation task. The field study showed that while interpersonal affect-worsening was positively associated with depletion, as indicated by the level of emotional exhaustion, interpersonal affect-improving was only associated with depletion after controlling for the effect of positive feedback from clients.\\n\\nCONCLUSION: The findings indicate that IAR does have implications for resource depletion, but that social reactions play a role in the outcome.", "author" : [ { "dropping-particle" : "", "family" : "Martinez", "given" : "", "non-dropping-particle" : "", "parse-names" : false, "suffix" : "" }, { "dropping-particle" : "", "family" : "Poerio", "given" : "", "non-dropping-particle" : "", "parse-names" : false, "suffix" : "" }, { "dropping-particle" : "", "family" : "Totterdell", "given" : "", "non-dropping-particle" : "", "parse-names" : false, "suffix" : "" } ], "container-title" : "Applied Psychology: Health and Well-Being", "id" : "ITEM-1", "issue" : "2", "issued" : { "date-parts" : [ [ "2013" ] ] }, "page" : "248-269", "title" : "The association between controlled interpersonal affect regulation and resource depletion", "type" : "article-journal", "volume" : "5" }, "uris" : [ "http://www.mendeley.com/documents/?uuid=d721edac-fbbf-45ed-a664-9ec14982c8c2" ] } ], "mendeley" : { "formattedCitation" : "(Martinez et al., 2013)", "plainTextFormattedCitation" : "(Martinez et al., 2013)", "previouslyFormattedCitation" : "(Martinez et al., 2013)" }, "properties" : { "noteIndex" : 0 }, "schema" : "https://github.com/citation-style-language/schema/raw/master/csl-citation.json" }</w:instrText>
      </w:r>
      <w:r w:rsidR="00B06E70">
        <w:rPr>
          <w:sz w:val="24"/>
          <w:szCs w:val="24"/>
        </w:rPr>
        <w:fldChar w:fldCharType="separate"/>
      </w:r>
      <w:r w:rsidR="00BB4F29" w:rsidRPr="00BB4F29">
        <w:rPr>
          <w:noProof/>
          <w:sz w:val="24"/>
          <w:szCs w:val="24"/>
        </w:rPr>
        <w:t>(Martinez et al., 2013)</w:t>
      </w:r>
      <w:r w:rsidR="00B06E70">
        <w:rPr>
          <w:sz w:val="24"/>
          <w:szCs w:val="24"/>
        </w:rPr>
        <w:fldChar w:fldCharType="end"/>
      </w:r>
      <w:r w:rsidRPr="00D05EBD">
        <w:rPr>
          <w:sz w:val="24"/>
          <w:szCs w:val="24"/>
        </w:rPr>
        <w:t xml:space="preserve">, </w:t>
      </w:r>
      <w:r w:rsidRPr="00D05EBD">
        <w:rPr>
          <w:i/>
          <w:sz w:val="24"/>
          <w:szCs w:val="24"/>
        </w:rPr>
        <w:t>iv) emotional exhaustion was also expected to be positively correlated to use of self-control</w:t>
      </w:r>
      <w:r w:rsidRPr="00D05EBD">
        <w:rPr>
          <w:sz w:val="24"/>
          <w:szCs w:val="24"/>
        </w:rPr>
        <w:t>.</w:t>
      </w:r>
      <w:r w:rsidRPr="00D05EBD">
        <w:rPr>
          <w:rFonts w:cs="Times New Roman"/>
          <w:color w:val="000000" w:themeColor="text1"/>
          <w:sz w:val="24"/>
          <w:szCs w:val="24"/>
        </w:rPr>
        <w:t xml:space="preserve"> </w:t>
      </w:r>
    </w:p>
    <w:p w:rsidR="00FB1389" w:rsidRDefault="00FB1389" w:rsidP="00A47EE2">
      <w:pPr>
        <w:spacing w:line="480" w:lineRule="auto"/>
        <w:ind w:firstLine="720"/>
        <w:jc w:val="both"/>
        <w:rPr>
          <w:rFonts w:cs="Times New Roman"/>
          <w:color w:val="000000" w:themeColor="text1"/>
          <w:sz w:val="24"/>
          <w:szCs w:val="24"/>
        </w:rPr>
      </w:pPr>
      <w:r w:rsidRPr="00D05EBD">
        <w:rPr>
          <w:rFonts w:cs="Times New Roman"/>
          <w:color w:val="000000" w:themeColor="text1"/>
          <w:sz w:val="24"/>
          <w:szCs w:val="24"/>
        </w:rPr>
        <w:lastRenderedPageBreak/>
        <w:t xml:space="preserve">Finally, the main purpose of present study will be examined. Self-control will be investigated by looking at the relationship between the participant’s scores on the use of self-control during the working day scale, and scores of self-control as measured on a Stroop Colour Task. It is expected that </w:t>
      </w:r>
      <w:r w:rsidRPr="00D05EBD">
        <w:rPr>
          <w:rFonts w:cs="Times New Roman"/>
          <w:i/>
          <w:color w:val="000000" w:themeColor="text1"/>
          <w:sz w:val="24"/>
          <w:szCs w:val="24"/>
        </w:rPr>
        <w:t>v)</w:t>
      </w:r>
      <w:r w:rsidRPr="00D05EBD">
        <w:rPr>
          <w:rFonts w:cs="Times New Roman"/>
          <w:color w:val="000000" w:themeColor="text1"/>
          <w:sz w:val="24"/>
          <w:szCs w:val="24"/>
        </w:rPr>
        <w:t xml:space="preserve"> </w:t>
      </w:r>
      <w:r w:rsidRPr="00D05EBD">
        <w:rPr>
          <w:rFonts w:cs="Times New Roman"/>
          <w:i/>
          <w:color w:val="000000" w:themeColor="text1"/>
          <w:sz w:val="24"/>
          <w:szCs w:val="24"/>
        </w:rPr>
        <w:t>participants who report having used more self-control during their working days will have less self-control, as reflected on a worse performance on the Stroop Task, than participants who reported using less self-control</w:t>
      </w:r>
      <w:r w:rsidRPr="00D05EBD">
        <w:rPr>
          <w:rFonts w:cs="Times New Roman"/>
          <w:color w:val="000000" w:themeColor="text1"/>
          <w:sz w:val="24"/>
          <w:szCs w:val="24"/>
        </w:rPr>
        <w:t>.</w:t>
      </w:r>
    </w:p>
    <w:p w:rsidR="00A47EE2" w:rsidRPr="00D05EBD" w:rsidRDefault="00A47EE2" w:rsidP="00A47EE2">
      <w:pPr>
        <w:spacing w:line="480" w:lineRule="auto"/>
        <w:ind w:firstLine="720"/>
        <w:jc w:val="both"/>
        <w:rPr>
          <w:rFonts w:cs="Times New Roman"/>
          <w:color w:val="000000" w:themeColor="text1"/>
          <w:sz w:val="24"/>
          <w:szCs w:val="24"/>
        </w:rPr>
      </w:pPr>
    </w:p>
    <w:p w:rsidR="00FB1389" w:rsidRPr="00D05EBD" w:rsidRDefault="00FB1389" w:rsidP="00AE640B">
      <w:pPr>
        <w:spacing w:line="480" w:lineRule="auto"/>
        <w:ind w:left="720" w:firstLine="720"/>
        <w:jc w:val="both"/>
        <w:rPr>
          <w:rFonts w:cs="Times New Roman"/>
          <w:b/>
          <w:bCs/>
          <w:sz w:val="24"/>
          <w:szCs w:val="24"/>
        </w:rPr>
      </w:pPr>
      <w:r w:rsidRPr="00D05EBD">
        <w:rPr>
          <w:rFonts w:cs="Times New Roman"/>
          <w:b/>
          <w:bCs/>
          <w:sz w:val="24"/>
          <w:szCs w:val="24"/>
        </w:rPr>
        <w:t>4.2.2 Method</w:t>
      </w:r>
    </w:p>
    <w:p w:rsidR="00FB1389" w:rsidRPr="00D05EBD" w:rsidRDefault="00FB1389" w:rsidP="00AE640B">
      <w:pPr>
        <w:spacing w:line="480" w:lineRule="auto"/>
        <w:ind w:left="1440" w:firstLine="720"/>
        <w:jc w:val="both"/>
        <w:rPr>
          <w:rFonts w:cs="Times New Roman"/>
          <w:i/>
          <w:sz w:val="24"/>
          <w:szCs w:val="24"/>
        </w:rPr>
      </w:pPr>
      <w:r w:rsidRPr="00D05EBD">
        <w:rPr>
          <w:rFonts w:cs="Times New Roman"/>
          <w:i/>
          <w:sz w:val="24"/>
          <w:szCs w:val="24"/>
        </w:rPr>
        <w:t>4.2.2.1 Participants</w:t>
      </w:r>
    </w:p>
    <w:p w:rsidR="00FB1389" w:rsidRPr="00D05EBD" w:rsidRDefault="00FB1389" w:rsidP="00AE640B">
      <w:pPr>
        <w:spacing w:line="480" w:lineRule="auto"/>
        <w:jc w:val="both"/>
        <w:rPr>
          <w:rFonts w:cs="Times New Roman"/>
          <w:sz w:val="24"/>
          <w:szCs w:val="24"/>
        </w:rPr>
      </w:pPr>
      <w:r w:rsidRPr="00D05EBD">
        <w:rPr>
          <w:rFonts w:cs="Times New Roman"/>
          <w:i/>
          <w:sz w:val="24"/>
          <w:szCs w:val="24"/>
        </w:rPr>
        <w:tab/>
      </w:r>
      <w:r w:rsidRPr="00D05EBD">
        <w:rPr>
          <w:rFonts w:cs="Times New Roman"/>
          <w:sz w:val="24"/>
          <w:szCs w:val="24"/>
        </w:rPr>
        <w:t>154 participants volunteered to take part in this study (97 women). Ages ranged from 21 to 87 (</w:t>
      </w:r>
      <w:r w:rsidRPr="00D05EBD">
        <w:rPr>
          <w:rFonts w:cs="Times New Roman"/>
          <w:i/>
          <w:sz w:val="24"/>
          <w:szCs w:val="24"/>
        </w:rPr>
        <w:t xml:space="preserve">M </w:t>
      </w:r>
      <w:r w:rsidRPr="00D05EBD">
        <w:rPr>
          <w:rFonts w:cs="Times New Roman"/>
          <w:sz w:val="24"/>
          <w:szCs w:val="24"/>
        </w:rPr>
        <w:t xml:space="preserve">= 40.47 yr, </w:t>
      </w:r>
      <w:r w:rsidRPr="00D05EBD">
        <w:rPr>
          <w:rFonts w:cs="Times New Roman"/>
          <w:i/>
          <w:sz w:val="24"/>
          <w:szCs w:val="24"/>
        </w:rPr>
        <w:t xml:space="preserve">SD </w:t>
      </w:r>
      <w:r w:rsidRPr="00D05EBD">
        <w:rPr>
          <w:rFonts w:cs="Times New Roman"/>
          <w:sz w:val="24"/>
          <w:szCs w:val="24"/>
        </w:rPr>
        <w:t>= 11.84). 136 participants were native English speakers. From the total of 154 participants, 85 (55%) completed the Stroop Task (56 women)</w:t>
      </w:r>
      <w:r w:rsidRPr="00973AEB">
        <w:rPr>
          <w:rStyle w:val="Refdenotaalpie"/>
        </w:rPr>
        <w:footnoteReference w:id="31"/>
      </w:r>
      <w:r w:rsidRPr="00D05EBD">
        <w:rPr>
          <w:rFonts w:cs="Times New Roman"/>
          <w:sz w:val="24"/>
          <w:szCs w:val="24"/>
        </w:rPr>
        <w:t>. Ages ranged from 23 to 64 years old (</w:t>
      </w:r>
      <w:r w:rsidRPr="00D05EBD">
        <w:rPr>
          <w:rFonts w:cs="Times New Roman"/>
          <w:i/>
          <w:sz w:val="24"/>
          <w:szCs w:val="24"/>
        </w:rPr>
        <w:t>M</w:t>
      </w:r>
      <w:r w:rsidRPr="00D05EBD">
        <w:rPr>
          <w:rFonts w:cs="Times New Roman"/>
          <w:sz w:val="24"/>
          <w:szCs w:val="24"/>
        </w:rPr>
        <w:t xml:space="preserve"> = 40.18, </w:t>
      </w:r>
      <w:r w:rsidRPr="00D05EBD">
        <w:rPr>
          <w:rFonts w:cs="Times New Roman"/>
          <w:i/>
          <w:sz w:val="24"/>
          <w:szCs w:val="24"/>
        </w:rPr>
        <w:t xml:space="preserve">SD </w:t>
      </w:r>
      <w:r w:rsidRPr="00D05EBD">
        <w:rPr>
          <w:rFonts w:cs="Times New Roman"/>
          <w:sz w:val="24"/>
          <w:szCs w:val="24"/>
        </w:rPr>
        <w:t>= 11.01).</w:t>
      </w:r>
    </w:p>
    <w:p w:rsidR="00FB1389" w:rsidRPr="00D05EBD" w:rsidRDefault="00FB1389" w:rsidP="00AE640B">
      <w:pPr>
        <w:spacing w:line="480" w:lineRule="auto"/>
        <w:ind w:left="1440" w:firstLine="720"/>
        <w:jc w:val="both"/>
        <w:rPr>
          <w:rFonts w:cs="Times New Roman"/>
          <w:i/>
          <w:sz w:val="24"/>
          <w:szCs w:val="24"/>
        </w:rPr>
      </w:pPr>
      <w:r w:rsidRPr="00D05EBD">
        <w:rPr>
          <w:rFonts w:cs="Times New Roman"/>
          <w:i/>
          <w:sz w:val="24"/>
          <w:szCs w:val="24"/>
        </w:rPr>
        <w:t>4.2.2.2 Procedure</w:t>
      </w:r>
    </w:p>
    <w:p w:rsidR="00FB1389" w:rsidRPr="00D05EBD" w:rsidRDefault="00FB1389" w:rsidP="00AE640B">
      <w:pPr>
        <w:spacing w:line="480" w:lineRule="auto"/>
        <w:jc w:val="both"/>
        <w:rPr>
          <w:rFonts w:cs="Times New Roman"/>
          <w:sz w:val="24"/>
          <w:szCs w:val="24"/>
        </w:rPr>
      </w:pPr>
      <w:r w:rsidRPr="00D05EBD">
        <w:rPr>
          <w:rFonts w:cs="Times New Roman"/>
          <w:sz w:val="24"/>
          <w:szCs w:val="24"/>
        </w:rPr>
        <w:tab/>
        <w:t xml:space="preserve">An email inviting people to take part in an experiment aimed at exploring the extent to which people use self-control while at work was sent to a list of volunteers at the University of Sheffield. Participants were informed that a </w:t>
      </w:r>
      <w:proofErr w:type="spellStart"/>
      <w:r w:rsidRPr="00D05EBD">
        <w:rPr>
          <w:rFonts w:cs="Times New Roman"/>
          <w:sz w:val="24"/>
          <w:szCs w:val="24"/>
        </w:rPr>
        <w:t>weblink</w:t>
      </w:r>
      <w:proofErr w:type="spellEnd"/>
      <w:r w:rsidRPr="00D05EBD">
        <w:rPr>
          <w:rFonts w:cs="Times New Roman"/>
          <w:sz w:val="24"/>
          <w:szCs w:val="24"/>
        </w:rPr>
        <w:t xml:space="preserve"> </w:t>
      </w:r>
      <w:r w:rsidRPr="00CE02B4">
        <w:rPr>
          <w:rFonts w:cs="Times New Roman"/>
          <w:sz w:val="24"/>
          <w:szCs w:val="24"/>
        </w:rPr>
        <w:t>(</w:t>
      </w:r>
      <w:hyperlink r:id="rId13" w:history="1">
        <w:r w:rsidRPr="00CE02B4">
          <w:rPr>
            <w:rStyle w:val="Hipervnculo"/>
            <w:rFonts w:cs="Times New Roman"/>
            <w:color w:val="auto"/>
            <w:sz w:val="24"/>
            <w:szCs w:val="24"/>
          </w:rPr>
          <w:t>https://www.surveymonkey.com/r/MPHJNX6</w:t>
        </w:r>
      </w:hyperlink>
      <w:r w:rsidRPr="00CE02B4">
        <w:rPr>
          <w:rFonts w:cs="Times New Roman"/>
          <w:sz w:val="24"/>
          <w:szCs w:val="24"/>
        </w:rPr>
        <w:t>)</w:t>
      </w:r>
      <w:r w:rsidRPr="00D05EBD">
        <w:rPr>
          <w:rFonts w:cs="Times New Roman"/>
          <w:sz w:val="24"/>
          <w:szCs w:val="24"/>
        </w:rPr>
        <w:t xml:space="preserve"> would take them to a questionnaire where they would first answer some questions related to their use of self-control and </w:t>
      </w:r>
      <w:r w:rsidRPr="00D05EBD">
        <w:rPr>
          <w:rFonts w:cs="Times New Roman"/>
          <w:sz w:val="24"/>
          <w:szCs w:val="24"/>
        </w:rPr>
        <w:lastRenderedPageBreak/>
        <w:t>then they would solve a word reading task. Participants were reminded their responses would be confidential and that they could withdraw the experiment at any time.</w:t>
      </w:r>
    </w:p>
    <w:p w:rsidR="00FB1389" w:rsidRPr="00D05EBD" w:rsidRDefault="00FB1389" w:rsidP="00AE640B">
      <w:pPr>
        <w:spacing w:line="480" w:lineRule="auto"/>
        <w:jc w:val="both"/>
        <w:rPr>
          <w:rFonts w:cs="Times New Roman"/>
          <w:sz w:val="24"/>
          <w:szCs w:val="24"/>
        </w:rPr>
      </w:pPr>
      <w:r w:rsidRPr="00D05EBD">
        <w:rPr>
          <w:rFonts w:cs="Times New Roman"/>
          <w:sz w:val="24"/>
          <w:szCs w:val="24"/>
        </w:rPr>
        <w:tab/>
        <w:t xml:space="preserve">Once participants clicked on the link to the questionnaire they were asked to generate a unique identification code. After, they answered some questions about the extent to which they had exerted self-control during their working day. Then they answered some questions about their mood, their physical and mental energy, and the extent to which they experienced emotional exhaustion at their jobs on that day. Later, they answered some questions about their consumption of sugar during the day and the quality of their sleep during the previous night. </w:t>
      </w:r>
      <w:r w:rsidR="007A1632" w:rsidRPr="00D05EBD">
        <w:rPr>
          <w:rFonts w:cs="Times New Roman"/>
          <w:sz w:val="24"/>
          <w:szCs w:val="24"/>
        </w:rPr>
        <w:t>Finally,</w:t>
      </w:r>
      <w:r w:rsidRPr="00D05EBD">
        <w:rPr>
          <w:rFonts w:cs="Times New Roman"/>
          <w:sz w:val="24"/>
          <w:szCs w:val="24"/>
        </w:rPr>
        <w:t xml:space="preserve"> some demographics were collected (gender, age, whether they were native English speakers, and the time that they arrived and left from work). After answering the questions, participants were redirected to </w:t>
      </w:r>
      <w:proofErr w:type="spellStart"/>
      <w:r w:rsidRPr="00D05EBD">
        <w:rPr>
          <w:rFonts w:cs="Times New Roman"/>
          <w:sz w:val="24"/>
          <w:szCs w:val="24"/>
        </w:rPr>
        <w:t>Inquisit</w:t>
      </w:r>
      <w:proofErr w:type="spellEnd"/>
      <w:r w:rsidRPr="00973AEB">
        <w:rPr>
          <w:rStyle w:val="Refdenotaalpie"/>
        </w:rPr>
        <w:footnoteReference w:id="32"/>
      </w:r>
      <w:r w:rsidRPr="00D05EBD">
        <w:rPr>
          <w:rFonts w:cs="Times New Roman"/>
          <w:sz w:val="24"/>
          <w:szCs w:val="24"/>
        </w:rPr>
        <w:t xml:space="preserve"> where they were asked to complete a Stroop colour task. At the end of the Stroop task participants were fully debriefed and thanked for their participation.</w:t>
      </w:r>
    </w:p>
    <w:p w:rsidR="00FB1389" w:rsidRPr="00D05EBD" w:rsidRDefault="00FB1389" w:rsidP="00AE640B">
      <w:pPr>
        <w:spacing w:line="480" w:lineRule="auto"/>
        <w:ind w:left="1440" w:firstLine="720"/>
        <w:jc w:val="both"/>
        <w:rPr>
          <w:rFonts w:cs="Times New Roman"/>
          <w:i/>
          <w:sz w:val="24"/>
          <w:szCs w:val="24"/>
        </w:rPr>
      </w:pPr>
      <w:r w:rsidRPr="00D05EBD">
        <w:rPr>
          <w:rFonts w:cs="Times New Roman"/>
          <w:i/>
          <w:sz w:val="24"/>
          <w:szCs w:val="24"/>
        </w:rPr>
        <w:t>4.2.2.3 Materials</w:t>
      </w:r>
    </w:p>
    <w:p w:rsidR="00FB1389" w:rsidRDefault="00FB1389" w:rsidP="00AE640B">
      <w:pPr>
        <w:spacing w:line="480" w:lineRule="auto"/>
        <w:jc w:val="both"/>
        <w:rPr>
          <w:rFonts w:cs="Times New Roman"/>
          <w:sz w:val="24"/>
          <w:szCs w:val="24"/>
        </w:rPr>
      </w:pPr>
      <w:r w:rsidRPr="00D05EBD">
        <w:rPr>
          <w:rFonts w:cs="Times New Roman"/>
          <w:sz w:val="24"/>
          <w:szCs w:val="24"/>
        </w:rPr>
        <w:tab/>
        <w:t xml:space="preserve">1. To explore the extent to which the participants had used self-control, experienced physical and mental fatigue, emotional exhaustion, and changes in their mood, they answered a </w:t>
      </w:r>
      <w:r w:rsidR="007A1632" w:rsidRPr="00D05EBD">
        <w:rPr>
          <w:rFonts w:cs="Times New Roman"/>
          <w:sz w:val="24"/>
          <w:szCs w:val="24"/>
        </w:rPr>
        <w:t>questionnaire comprising</w:t>
      </w:r>
      <w:r w:rsidRPr="00D05EBD">
        <w:rPr>
          <w:rFonts w:cs="Times New Roman"/>
          <w:sz w:val="24"/>
          <w:szCs w:val="24"/>
        </w:rPr>
        <w:t xml:space="preserve"> four different measures exploring each of these aspects.</w:t>
      </w:r>
    </w:p>
    <w:p w:rsidR="00A47EE2" w:rsidRDefault="00A47EE2" w:rsidP="00AE640B">
      <w:pPr>
        <w:spacing w:line="480" w:lineRule="auto"/>
        <w:jc w:val="both"/>
        <w:rPr>
          <w:rFonts w:cs="Times New Roman"/>
          <w:sz w:val="24"/>
          <w:szCs w:val="24"/>
        </w:rPr>
      </w:pPr>
    </w:p>
    <w:p w:rsidR="00A47EE2" w:rsidRPr="00D05EBD" w:rsidRDefault="00A47EE2" w:rsidP="00AE640B">
      <w:pPr>
        <w:spacing w:line="480" w:lineRule="auto"/>
        <w:jc w:val="both"/>
        <w:rPr>
          <w:rFonts w:cs="Times New Roman"/>
          <w:sz w:val="24"/>
          <w:szCs w:val="24"/>
        </w:rPr>
      </w:pPr>
    </w:p>
    <w:p w:rsidR="00FB1389" w:rsidRPr="00D05EBD" w:rsidRDefault="00FB1389" w:rsidP="00AE640B">
      <w:pPr>
        <w:spacing w:line="480" w:lineRule="auto"/>
        <w:jc w:val="both"/>
        <w:rPr>
          <w:rFonts w:cs="Times New Roman"/>
          <w:sz w:val="24"/>
          <w:szCs w:val="24"/>
        </w:rPr>
      </w:pPr>
      <w:r w:rsidRPr="00D05EBD">
        <w:rPr>
          <w:rFonts w:cs="Times New Roman"/>
          <w:i/>
          <w:sz w:val="24"/>
          <w:szCs w:val="24"/>
        </w:rPr>
        <w:lastRenderedPageBreak/>
        <w:tab/>
        <w:t xml:space="preserve">a) New measure of the use of self-control during the working day </w:t>
      </w:r>
    </w:p>
    <w:p w:rsidR="00FB1389" w:rsidRPr="00D05EBD" w:rsidRDefault="00FB1389" w:rsidP="00AE640B">
      <w:pPr>
        <w:spacing w:line="480" w:lineRule="auto"/>
        <w:ind w:firstLine="720"/>
        <w:jc w:val="both"/>
        <w:rPr>
          <w:sz w:val="24"/>
          <w:szCs w:val="24"/>
        </w:rPr>
      </w:pPr>
      <w:r w:rsidRPr="00D05EBD">
        <w:rPr>
          <w:sz w:val="24"/>
          <w:szCs w:val="24"/>
        </w:rPr>
        <w:t>A</w:t>
      </w:r>
      <w:r w:rsidRPr="00D05EBD">
        <w:rPr>
          <w:rFonts w:cs="Times New Roman"/>
          <w:sz w:val="24"/>
          <w:szCs w:val="24"/>
        </w:rPr>
        <w:t xml:space="preserve"> modified version of the 13 item Brief Self-Control Scale (BSCS; </w:t>
      </w:r>
      <w:r w:rsidR="00B06E70">
        <w:rPr>
          <w:rFonts w:cs="Times New Roman"/>
          <w:sz w:val="24"/>
          <w:szCs w:val="24"/>
        </w:rPr>
        <w:fldChar w:fldCharType="begin" w:fldLock="1"/>
      </w:r>
      <w:r w:rsidR="00A15BB9">
        <w:rPr>
          <w:rFonts w:cs="Times New Roman"/>
          <w:sz w:val="24"/>
          <w:szCs w:val="24"/>
        </w:rPr>
        <w:instrText>ADDIN CSL_CITATION { "citationItems" : [ { "id" : "ITEM-1", "itemData" : { "DOI" : "10.1111/j.0022-3506.2004.00263.x", "ISBN" : "0022-3506", "ISSN" : "0022-3506", "PMID" : "15016066", "abstract" : "What good is self-control? We incorporated a new measure of individual differences in self-control into two large investigations of a broad spectrum of behaviors. The new scale showed good internal consistency and retest reliability. Higher scores on self-control correlated with a higher grade point average, better adjustment (fewer reports of psychopathology, higher self-esteem), less binge eating and alcohol abuse, better relationships and interpersonal skills, secure attachment, and more optimal emotional responses. Tests for curvilinearity failed to indicate any drawbacks of so-called overcontrol, and the positive effects remained after controlling for social desirability. Low self-control is thus a significant risk factor for a broad range of personal and interpersonal problems.", "author" : [ { "dropping-particle" : "", "family" : "Tangney", "given" : "June P", "non-dropping-particle" : "", "parse-names" : false, "suffix" : "" }, { "dropping-particle" : "", "family" : "Baumeister", "given" : "Roy F", "non-dropping-particle" : "", "parse-names" : false, "suffix" : "" }, { "dropping-particle" : "", "family" : "Boone", "given" : "Angie Luzio", "non-dropping-particle" : "", "parse-names" : false, "suffix" : "" } ], "container-title" : "Journal of personality", "id" : "ITEM-1", "issue" : "2", "issued" : { "date-parts" : [ [ "2004" ] ] }, "page" : "271-324", "publisher" : "Blackwell Publishing", "title" : "High self-control predicts good adjustment, less pathology, better grades, and interpersonal success.", "type" : "article-journal", "volume" : "72" }, "uris" : [ "http://www.mendeley.com/documents/?uuid=2e111bc3-8408-30ca-96ac-043d94e533a8" ] } ], "mendeley" : { "formattedCitation" : "(Tangney et al., 2004)", "manualFormatting" : "Tangney et al., 2004)", "plainTextFormattedCitation" : "(Tangney et al., 2004)", "previouslyFormattedCitation" : "(Tangney et al., 2004)" }, "properties" : { "noteIndex" : 0 }, "schema" : "https://github.com/citation-style-language/schema/raw/master/csl-citation.json" }</w:instrText>
      </w:r>
      <w:r w:rsidR="00B06E70">
        <w:rPr>
          <w:rFonts w:cs="Times New Roman"/>
          <w:sz w:val="24"/>
          <w:szCs w:val="24"/>
        </w:rPr>
        <w:fldChar w:fldCharType="separate"/>
      </w:r>
      <w:r w:rsidR="00A15BB9" w:rsidRPr="00A15BB9">
        <w:rPr>
          <w:rFonts w:cs="Times New Roman"/>
          <w:noProof/>
          <w:sz w:val="24"/>
          <w:szCs w:val="24"/>
        </w:rPr>
        <w:t>Tangney et al., 2004)</w:t>
      </w:r>
      <w:r w:rsidR="00B06E70">
        <w:rPr>
          <w:rFonts w:cs="Times New Roman"/>
          <w:sz w:val="24"/>
          <w:szCs w:val="24"/>
        </w:rPr>
        <w:fldChar w:fldCharType="end"/>
      </w:r>
      <w:r w:rsidRPr="00D05EBD">
        <w:rPr>
          <w:rFonts w:cs="Times New Roman"/>
          <w:sz w:val="24"/>
          <w:szCs w:val="24"/>
        </w:rPr>
        <w:t xml:space="preserve"> was used to measure the extent to which people tried to exert self-control during their working day. The items conserved the same format and content as the items in the BSCS with the addition of specifically referring to self-control exerted on the current day (e.g., </w:t>
      </w:r>
      <w:r w:rsidRPr="00D05EBD">
        <w:rPr>
          <w:rFonts w:cs="Times New Roman"/>
          <w:i/>
          <w:sz w:val="24"/>
          <w:szCs w:val="24"/>
        </w:rPr>
        <w:t>I had to resist temptation today, I often acted without thinking through all the alternatives today</w:t>
      </w:r>
      <w:r w:rsidRPr="00D05EBD">
        <w:rPr>
          <w:rFonts w:cs="Times New Roman"/>
          <w:sz w:val="24"/>
          <w:szCs w:val="24"/>
        </w:rPr>
        <w:t>) and were answered on a 5-point Likert scale from 1 (not at all) to 5 (very much). This scale proved to have adequate internal reliability α = .71.</w:t>
      </w:r>
    </w:p>
    <w:p w:rsidR="00FB1389" w:rsidRPr="00D05EBD" w:rsidRDefault="00FB1389" w:rsidP="00AE640B">
      <w:pPr>
        <w:spacing w:line="480" w:lineRule="auto"/>
        <w:jc w:val="both"/>
        <w:rPr>
          <w:rFonts w:cs="Times New Roman"/>
          <w:i/>
          <w:sz w:val="24"/>
          <w:szCs w:val="24"/>
        </w:rPr>
      </w:pPr>
      <w:r w:rsidRPr="00D05EBD">
        <w:rPr>
          <w:rFonts w:cs="Times New Roman"/>
          <w:i/>
          <w:sz w:val="24"/>
          <w:szCs w:val="24"/>
        </w:rPr>
        <w:tab/>
        <w:t>b) Mood</w:t>
      </w:r>
    </w:p>
    <w:p w:rsidR="00FB1389" w:rsidRDefault="00FB1389" w:rsidP="00AE640B">
      <w:pPr>
        <w:spacing w:line="480" w:lineRule="auto"/>
        <w:ind w:firstLine="720"/>
        <w:jc w:val="both"/>
        <w:rPr>
          <w:rFonts w:cs="Times New Roman"/>
          <w:sz w:val="24"/>
          <w:szCs w:val="24"/>
        </w:rPr>
      </w:pPr>
      <w:r w:rsidRPr="00D05EBD">
        <w:rPr>
          <w:rFonts w:cs="Times New Roman"/>
          <w:sz w:val="24"/>
          <w:szCs w:val="24"/>
        </w:rPr>
        <w:t xml:space="preserve">Mood was measured using a 16-item scale previously used by </w:t>
      </w:r>
      <w:r w:rsidR="00B06E70">
        <w:rPr>
          <w:rFonts w:cs="Times New Roman"/>
          <w:sz w:val="24"/>
          <w:szCs w:val="24"/>
        </w:rPr>
        <w:fldChar w:fldCharType="begin" w:fldLock="1"/>
      </w:r>
      <w:r w:rsidR="0054678C">
        <w:rPr>
          <w:rFonts w:cs="Times New Roman"/>
          <w:sz w:val="24"/>
          <w:szCs w:val="24"/>
        </w:rPr>
        <w:instrText>ADDIN CSL_CITATION { "citationItems" : [ { "id" : "ITEM-1", "itemData" : { "DOI" : "10.1037/a0024368", "ISBN" : "1939-1854(Electronic);0021-9010(Print)", "ISSN" : "1939-1854", "PMID" : "21744938", "abstract" : "The authors consider how multiple dimensions of affect relate to individual proactivity. They conceptualized proactivity within a goal-regulatory framework that encompasses 4 elements: envisioning, planning, enacting, and reflecting. In a study of call center agents (N = 225), evidence supported the distinctiveness of the 4 elements of proactive goal regulation. Findings further indicated that high-activated positive mood was positively associated with all elements of proactive goal regulation, and low-activated negative mood was positively associated with envisioning proactivity. These findings were further supported in a longitudinal investigation of career-related proactivity amongst medical students (N = 250). The role of affective experience in proactivity is more nuanced than previously assumed.", "author" : [ { "dropping-particle" : "", "family" : "Bindl", "given" : "Uta K", "non-dropping-particle" : "", "parse-names" : false, "suffix" : "" }, { "dropping-particle" : "", "family" : "Parker", "given" : "Sharon K", "non-dropping-particle" : "", "parse-names" : false, "suffix" : "" }, { "dropping-particle" : "", "family" : "Totterdell", "given" : "Peter", "non-dropping-particle" : "", "parse-names" : false, "suffix" : "" }, { "dropping-particle" : "", "family" : "Hagger-Johnson", "given" : "Gareth", "non-dropping-particle" : "", "parse-names" : false, "suffix" : "" } ], "container-title" : "The Journal of applied psychology", "id" : "ITEM-1", "issue" : "1", "issued" : { "date-parts" : [ [ "2012" ] ] }, "page" : "134-50", "title" : "Fuel of the self-starter: how mood relates to proactive goal regulation.", "type" : "article-journal", "volume" : "97" }, "uris" : [ "http://www.mendeley.com/documents/?uuid=d3c1ef36-a583-3fec-a720-89838450d7d2" ] } ], "mendeley" : { "formattedCitation" : "(Bindl, Parker, Totterdell, &amp; Hagger-Johnson, 2012)", "manualFormatting" : "Bindl, Parker, Totterdell, and Hagger-Johnson (2012)", "plainTextFormattedCitation" : "(Bindl, Parker, Totterdell, &amp; Hagger-Johnson, 2012)", "previouslyFormattedCitation" : "(Bindl, Parker, Totterdell, &amp; Hagger-Johnson, 2012)" }, "properties" : { "noteIndex" : 0 }, "schema" : "https://github.com/citation-style-language/schema/raw/master/csl-citation.json" }</w:instrText>
      </w:r>
      <w:r w:rsidR="00B06E70">
        <w:rPr>
          <w:rFonts w:cs="Times New Roman"/>
          <w:sz w:val="24"/>
          <w:szCs w:val="24"/>
        </w:rPr>
        <w:fldChar w:fldCharType="separate"/>
      </w:r>
      <w:r w:rsidR="0054678C">
        <w:rPr>
          <w:rFonts w:cs="Times New Roman"/>
          <w:noProof/>
          <w:sz w:val="24"/>
          <w:szCs w:val="24"/>
        </w:rPr>
        <w:t>Bindl, Parker, Totterdell, and</w:t>
      </w:r>
      <w:r w:rsidR="00612ECB" w:rsidRPr="00612ECB">
        <w:rPr>
          <w:rFonts w:cs="Times New Roman"/>
          <w:noProof/>
          <w:sz w:val="24"/>
          <w:szCs w:val="24"/>
        </w:rPr>
        <w:t xml:space="preserve"> Hagger-Johnson </w:t>
      </w:r>
      <w:r w:rsidR="0054678C">
        <w:rPr>
          <w:rFonts w:cs="Times New Roman"/>
          <w:noProof/>
          <w:sz w:val="24"/>
          <w:szCs w:val="24"/>
        </w:rPr>
        <w:t>(</w:t>
      </w:r>
      <w:r w:rsidR="00612ECB" w:rsidRPr="00612ECB">
        <w:rPr>
          <w:rFonts w:cs="Times New Roman"/>
          <w:noProof/>
          <w:sz w:val="24"/>
          <w:szCs w:val="24"/>
        </w:rPr>
        <w:t>2012)</w:t>
      </w:r>
      <w:r w:rsidR="00B06E70">
        <w:rPr>
          <w:rFonts w:cs="Times New Roman"/>
          <w:sz w:val="24"/>
          <w:szCs w:val="24"/>
        </w:rPr>
        <w:fldChar w:fldCharType="end"/>
      </w:r>
      <w:r w:rsidRPr="00D05EBD">
        <w:rPr>
          <w:rFonts w:cs="Times New Roman"/>
          <w:sz w:val="24"/>
          <w:szCs w:val="24"/>
        </w:rPr>
        <w:t xml:space="preserve">. The instructions of the scale were as follow: </w:t>
      </w:r>
      <w:r w:rsidRPr="00D05EBD">
        <w:rPr>
          <w:i/>
          <w:sz w:val="24"/>
          <w:szCs w:val="24"/>
        </w:rPr>
        <w:t>Please think about your day up to this point and indicate how have you felt today</w:t>
      </w:r>
      <w:r w:rsidRPr="00D05EBD">
        <w:rPr>
          <w:rFonts w:cs="Times New Roman"/>
          <w:i/>
          <w:sz w:val="24"/>
          <w:szCs w:val="24"/>
        </w:rPr>
        <w:t xml:space="preserve">. </w:t>
      </w:r>
      <w:r w:rsidRPr="00D05EBD">
        <w:rPr>
          <w:rFonts w:cs="Times New Roman"/>
          <w:sz w:val="24"/>
          <w:szCs w:val="24"/>
        </w:rPr>
        <w:t xml:space="preserve">Participants were asked to indicate on a 7-point Likert scale ranging from 1 = never to 7 = always, how they felt on each one of the 16 items. The items explored mood in four different dimensions: </w:t>
      </w:r>
      <w:proofErr w:type="spellStart"/>
      <w:r w:rsidRPr="00D05EBD">
        <w:rPr>
          <w:rFonts w:cs="Times New Roman"/>
          <w:sz w:val="24"/>
          <w:szCs w:val="24"/>
        </w:rPr>
        <w:t>i</w:t>
      </w:r>
      <w:proofErr w:type="spellEnd"/>
      <w:r w:rsidRPr="00D05EBD">
        <w:rPr>
          <w:rFonts w:cs="Times New Roman"/>
          <w:sz w:val="24"/>
          <w:szCs w:val="24"/>
        </w:rPr>
        <w:t>) high activated positive mood (HAPM) with the items "</w:t>
      </w:r>
      <w:r w:rsidRPr="00D05EBD">
        <w:rPr>
          <w:rFonts w:cs="Times New Roman"/>
          <w:i/>
          <w:sz w:val="24"/>
          <w:szCs w:val="24"/>
        </w:rPr>
        <w:t>enthusiastic</w:t>
      </w:r>
      <w:r w:rsidRPr="00D05EBD">
        <w:rPr>
          <w:rFonts w:cs="Times New Roman"/>
          <w:sz w:val="24"/>
          <w:szCs w:val="24"/>
        </w:rPr>
        <w:t>", "</w:t>
      </w:r>
      <w:r w:rsidRPr="00D05EBD">
        <w:rPr>
          <w:rFonts w:cs="Times New Roman"/>
          <w:i/>
          <w:sz w:val="24"/>
          <w:szCs w:val="24"/>
        </w:rPr>
        <w:t>excited</w:t>
      </w:r>
      <w:r w:rsidRPr="00D05EBD">
        <w:rPr>
          <w:rFonts w:cs="Times New Roman"/>
          <w:sz w:val="24"/>
          <w:szCs w:val="24"/>
        </w:rPr>
        <w:t>", "</w:t>
      </w:r>
      <w:r w:rsidRPr="00D05EBD">
        <w:rPr>
          <w:rFonts w:cs="Times New Roman"/>
          <w:i/>
          <w:sz w:val="24"/>
          <w:szCs w:val="24"/>
        </w:rPr>
        <w:t>inspired</w:t>
      </w:r>
      <w:r w:rsidRPr="00D05EBD">
        <w:rPr>
          <w:rFonts w:cs="Times New Roman"/>
          <w:sz w:val="24"/>
          <w:szCs w:val="24"/>
        </w:rPr>
        <w:t>" and "</w:t>
      </w:r>
      <w:r w:rsidRPr="00D05EBD">
        <w:rPr>
          <w:rFonts w:cs="Times New Roman"/>
          <w:i/>
          <w:sz w:val="24"/>
          <w:szCs w:val="24"/>
        </w:rPr>
        <w:t>joyful</w:t>
      </w:r>
      <w:r w:rsidRPr="00D05EBD">
        <w:rPr>
          <w:rFonts w:cs="Times New Roman"/>
          <w:sz w:val="24"/>
          <w:szCs w:val="24"/>
        </w:rPr>
        <w:t>", α = .82; ii) low-activated positive mood (LAPM) with the items "</w:t>
      </w:r>
      <w:r w:rsidRPr="00D05EBD">
        <w:rPr>
          <w:rFonts w:cs="Times New Roman"/>
          <w:i/>
          <w:sz w:val="24"/>
          <w:szCs w:val="24"/>
        </w:rPr>
        <w:t>at ease</w:t>
      </w:r>
      <w:r w:rsidRPr="00D05EBD">
        <w:rPr>
          <w:rFonts w:cs="Times New Roman"/>
          <w:sz w:val="24"/>
          <w:szCs w:val="24"/>
        </w:rPr>
        <w:t>", "</w:t>
      </w:r>
      <w:r w:rsidRPr="00D05EBD">
        <w:rPr>
          <w:rFonts w:cs="Times New Roman"/>
          <w:i/>
          <w:sz w:val="24"/>
          <w:szCs w:val="24"/>
        </w:rPr>
        <w:t>calm</w:t>
      </w:r>
      <w:r w:rsidRPr="00D05EBD">
        <w:rPr>
          <w:rFonts w:cs="Times New Roman"/>
          <w:sz w:val="24"/>
          <w:szCs w:val="24"/>
        </w:rPr>
        <w:t>", "</w:t>
      </w:r>
      <w:r w:rsidRPr="00D05EBD">
        <w:rPr>
          <w:rFonts w:cs="Times New Roman"/>
          <w:i/>
          <w:sz w:val="24"/>
          <w:szCs w:val="24"/>
        </w:rPr>
        <w:t>laid-back</w:t>
      </w:r>
      <w:r w:rsidRPr="00D05EBD">
        <w:rPr>
          <w:rFonts w:cs="Times New Roman"/>
          <w:sz w:val="24"/>
          <w:szCs w:val="24"/>
        </w:rPr>
        <w:t>" and, "</w:t>
      </w:r>
      <w:r w:rsidRPr="00D05EBD">
        <w:rPr>
          <w:rFonts w:cs="Times New Roman"/>
          <w:i/>
          <w:sz w:val="24"/>
          <w:szCs w:val="24"/>
        </w:rPr>
        <w:t>relaxed</w:t>
      </w:r>
      <w:r w:rsidRPr="00D05EBD">
        <w:rPr>
          <w:rFonts w:cs="Times New Roman"/>
          <w:sz w:val="24"/>
          <w:szCs w:val="24"/>
        </w:rPr>
        <w:t>", α = .86; iii) high-activated negative mood (HANM) with the items "</w:t>
      </w:r>
      <w:r w:rsidRPr="00D05EBD">
        <w:rPr>
          <w:rFonts w:cs="Times New Roman"/>
          <w:i/>
          <w:sz w:val="24"/>
          <w:szCs w:val="24"/>
        </w:rPr>
        <w:t>anxious</w:t>
      </w:r>
      <w:r w:rsidRPr="00D05EBD">
        <w:rPr>
          <w:rFonts w:cs="Times New Roman"/>
          <w:sz w:val="24"/>
          <w:szCs w:val="24"/>
        </w:rPr>
        <w:t>", "</w:t>
      </w:r>
      <w:r w:rsidRPr="00D05EBD">
        <w:rPr>
          <w:rFonts w:cs="Times New Roman"/>
          <w:i/>
          <w:sz w:val="24"/>
          <w:szCs w:val="24"/>
        </w:rPr>
        <w:t>nervous</w:t>
      </w:r>
      <w:r w:rsidRPr="00D05EBD">
        <w:rPr>
          <w:rFonts w:cs="Times New Roman"/>
          <w:sz w:val="24"/>
          <w:szCs w:val="24"/>
        </w:rPr>
        <w:t>", "</w:t>
      </w:r>
      <w:r w:rsidRPr="00D05EBD">
        <w:rPr>
          <w:rFonts w:cs="Times New Roman"/>
          <w:i/>
          <w:sz w:val="24"/>
          <w:szCs w:val="24"/>
        </w:rPr>
        <w:t>tense</w:t>
      </w:r>
      <w:r w:rsidRPr="00D05EBD">
        <w:rPr>
          <w:rFonts w:cs="Times New Roman"/>
          <w:sz w:val="24"/>
          <w:szCs w:val="24"/>
        </w:rPr>
        <w:t>" and, "</w:t>
      </w:r>
      <w:r w:rsidRPr="00D05EBD">
        <w:rPr>
          <w:rFonts w:cs="Times New Roman"/>
          <w:i/>
          <w:sz w:val="24"/>
          <w:szCs w:val="24"/>
        </w:rPr>
        <w:t>worried</w:t>
      </w:r>
      <w:r w:rsidRPr="00D05EBD">
        <w:rPr>
          <w:rFonts w:cs="Times New Roman"/>
          <w:sz w:val="24"/>
          <w:szCs w:val="24"/>
        </w:rPr>
        <w:t>", α = .91 and; iv) low-activated negative mood (LANM) with the items "</w:t>
      </w:r>
      <w:r w:rsidRPr="00D05EBD">
        <w:rPr>
          <w:rFonts w:cs="Times New Roman"/>
          <w:i/>
          <w:sz w:val="24"/>
          <w:szCs w:val="24"/>
        </w:rPr>
        <w:t>dejected</w:t>
      </w:r>
      <w:r w:rsidRPr="00D05EBD">
        <w:rPr>
          <w:rFonts w:cs="Times New Roman"/>
          <w:sz w:val="24"/>
          <w:szCs w:val="24"/>
        </w:rPr>
        <w:t>", "</w:t>
      </w:r>
      <w:r w:rsidRPr="00D05EBD">
        <w:rPr>
          <w:rFonts w:cs="Times New Roman"/>
          <w:i/>
          <w:sz w:val="24"/>
          <w:szCs w:val="24"/>
        </w:rPr>
        <w:t>depressed</w:t>
      </w:r>
      <w:r w:rsidRPr="00D05EBD">
        <w:rPr>
          <w:rFonts w:cs="Times New Roman"/>
          <w:sz w:val="24"/>
          <w:szCs w:val="24"/>
        </w:rPr>
        <w:t>", "</w:t>
      </w:r>
      <w:r w:rsidRPr="00D05EBD">
        <w:rPr>
          <w:rFonts w:cs="Times New Roman"/>
          <w:i/>
          <w:sz w:val="24"/>
          <w:szCs w:val="24"/>
        </w:rPr>
        <w:t>despondent</w:t>
      </w:r>
      <w:r w:rsidRPr="00D05EBD">
        <w:rPr>
          <w:rFonts w:cs="Times New Roman"/>
          <w:sz w:val="24"/>
          <w:szCs w:val="24"/>
        </w:rPr>
        <w:t>" and, "</w:t>
      </w:r>
      <w:r w:rsidRPr="00D05EBD">
        <w:rPr>
          <w:rFonts w:cs="Times New Roman"/>
          <w:i/>
          <w:sz w:val="24"/>
          <w:szCs w:val="24"/>
        </w:rPr>
        <w:t>hopeless</w:t>
      </w:r>
      <w:r w:rsidRPr="00D05EBD">
        <w:rPr>
          <w:rFonts w:cs="Times New Roman"/>
          <w:sz w:val="24"/>
          <w:szCs w:val="24"/>
        </w:rPr>
        <w:t xml:space="preserve">", α = .86. </w:t>
      </w:r>
    </w:p>
    <w:p w:rsidR="00A45A76" w:rsidRDefault="00A45A76" w:rsidP="00AE640B">
      <w:pPr>
        <w:spacing w:line="480" w:lineRule="auto"/>
        <w:ind w:firstLine="720"/>
        <w:jc w:val="both"/>
        <w:rPr>
          <w:rFonts w:cs="Times New Roman"/>
          <w:sz w:val="24"/>
          <w:szCs w:val="24"/>
        </w:rPr>
      </w:pPr>
    </w:p>
    <w:p w:rsidR="00A45A76" w:rsidRPr="00D05EBD" w:rsidRDefault="00A45A76" w:rsidP="00AE640B">
      <w:pPr>
        <w:spacing w:line="480" w:lineRule="auto"/>
        <w:ind w:firstLine="720"/>
        <w:jc w:val="both"/>
        <w:rPr>
          <w:rFonts w:cs="Times New Roman"/>
          <w:sz w:val="24"/>
          <w:szCs w:val="24"/>
        </w:rPr>
      </w:pPr>
    </w:p>
    <w:p w:rsidR="00FB1389" w:rsidRPr="00D05EBD" w:rsidRDefault="00FB1389" w:rsidP="00AE640B">
      <w:pPr>
        <w:spacing w:line="480" w:lineRule="auto"/>
        <w:jc w:val="both"/>
        <w:rPr>
          <w:rFonts w:cs="Times New Roman"/>
          <w:sz w:val="24"/>
          <w:szCs w:val="24"/>
        </w:rPr>
      </w:pPr>
      <w:r w:rsidRPr="00D05EBD">
        <w:rPr>
          <w:rFonts w:cs="Times New Roman"/>
          <w:i/>
          <w:sz w:val="24"/>
          <w:szCs w:val="24"/>
        </w:rPr>
        <w:lastRenderedPageBreak/>
        <w:tab/>
        <w:t>c) Emotional exhaustion</w:t>
      </w:r>
      <w:r w:rsidRPr="00D05EBD">
        <w:rPr>
          <w:rFonts w:cs="Times New Roman"/>
          <w:sz w:val="24"/>
          <w:szCs w:val="24"/>
        </w:rPr>
        <w:t xml:space="preserve">  </w:t>
      </w: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t xml:space="preserve">Emotional exhaustion was measured using the 9-item </w:t>
      </w:r>
      <w:proofErr w:type="spellStart"/>
      <w:r w:rsidRPr="00D05EBD">
        <w:rPr>
          <w:rFonts w:cs="Times New Roman"/>
          <w:sz w:val="24"/>
          <w:szCs w:val="24"/>
        </w:rPr>
        <w:t>Maslach</w:t>
      </w:r>
      <w:proofErr w:type="spellEnd"/>
      <w:r w:rsidRPr="00D05EBD">
        <w:rPr>
          <w:rFonts w:cs="Times New Roman"/>
          <w:sz w:val="24"/>
          <w:szCs w:val="24"/>
        </w:rPr>
        <w:t xml:space="preserve"> Burnout Inventory </w:t>
      </w:r>
      <w:r w:rsidR="00B06E70">
        <w:rPr>
          <w:rFonts w:cs="Times New Roman"/>
          <w:sz w:val="24"/>
          <w:szCs w:val="24"/>
        </w:rPr>
        <w:fldChar w:fldCharType="begin" w:fldLock="1"/>
      </w:r>
      <w:r w:rsidR="005F0EB4">
        <w:rPr>
          <w:rFonts w:cs="Times New Roman"/>
          <w:sz w:val="24"/>
          <w:szCs w:val="24"/>
        </w:rPr>
        <w:instrText>ADDIN CSL_CITATION { "citationItems" : [ { "id" : "ITEM-1", "itemData" : { "author" : [ { "dropping-particle" : "", "family" : "Maslach", "given" : "C", "non-dropping-particle" : "", "parse-names" : false, "suffix" : "" }, { "dropping-particle" : "", "family" : "Jackson", "given" : "S E", "non-dropping-particle" : "", "parse-names" : false, "suffix" : "" }, { "dropping-particle" : "", "family" : "Leiter", "given" : "M P", "non-dropping-particle" : "", "parse-names" : false, "suffix" : "" } ], "id" : "ITEM-1", "issue" : "January", "issued" : { "date-parts" : [ [ "1996" ] ] }, "number-of-pages" : "191-218", "title" : "Evaluating Stress: A Book of Resources", "type" : "book" }, "uris" : [ "http://www.mendeley.com/documents/?uuid=e81442d9-eec1-49ec-875e-e9f6bd673cfa" ] } ], "mendeley" : { "formattedCitation" : "(Maslach et al., 1996)", "plainTextFormattedCitation" : "(Maslach et al., 1996)", "previouslyFormattedCitation" : "(Maslach et al., 1996)" }, "properties" : { "noteIndex" : 0 }, "schema" : "https://github.com/citation-style-language/schema/raw/master/csl-citation.json" }</w:instrText>
      </w:r>
      <w:r w:rsidR="00B06E70">
        <w:rPr>
          <w:rFonts w:cs="Times New Roman"/>
          <w:sz w:val="24"/>
          <w:szCs w:val="24"/>
        </w:rPr>
        <w:fldChar w:fldCharType="separate"/>
      </w:r>
      <w:r w:rsidR="005F0EB4" w:rsidRPr="005F0EB4">
        <w:rPr>
          <w:rFonts w:cs="Times New Roman"/>
          <w:noProof/>
          <w:sz w:val="24"/>
          <w:szCs w:val="24"/>
        </w:rPr>
        <w:t>(Maslach et al., 1996)</w:t>
      </w:r>
      <w:r w:rsidR="00B06E70">
        <w:rPr>
          <w:rFonts w:cs="Times New Roman"/>
          <w:sz w:val="24"/>
          <w:szCs w:val="24"/>
        </w:rPr>
        <w:fldChar w:fldCharType="end"/>
      </w:r>
      <w:r w:rsidRPr="00D05EBD">
        <w:rPr>
          <w:rFonts w:cs="Times New Roman"/>
          <w:sz w:val="24"/>
          <w:szCs w:val="24"/>
        </w:rPr>
        <w:t xml:space="preserve"> emotional exhaustion subscale. Emotional exhaustion measures the feelings of being exhausted by one’s work. This subscale includes items like “</w:t>
      </w:r>
      <w:r w:rsidRPr="00D05EBD">
        <w:rPr>
          <w:rFonts w:cs="Times New Roman"/>
          <w:i/>
          <w:sz w:val="24"/>
          <w:szCs w:val="24"/>
        </w:rPr>
        <w:t>I feel emotionally drained from my work</w:t>
      </w:r>
      <w:r w:rsidRPr="00D05EBD">
        <w:rPr>
          <w:rFonts w:cs="Times New Roman"/>
          <w:sz w:val="24"/>
          <w:szCs w:val="24"/>
        </w:rPr>
        <w:t xml:space="preserve">” and participants are asked to respond on a 7-point Likert scale ranging from 0 (never) to 7 (every day). The scale was adapted to fit the emotional exhaustion experienced by participants during their working day (e.g. </w:t>
      </w:r>
      <w:r w:rsidRPr="00D05EBD">
        <w:rPr>
          <w:rFonts w:cs="Times New Roman"/>
          <w:i/>
          <w:sz w:val="24"/>
          <w:szCs w:val="24"/>
        </w:rPr>
        <w:t>I feel emotionally drained from my work today</w:t>
      </w:r>
      <w:r w:rsidRPr="00D05EBD">
        <w:rPr>
          <w:rFonts w:cs="Times New Roman"/>
          <w:sz w:val="24"/>
          <w:szCs w:val="24"/>
        </w:rPr>
        <w:t>). The scale proved to have good internal consistency α = .88.</w:t>
      </w:r>
    </w:p>
    <w:p w:rsidR="00FB1389" w:rsidRPr="00D05EBD" w:rsidRDefault="00FB1389" w:rsidP="00AE640B">
      <w:pPr>
        <w:spacing w:line="480" w:lineRule="auto"/>
        <w:jc w:val="both"/>
        <w:rPr>
          <w:rFonts w:cs="Times New Roman"/>
          <w:i/>
          <w:sz w:val="24"/>
          <w:szCs w:val="24"/>
        </w:rPr>
      </w:pPr>
      <w:r w:rsidRPr="00D05EBD">
        <w:rPr>
          <w:rFonts w:cs="Times New Roman"/>
          <w:i/>
          <w:sz w:val="24"/>
          <w:szCs w:val="24"/>
        </w:rPr>
        <w:tab/>
        <w:t>d) Fatigue</w:t>
      </w: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t xml:space="preserve">Physical and mental fatigue was measured using the two items developed by </w:t>
      </w:r>
      <w:r w:rsidR="00B06E70">
        <w:rPr>
          <w:rFonts w:cs="Times New Roman"/>
          <w:sz w:val="24"/>
          <w:szCs w:val="24"/>
        </w:rPr>
        <w:fldChar w:fldCharType="begin" w:fldLock="1"/>
      </w:r>
      <w:r w:rsidR="005F0EB4">
        <w:rPr>
          <w:rFonts w:cs="Times New Roman"/>
          <w:sz w:val="24"/>
          <w:szCs w:val="24"/>
        </w:rPr>
        <w:instrText>ADDIN CSL_CITATION { "citationItems" : [ { "id" : "ITEM-1", "itemData" : { "ISSN" : "0141-0768", "PMID" : "2231574", "abstract" : "Subjective perceptions of mental and physical energy were measured by the use of visual analogue scales (VAS) over the course of a week in a group of normal volunteers. These variables were found to correlate, highly both with one another and with assessments of vigour and fatigue measured with a standard adjectival format. In addition, high correlations were found with a measure of positive affect. These five variables also displayed characteristic patterns of diurnal variation. Physical and mental energy, vigour and positive affect were highest in the morning, falling progressively and significantly over the day. In contrast, fatigue showed the opposite pattern. Extraversion showed positive correlations with physical and mental energy, vigour and positive affect, and negative correlations with fatigue and negative affect, most being significant (P less than 0.05). Conversely, neuroticism showed a negative correlation with the first four energy variables but was positively related to fatigue and negative affect, most correlations again being significant. Physical and mental energy, vigour and positive affect also showed a positive correlation (P less than 0.01) with a measure of happiness. It is concluded that VAS-derived ratings of physical and mental energy are reliable indicators of self-perceived vigour and fatigue. They are easy to record and show sufficient short-term stability to be used in more extensive studies both of well-being and of its physiological correlates.", "author" : [ { "dropping-particle" : "", "family" : "Wood", "given" : "C", "non-dropping-particle" : "", "parse-names" : false, "suffix" : "" }, { "dropping-particle" : "", "family" : "Magnello", "given" : "M E", "non-dropping-particle" : "", "parse-names" : false, "suffix" : "" }, { "dropping-particle" : "", "family" : "Jewell", "given" : "T", "non-dropping-particle" : "", "parse-names" : false, "suffix" : "" } ], "container-title" : "Journal of the Royal Society of Medicine", "id" : "ITEM-1", "issue" : "8", "issued" : { "date-parts" : [ [ "1990" ] ] }, "page" : "486-489", "title" : "Measuring vitality.", "type" : "article-journal", "volume" : "83" }, "uris" : [ "http://www.mendeley.com/documents/?uuid=fbd2c839-a5e6-3268-aeec-dab0e2e5fffb" ] } ], "mendeley" : { "formattedCitation" : "(Wood, Magnello, &amp; Jewell, 1990)", "manualFormatting" : "Wood, Magnello, and Jewell (1990)", "plainTextFormattedCitation" : "(Wood, Magnello, &amp; Jewell, 1990)", "previouslyFormattedCitation" : "(Wood, Magnello, &amp; Jewell, 1990)" }, "properties" : { "noteIndex" : 0 }, "schema" : "https://github.com/citation-style-language/schema/raw/master/csl-citation.json" }</w:instrText>
      </w:r>
      <w:r w:rsidR="00B06E70">
        <w:rPr>
          <w:rFonts w:cs="Times New Roman"/>
          <w:sz w:val="24"/>
          <w:szCs w:val="24"/>
        </w:rPr>
        <w:fldChar w:fldCharType="separate"/>
      </w:r>
      <w:r w:rsidR="005F0EB4">
        <w:rPr>
          <w:rFonts w:cs="Times New Roman"/>
          <w:noProof/>
          <w:sz w:val="24"/>
          <w:szCs w:val="24"/>
        </w:rPr>
        <w:t>Wood, Magnello, and Jewell</w:t>
      </w:r>
      <w:r w:rsidR="005F0EB4" w:rsidRPr="005F0EB4">
        <w:rPr>
          <w:rFonts w:cs="Times New Roman"/>
          <w:noProof/>
          <w:sz w:val="24"/>
          <w:szCs w:val="24"/>
        </w:rPr>
        <w:t xml:space="preserve"> </w:t>
      </w:r>
      <w:r w:rsidR="005F0EB4">
        <w:rPr>
          <w:rFonts w:cs="Times New Roman"/>
          <w:noProof/>
          <w:sz w:val="24"/>
          <w:szCs w:val="24"/>
        </w:rPr>
        <w:t>(</w:t>
      </w:r>
      <w:r w:rsidR="005F0EB4" w:rsidRPr="005F0EB4">
        <w:rPr>
          <w:rFonts w:cs="Times New Roman"/>
          <w:noProof/>
          <w:sz w:val="24"/>
          <w:szCs w:val="24"/>
        </w:rPr>
        <w:t>1990)</w:t>
      </w:r>
      <w:r w:rsidR="00B06E70">
        <w:rPr>
          <w:rFonts w:cs="Times New Roman"/>
          <w:sz w:val="24"/>
          <w:szCs w:val="24"/>
        </w:rPr>
        <w:fldChar w:fldCharType="end"/>
      </w:r>
      <w:r w:rsidRPr="00D05EBD">
        <w:rPr>
          <w:rFonts w:cs="Times New Roman"/>
          <w:sz w:val="24"/>
          <w:szCs w:val="24"/>
        </w:rPr>
        <w:t>. Participants were instructed to indicate on a scale ranging from 0 (</w:t>
      </w:r>
      <w:r w:rsidRPr="00D05EBD">
        <w:rPr>
          <w:rFonts w:cs="Times New Roman"/>
          <w:i/>
          <w:sz w:val="24"/>
          <w:szCs w:val="24"/>
        </w:rPr>
        <w:t>I have no energy at all</w:t>
      </w:r>
      <w:r w:rsidRPr="00D05EBD">
        <w:rPr>
          <w:rFonts w:cs="Times New Roman"/>
          <w:sz w:val="24"/>
          <w:szCs w:val="24"/>
        </w:rPr>
        <w:t>) to 100 (</w:t>
      </w:r>
      <w:r w:rsidRPr="00D05EBD">
        <w:rPr>
          <w:rFonts w:cs="Times New Roman"/>
          <w:i/>
          <w:sz w:val="24"/>
          <w:szCs w:val="24"/>
        </w:rPr>
        <w:t>I am full of energy</w:t>
      </w:r>
      <w:r w:rsidRPr="00D05EBD">
        <w:rPr>
          <w:rFonts w:cs="Times New Roman"/>
          <w:sz w:val="24"/>
          <w:szCs w:val="24"/>
        </w:rPr>
        <w:t xml:space="preserve">) how physically fatigued they were on one item and how mentally fatigue they were on a second item, α = .82.  </w:t>
      </w: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t xml:space="preserve">2. To check if participants’ reports on the questionnaire reflected use of self-control the Stroop Colour Task (Stroop, 1935) was used – our hypothesis was that the self-control resources of participants who reported exerting a lot of self-control during the working day, would likely be depleted and thus they would perform worse on the Stroop task than participants who reported exerting less self-control during the day. Previous research has used the Stroop Task to measure self-control. For example, </w:t>
      </w:r>
      <w:r w:rsidR="00B06E70">
        <w:rPr>
          <w:rFonts w:cs="Times New Roman"/>
          <w:sz w:val="24"/>
          <w:szCs w:val="24"/>
        </w:rPr>
        <w:fldChar w:fldCharType="begin" w:fldLock="1"/>
      </w:r>
      <w:r w:rsidR="009B7AB3">
        <w:rPr>
          <w:rFonts w:cs="Times New Roman"/>
          <w:sz w:val="24"/>
          <w:szCs w:val="24"/>
        </w:rPr>
        <w:instrText>ADDIN CSL_CITATION { "citationItems" : [ { "id" : "ITEM-1", "itemData" : { "DOI" : "10.1016/j.ijpsycho.2008.04.002", "ISBN" : "0167-8760", "ISSN" : "01678760", "PMID" : "18499290", "abstract" : "Participants first performed a scanning task that was weak (fatigue low) or strong (fatigue high) in self-regulatory (inhibitory) demand. They then were presented a cognitive challenge that had a strong regulatory component (the Stroop color-word conflict task) or a weak regulatory component (single-digit mental multiplication) with instructions that they would avoid noise if they attained a moderate performance standard. Analysis of cardiovascular data collected during the two work periods revealed fatigue main effects for systolic blood pressure, diastolic blood pressure, and mean arterial blood pressure. The effects reflected stronger blood pressure responses for High Fatigue participants across work periods and regardless of the character of the challenge presented in work period 2. Results conceptually replicate previous mental fatigue findings, which have shown extension of fatigue influence across cognitive performance domains. At least as importantly, they also extend those findings by showing extension across a fresh and theoretically significant cognitive performance dimension. ?? 2008 Elsevier B.V. All rights reserved.", "author" : [ { "dropping-particle" : "", "family" : "Wright", "given" : "Rex A.", "non-dropping-particle" : "", "parse-names" : false, "suffix" : "" }, { "dropping-particle" : "", "family" : "Stewart", "given" : "Christopher C.", "non-dropping-particle" : "", "parse-names" : false, "suffix" : "" }, { "dropping-particle" : "", "family" : "Barnett", "given" : "Bradley R.", "non-dropping-particle" : "", "parse-names" : false, "suffix" : "" } ], "container-title" : "International Journal of Psychophysiology", "id" : "ITEM-1", "issue" : "2", "issued" : { "date-parts" : [ [ "2008" ] ] }, "page" : "127-133", "title" : "Mental fatigue influence on effort-related cardiovascular response: Extension across the regulatory (inhibitory)/non-regulatory performance dimension", "type" : "article-journal", "volume" : "69" }, "uris" : [ "http://www.mendeley.com/documents/?uuid=6ea30408-8d4c-3cb1-ae6b-52f65174bb39" ] } ], "mendeley" : { "formattedCitation" : "(Wright, Stewart, &amp; Barnett, 2008)", "manualFormatting" : "Wright, Stewart, and Barnett (2008)", "plainTextFormattedCitation" : "(Wright, Stewart, &amp; Barnett, 2008)", "previouslyFormattedCitation" : "(Wright, Stewart, &amp; Barnett, 2008)" }, "properties" : { "noteIndex" : 0 }, "schema" : "https://github.com/citation-style-language/schema/raw/master/csl-citation.json" }</w:instrText>
      </w:r>
      <w:r w:rsidR="00B06E70">
        <w:rPr>
          <w:rFonts w:cs="Times New Roman"/>
          <w:sz w:val="24"/>
          <w:szCs w:val="24"/>
        </w:rPr>
        <w:fldChar w:fldCharType="separate"/>
      </w:r>
      <w:r w:rsidR="009B7AB3">
        <w:rPr>
          <w:rFonts w:cs="Times New Roman"/>
          <w:noProof/>
          <w:sz w:val="24"/>
          <w:szCs w:val="24"/>
        </w:rPr>
        <w:t>Wright, Stewart, and Barnett</w:t>
      </w:r>
      <w:r w:rsidR="009B7AB3" w:rsidRPr="009B7AB3">
        <w:rPr>
          <w:rFonts w:cs="Times New Roman"/>
          <w:noProof/>
          <w:sz w:val="24"/>
          <w:szCs w:val="24"/>
        </w:rPr>
        <w:t xml:space="preserve"> </w:t>
      </w:r>
      <w:r w:rsidR="009B7AB3">
        <w:rPr>
          <w:rFonts w:cs="Times New Roman"/>
          <w:noProof/>
          <w:sz w:val="24"/>
          <w:szCs w:val="24"/>
        </w:rPr>
        <w:t>(</w:t>
      </w:r>
      <w:r w:rsidR="009B7AB3" w:rsidRPr="009B7AB3">
        <w:rPr>
          <w:rFonts w:cs="Times New Roman"/>
          <w:noProof/>
          <w:sz w:val="24"/>
          <w:szCs w:val="24"/>
        </w:rPr>
        <w:t>2008)</w:t>
      </w:r>
      <w:r w:rsidR="00B06E70">
        <w:rPr>
          <w:rFonts w:cs="Times New Roman"/>
          <w:sz w:val="24"/>
          <w:szCs w:val="24"/>
        </w:rPr>
        <w:fldChar w:fldCharType="end"/>
      </w:r>
      <w:r w:rsidRPr="00D05EBD">
        <w:rPr>
          <w:sz w:val="24"/>
          <w:szCs w:val="24"/>
        </w:rPr>
        <w:t xml:space="preserve"> observed impaired performance on the Stroop task </w:t>
      </w:r>
      <w:r w:rsidRPr="00D05EBD">
        <w:rPr>
          <w:sz w:val="24"/>
          <w:szCs w:val="24"/>
        </w:rPr>
        <w:lastRenderedPageBreak/>
        <w:t xml:space="preserve">after a previous depleting task. </w:t>
      </w:r>
      <w:proofErr w:type="spellStart"/>
      <w:r w:rsidRPr="00D05EBD">
        <w:rPr>
          <w:sz w:val="24"/>
          <w:szCs w:val="24"/>
        </w:rPr>
        <w:t>Hagger</w:t>
      </w:r>
      <w:proofErr w:type="spellEnd"/>
      <w:r w:rsidRPr="00D05EBD">
        <w:rPr>
          <w:sz w:val="24"/>
          <w:szCs w:val="24"/>
        </w:rPr>
        <w:t xml:space="preserve"> and </w:t>
      </w:r>
      <w:r w:rsidR="00307C98" w:rsidRPr="00D05EBD">
        <w:rPr>
          <w:sz w:val="24"/>
          <w:szCs w:val="24"/>
        </w:rPr>
        <w:t>colleagues’</w:t>
      </w:r>
      <w:r w:rsidRPr="00D05EBD">
        <w:rPr>
          <w:sz w:val="24"/>
          <w:szCs w:val="24"/>
        </w:rPr>
        <w:t xml:space="preserve"> meta-analysis (2010) reported a large-sized effect of prior exertion of self-control on the Stroop task (</w:t>
      </w:r>
      <w:r w:rsidRPr="00D05EBD">
        <w:rPr>
          <w:i/>
          <w:sz w:val="24"/>
          <w:szCs w:val="24"/>
        </w:rPr>
        <w:t>d</w:t>
      </w:r>
      <w:r w:rsidRPr="00D05EBD">
        <w:rPr>
          <w:sz w:val="24"/>
          <w:szCs w:val="24"/>
          <w:vertAlign w:val="superscript"/>
        </w:rPr>
        <w:t xml:space="preserve">+ </w:t>
      </w:r>
      <w:r w:rsidRPr="00D05EBD">
        <w:rPr>
          <w:sz w:val="24"/>
          <w:szCs w:val="24"/>
        </w:rPr>
        <w:t xml:space="preserve">= .76).  </w:t>
      </w:r>
      <w:r w:rsidRPr="00D05EBD">
        <w:rPr>
          <w:rFonts w:cs="Times New Roman"/>
          <w:sz w:val="24"/>
          <w:szCs w:val="24"/>
        </w:rPr>
        <w:t>The logic by which the Stroop task works is by exposing people to stimulus they automatically process (reading words). The automatic response (reading) then competes against a controlled response (naming the colour in which a word is written) creating an interference effect</w:t>
      </w:r>
      <w:r w:rsidR="005F0EB4">
        <w:rPr>
          <w:i/>
          <w:sz w:val="24"/>
          <w:szCs w:val="24"/>
        </w:rPr>
        <w:t xml:space="preserve"> </w:t>
      </w:r>
      <w:r w:rsidR="00B06E70">
        <w:rPr>
          <w:i/>
          <w:sz w:val="24"/>
          <w:szCs w:val="24"/>
        </w:rPr>
        <w:fldChar w:fldCharType="begin" w:fldLock="1"/>
      </w:r>
      <w:r w:rsidR="005F0EB4">
        <w:rPr>
          <w:i/>
          <w:sz w:val="24"/>
          <w:szCs w:val="24"/>
        </w:rPr>
        <w:instrText>ADDIN CSL_CITATION { "citationItems" : [ { "id" : "ITEM-1", "itemData" : { "author" : [ { "dropping-particle" : "", "family" : "Glaser", "given" : "W R", "non-dropping-particle" : "", "parse-names" : false, "suffix" : "" }, { "dropping-particle" : "", "family" : "D\u00fcngelhoff", "given" : "F J", "non-dropping-particle" : "", "parse-names" : false, "suffix" : "" } ], "container-title" : "Journal of Experimental Psychology . Human Perception and Performance", "id" : "ITEM-1", "issue" : "5", "issued" : { "date-parts" : [ [ "1984" ] ] }, "page" : "640-654", "title" : "The time course of picture-word interference", "type" : "article-journal", "volume" : "10" }, "uris" : [ "http://www.mendeley.com/documents/?uuid=14d4e054-55f4-4886-ac14-f8eb5def68d9" ] } ], "mendeley" : { "formattedCitation" : "(Glaser &amp; D\u00fcngelhoff, 1984)", "plainTextFormattedCitation" : "(Glaser &amp; D\u00fcngelhoff, 1984)", "previouslyFormattedCitation" : "(Glaser &amp; D\u00fcngelhoff, 1984)" }, "properties" : { "noteIndex" : 0 }, "schema" : "https://github.com/citation-style-language/schema/raw/master/csl-citation.json" }</w:instrText>
      </w:r>
      <w:r w:rsidR="00B06E70">
        <w:rPr>
          <w:i/>
          <w:sz w:val="24"/>
          <w:szCs w:val="24"/>
        </w:rPr>
        <w:fldChar w:fldCharType="separate"/>
      </w:r>
      <w:r w:rsidR="005F0EB4" w:rsidRPr="005F0EB4">
        <w:rPr>
          <w:noProof/>
          <w:sz w:val="24"/>
          <w:szCs w:val="24"/>
        </w:rPr>
        <w:t>(Glaser &amp; Düngelhoff, 1984)</w:t>
      </w:r>
      <w:r w:rsidR="00B06E70">
        <w:rPr>
          <w:i/>
          <w:sz w:val="24"/>
          <w:szCs w:val="24"/>
        </w:rPr>
        <w:fldChar w:fldCharType="end"/>
      </w:r>
      <w:r w:rsidRPr="00D05EBD">
        <w:rPr>
          <w:sz w:val="24"/>
          <w:szCs w:val="24"/>
        </w:rPr>
        <w:t xml:space="preserve">. People require self-regulation to inhibit this interference effect </w:t>
      </w:r>
      <w:r w:rsidR="00B06E70">
        <w:rPr>
          <w:sz w:val="24"/>
          <w:szCs w:val="24"/>
        </w:rPr>
        <w:fldChar w:fldCharType="begin" w:fldLock="1"/>
      </w:r>
      <w:r w:rsidR="009B7AB3">
        <w:rPr>
          <w:sz w:val="24"/>
          <w:szCs w:val="24"/>
        </w:rPr>
        <w:instrText>ADDIN CSL_CITATION { "citationItems" : [ { "id" : "ITEM-1", "itemData" : { "DOI" : "10.1007/s11031-009-9146-0", "ISSN" : "01467239", "abstract" : "Female undergraduates were assigned to one of three groups, two involving regulatory training and one not. Training participants performed for 2 weeks tasks that required strong behavioral restraint (Strong Training) or weak behavioral restraint (Weak Training). Later, they took part in (1) a laboratory session in which they performed tasks with inhibitory components, and (2) a follow-up week in which they provided health behavior reports and used designated dental supplies. No Training participants took part only in the session and follow-up week. As expected, laboratory performance was improved for Strong- relative to No Training participants, with performance for Weak Training participants falling in between. Also as expected, Strong Training participants used more floss in the follow-up week than did the No Training participants, with floss for Weak Training participants falling between. Contrary to expectation, Strong Training participants used less toothpaste and reported having brushed less than the No Training participants. In addition, Strong Training participants evinced exaggerated -- rather than diminished -- cardiovascular responses during the laboratory tasks. The performance and floss use data support the suggestion that inhibitory system strength can be increased through use. The brushing and cardiovascular findings may be interpretable in inhibitory strength terms. Adapted from the source document", "author" : [ { "dropping-particle" : "", "family" : "Hui", "given" : "Siu Kuen Azor", "non-dropping-particle" : "", "parse-names" : false, "suffix" : "" }, { "dropping-particle" : "", "family" : "Wright", "given" : "Rex A.", "non-dropping-particle" : "", "parse-names" : false, "suffix" : "" }, { "dropping-particle" : "", "family" : "Stewart", "given" : "Christopher C.", "non-dropping-particle" : "", "parse-names" : false, "suffix" : "" }, { "dropping-particle" : "", "family" : "Simmons", "given" : "Angel", "non-dropping-particle" : "", "parse-names" : false, "suffix" : "" }, { "dropping-particle" : "", "family" : "Eaton", "given" : "Bradley", "non-dropping-particle" : "", "parse-names" : false, "suffix" : "" }, { "dropping-particle" : "", "family" : "Nolte", "given" : "R. Nicholas", "non-dropping-particle" : "", "parse-names" : false, "suffix" : "" } ], "container-title" : "Motivation and Emotion", "id" : "ITEM-1", "issue" : "4", "issued" : { "date-parts" : [ [ "2009" ] ] }, "page" : "419-434", "title" : "Performance, cardiovascular, and health behavior effects of an inhibitory strength training intervention", "type" : "article-journal", "volume" : "33" }, "uris" : [ "http://www.mendeley.com/documents/?uuid=a0cec3e5-1ccb-3fac-8ba0-0d4fbcecd2a2" ] } ], "mendeley" : { "formattedCitation" : "(Hui et al., 2009)", "plainTextFormattedCitation" : "(Hui et al., 2009)", "previouslyFormattedCitation" : "(Hui et al., 2009)" }, "properties" : { "noteIndex" : 0 }, "schema" : "https://github.com/citation-style-language/schema/raw/master/csl-citation.json" }</w:instrText>
      </w:r>
      <w:r w:rsidR="00B06E70">
        <w:rPr>
          <w:sz w:val="24"/>
          <w:szCs w:val="24"/>
        </w:rPr>
        <w:fldChar w:fldCharType="separate"/>
      </w:r>
      <w:r w:rsidR="005F0EB4" w:rsidRPr="005F0EB4">
        <w:rPr>
          <w:noProof/>
          <w:sz w:val="24"/>
          <w:szCs w:val="24"/>
        </w:rPr>
        <w:t>(Hui et al., 2009)</w:t>
      </w:r>
      <w:r w:rsidR="00B06E70">
        <w:rPr>
          <w:sz w:val="24"/>
          <w:szCs w:val="24"/>
        </w:rPr>
        <w:fldChar w:fldCharType="end"/>
      </w:r>
      <w:r w:rsidRPr="00D05EBD">
        <w:rPr>
          <w:sz w:val="24"/>
          <w:szCs w:val="24"/>
        </w:rPr>
        <w:t xml:space="preserve">.  </w:t>
      </w: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t xml:space="preserve">Participants were presented with 171 trials of a computer-based Stroop Task. In each trial, participants were presented with the words: "red", "black", "green" and "blue" shown in colours that mismatched the meaning of these words (e.g., red was shown in green font). Participants were asked to respond to the colour that the word was shown in as accurately and as fast as they could by typing in the "d" key on their computers for words printed in red, "f" for words printed in green, "j" for words printed in blue and, "k" for words printed in black. For example, when the word "red" appeared on screen printed in black participants had to hit the key "k" on their keyboards. Participants were instructed to place their index and middle fingers on the d, f, j, and k keys of the keyboard so that they were ready to respond. These keys were selected because their position on the keyboard would make it the easiest for participants to respond. There were also informed that they would have a visual reminder of the keys all the time throughout the experiment on top of the screen. Participants were also informed that the task would not take more than 3 minutes to complete and instructed to keep going until the phrase 'This is the end of the task' appeared on screen. </w:t>
      </w:r>
    </w:p>
    <w:p w:rsidR="00FB1389" w:rsidRPr="00D05EBD" w:rsidRDefault="00FB1389" w:rsidP="00CE02B4">
      <w:pPr>
        <w:spacing w:line="480" w:lineRule="auto"/>
        <w:jc w:val="both"/>
        <w:rPr>
          <w:rFonts w:cs="Times New Roman"/>
          <w:sz w:val="24"/>
          <w:szCs w:val="24"/>
          <w:u w:val="single"/>
        </w:rPr>
      </w:pPr>
    </w:p>
    <w:p w:rsidR="00FB1389" w:rsidRPr="00D05EBD" w:rsidRDefault="00FB1389" w:rsidP="00AE640B">
      <w:pPr>
        <w:spacing w:line="480" w:lineRule="auto"/>
        <w:ind w:firstLine="720"/>
        <w:jc w:val="both"/>
        <w:rPr>
          <w:rFonts w:cs="Times New Roman"/>
          <w:b/>
          <w:sz w:val="24"/>
          <w:szCs w:val="24"/>
        </w:rPr>
      </w:pPr>
      <w:r w:rsidRPr="00D05EBD">
        <w:rPr>
          <w:rFonts w:cs="Times New Roman"/>
          <w:b/>
          <w:sz w:val="24"/>
          <w:szCs w:val="24"/>
        </w:rPr>
        <w:lastRenderedPageBreak/>
        <w:t>4.2.3 Results</w:t>
      </w: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t xml:space="preserve">To check the factor structure of the new questionnaire designed to measure use of self-control a principal component analysis (PCA) was conducted on the 13 items with </w:t>
      </w:r>
      <w:proofErr w:type="spellStart"/>
      <w:r w:rsidRPr="00D05EBD">
        <w:rPr>
          <w:rFonts w:cs="Times New Roman"/>
          <w:sz w:val="24"/>
          <w:szCs w:val="24"/>
        </w:rPr>
        <w:t>oblimin</w:t>
      </w:r>
      <w:proofErr w:type="spellEnd"/>
      <w:r w:rsidRPr="00D05EBD">
        <w:rPr>
          <w:rFonts w:cs="Times New Roman"/>
          <w:sz w:val="24"/>
          <w:szCs w:val="24"/>
        </w:rPr>
        <w:t xml:space="preserve"> rotation for the 154 participants that answered the online questionnaire. The Kaiser-Meyer-</w:t>
      </w:r>
      <w:proofErr w:type="spellStart"/>
      <w:r w:rsidRPr="00D05EBD">
        <w:rPr>
          <w:rFonts w:cs="Times New Roman"/>
          <w:sz w:val="24"/>
          <w:szCs w:val="24"/>
        </w:rPr>
        <w:t>Olkin</w:t>
      </w:r>
      <w:proofErr w:type="spellEnd"/>
      <w:r w:rsidRPr="00D05EBD">
        <w:rPr>
          <w:rFonts w:cs="Times New Roman"/>
          <w:sz w:val="24"/>
          <w:szCs w:val="24"/>
        </w:rPr>
        <w:t xml:space="preserve"> Measure verified the sample adequacy for the analysis, KMO = .820 (‘great’ according to Field, 2009), and all KMO values for individual items were &gt; .55, which is above the acceptable limit of .5 (Field, 2009), so it was decided to keep all variables. </w:t>
      </w:r>
      <w:proofErr w:type="spellStart"/>
      <w:r w:rsidRPr="00D05EBD">
        <w:rPr>
          <w:rFonts w:cs="Times New Roman"/>
          <w:sz w:val="24"/>
          <w:szCs w:val="24"/>
        </w:rPr>
        <w:t>Barlett’s</w:t>
      </w:r>
      <w:proofErr w:type="spellEnd"/>
      <w:r w:rsidRPr="00D05EBD">
        <w:rPr>
          <w:rFonts w:cs="Times New Roman"/>
          <w:sz w:val="24"/>
          <w:szCs w:val="24"/>
        </w:rPr>
        <w:t xml:space="preserve"> test of </w:t>
      </w:r>
      <w:proofErr w:type="spellStart"/>
      <w:r w:rsidRPr="00D05EBD">
        <w:rPr>
          <w:rFonts w:cs="Times New Roman"/>
          <w:sz w:val="24"/>
          <w:szCs w:val="24"/>
        </w:rPr>
        <w:t>sphericity</w:t>
      </w:r>
      <w:proofErr w:type="spellEnd"/>
      <w:r w:rsidRPr="00D05EBD">
        <w:rPr>
          <w:rFonts w:cs="Times New Roman"/>
          <w:sz w:val="24"/>
          <w:szCs w:val="24"/>
        </w:rPr>
        <w:t xml:space="preserve"> X</w:t>
      </w:r>
      <w:r w:rsidRPr="00D05EBD">
        <w:rPr>
          <w:rFonts w:cs="Times New Roman"/>
          <w:sz w:val="24"/>
          <w:szCs w:val="24"/>
          <w:vertAlign w:val="superscript"/>
        </w:rPr>
        <w:t>2</w:t>
      </w:r>
      <w:r w:rsidRPr="00D05EBD">
        <w:rPr>
          <w:rFonts w:cs="Times New Roman"/>
          <w:sz w:val="24"/>
          <w:szCs w:val="24"/>
        </w:rPr>
        <w:t xml:space="preserve"> (78) = 520.55, </w:t>
      </w:r>
      <w:r w:rsidRPr="00D05EBD">
        <w:rPr>
          <w:rFonts w:cs="Times New Roman"/>
          <w:i/>
          <w:sz w:val="24"/>
          <w:szCs w:val="24"/>
        </w:rPr>
        <w:t xml:space="preserve">p </w:t>
      </w:r>
      <w:r w:rsidRPr="00D05EBD">
        <w:rPr>
          <w:rFonts w:cs="Times New Roman"/>
          <w:sz w:val="24"/>
          <w:szCs w:val="24"/>
        </w:rPr>
        <w:t xml:space="preserve">&lt; .001, indicated that correlations between items were sufficiently large for PCA. </w:t>
      </w:r>
    </w:p>
    <w:p w:rsidR="009B7AB3" w:rsidRPr="00D05EBD" w:rsidRDefault="00FB1389" w:rsidP="00A45A76">
      <w:pPr>
        <w:spacing w:line="480" w:lineRule="auto"/>
        <w:ind w:firstLine="720"/>
        <w:jc w:val="both"/>
        <w:rPr>
          <w:sz w:val="24"/>
          <w:szCs w:val="24"/>
        </w:rPr>
      </w:pPr>
      <w:r w:rsidRPr="00D05EBD">
        <w:rPr>
          <w:rFonts w:cs="Times New Roman"/>
          <w:sz w:val="24"/>
          <w:szCs w:val="24"/>
        </w:rPr>
        <w:t xml:space="preserve">An initial analysis was run to obtain </w:t>
      </w:r>
      <w:proofErr w:type="spellStart"/>
      <w:r w:rsidRPr="00D05EBD">
        <w:rPr>
          <w:rFonts w:cs="Times New Roman"/>
          <w:sz w:val="24"/>
          <w:szCs w:val="24"/>
        </w:rPr>
        <w:t>eigenvalues</w:t>
      </w:r>
      <w:proofErr w:type="spellEnd"/>
      <w:r w:rsidRPr="00D05EBD">
        <w:rPr>
          <w:rFonts w:cs="Times New Roman"/>
          <w:sz w:val="24"/>
          <w:szCs w:val="24"/>
        </w:rPr>
        <w:t xml:space="preserve"> for each component in the data. Three components had </w:t>
      </w:r>
      <w:proofErr w:type="spellStart"/>
      <w:r w:rsidRPr="00D05EBD">
        <w:rPr>
          <w:rFonts w:cs="Times New Roman"/>
          <w:sz w:val="24"/>
          <w:szCs w:val="24"/>
        </w:rPr>
        <w:t>eigenvalues</w:t>
      </w:r>
      <w:proofErr w:type="spellEnd"/>
      <w:r w:rsidRPr="00D05EBD">
        <w:rPr>
          <w:rFonts w:cs="Times New Roman"/>
          <w:sz w:val="24"/>
          <w:szCs w:val="24"/>
        </w:rPr>
        <w:t xml:space="preserve"> over Kaiser’s criterion of 1 and in combination explained 53.92% of the variance (component 1 accounted for 30.63% of the variance, component 2 accounted for 13.20% of the variance, and component 3 accounted for 10.1% of the variance). The </w:t>
      </w:r>
      <w:proofErr w:type="spellStart"/>
      <w:r w:rsidRPr="00D05EBD">
        <w:rPr>
          <w:rFonts w:cs="Times New Roman"/>
          <w:sz w:val="24"/>
          <w:szCs w:val="24"/>
        </w:rPr>
        <w:t>scree</w:t>
      </w:r>
      <w:proofErr w:type="spellEnd"/>
      <w:r w:rsidRPr="00D05EBD">
        <w:rPr>
          <w:rFonts w:cs="Times New Roman"/>
          <w:sz w:val="24"/>
          <w:szCs w:val="24"/>
        </w:rPr>
        <w:t xml:space="preserve"> plot showed an inflexion that justified</w:t>
      </w:r>
      <w:r w:rsidR="009B7AB3">
        <w:rPr>
          <w:rFonts w:cs="Times New Roman"/>
          <w:sz w:val="24"/>
          <w:szCs w:val="24"/>
        </w:rPr>
        <w:t xml:space="preserve"> retaining 3 components. Table IV</w:t>
      </w:r>
      <w:r w:rsidRPr="00D05EBD">
        <w:rPr>
          <w:rFonts w:cs="Times New Roman"/>
          <w:sz w:val="24"/>
          <w:szCs w:val="24"/>
        </w:rPr>
        <w:t>.1 shows the factor loadings after rotation</w:t>
      </w:r>
      <w:r w:rsidRPr="00973AEB">
        <w:rPr>
          <w:rStyle w:val="Refdenotaalpie"/>
        </w:rPr>
        <w:footnoteReference w:id="33"/>
      </w:r>
      <w:r w:rsidRPr="00D05EBD">
        <w:rPr>
          <w:rFonts w:cs="Times New Roman"/>
          <w:sz w:val="24"/>
          <w:szCs w:val="24"/>
        </w:rPr>
        <w:t xml:space="preserve">. Based on the content of each of the components, it is suggested that component 1 represents ‘loss of control’, component 2 ‘exertion of self-control effort’, and component 3 ‘success at self-control’. These three components correspond to the aspects Tangney and colleagues measure on their scale, namely, </w:t>
      </w:r>
      <w:r w:rsidRPr="00D05EBD">
        <w:rPr>
          <w:sz w:val="24"/>
          <w:szCs w:val="24"/>
        </w:rPr>
        <w:t>people’s capacity to change their inner responses and to interrupt undesired behavioural tendencies (e.g. impulses), and refrain from acting on them. When looking at each component separately, it can be seen that ‘Loss of control’ would correspond to Maloney and colleagues (20</w:t>
      </w:r>
      <w:r w:rsidR="009B7AB3">
        <w:rPr>
          <w:sz w:val="24"/>
          <w:szCs w:val="24"/>
        </w:rPr>
        <w:t>12</w:t>
      </w:r>
      <w:r w:rsidRPr="00D05EBD">
        <w:rPr>
          <w:sz w:val="24"/>
          <w:szCs w:val="24"/>
        </w:rPr>
        <w:t>) impulsivity factor, ‘and exertion of self-</w:t>
      </w:r>
      <w:r w:rsidRPr="00D05EBD">
        <w:rPr>
          <w:sz w:val="24"/>
          <w:szCs w:val="24"/>
        </w:rPr>
        <w:lastRenderedPageBreak/>
        <w:t xml:space="preserve">control effort’ to Maloney’s restraint factor. Nevertheless, the two items that conform component 3 or ‘success at self-control’ do not quite fit into any of Maloney’s factors. Thus, they were kept separately under the name ‘success at self-control’. The present factor analysis confirmed the first hypothesis of this chapter, in that the new ‘use of self-control scale’ would have a multidimensional structure which suggests the use of self-control during the working day may be composed of different aspects, in the present case of instances where people lose control, where they exert self-control effort, and where they succeed at self-control. </w:t>
      </w:r>
    </w:p>
    <w:tbl>
      <w:tblPr>
        <w:tblW w:w="5000" w:type="pct"/>
        <w:jc w:val="center"/>
        <w:tblLook w:val="04A0"/>
      </w:tblPr>
      <w:tblGrid>
        <w:gridCol w:w="4984"/>
        <w:gridCol w:w="1334"/>
        <w:gridCol w:w="1283"/>
        <w:gridCol w:w="1281"/>
      </w:tblGrid>
      <w:tr w:rsidR="00FB1389" w:rsidRPr="00A45A76" w:rsidTr="00A45A76">
        <w:trPr>
          <w:trHeight w:val="300"/>
          <w:jc w:val="center"/>
        </w:trPr>
        <w:tc>
          <w:tcPr>
            <w:tcW w:w="5000" w:type="pct"/>
            <w:gridSpan w:val="4"/>
            <w:tcBorders>
              <w:top w:val="nil"/>
              <w:left w:val="nil"/>
              <w:bottom w:val="single" w:sz="4" w:space="0" w:color="auto"/>
              <w:right w:val="nil"/>
            </w:tcBorders>
            <w:shd w:val="clear" w:color="auto" w:fill="auto"/>
            <w:vAlign w:val="center"/>
            <w:hideMark/>
          </w:tcPr>
          <w:p w:rsidR="00FB1389" w:rsidRPr="00A45A76" w:rsidRDefault="00F0706F" w:rsidP="00A45A76">
            <w:pPr>
              <w:spacing w:after="0" w:line="240" w:lineRule="auto"/>
              <w:jc w:val="both"/>
              <w:rPr>
                <w:rFonts w:eastAsia="Times New Roman" w:cs="Times New Roman"/>
                <w:color w:val="000000"/>
                <w:sz w:val="20"/>
                <w:szCs w:val="20"/>
                <w:lang w:eastAsia="en-GB"/>
              </w:rPr>
            </w:pPr>
            <w:r w:rsidRPr="00A45A76">
              <w:rPr>
                <w:rFonts w:eastAsia="Times New Roman" w:cs="Times New Roman"/>
                <w:color w:val="000000"/>
                <w:sz w:val="20"/>
                <w:szCs w:val="20"/>
                <w:lang w:eastAsia="en-GB"/>
              </w:rPr>
              <w:t>Table IV</w:t>
            </w:r>
            <w:r w:rsidR="00FB1389" w:rsidRPr="00A45A76">
              <w:rPr>
                <w:rFonts w:eastAsia="Times New Roman" w:cs="Times New Roman"/>
                <w:color w:val="000000"/>
                <w:sz w:val="20"/>
                <w:szCs w:val="20"/>
                <w:lang w:eastAsia="en-GB"/>
              </w:rPr>
              <w:t>.1. Factor loadings after rotation</w:t>
            </w:r>
          </w:p>
        </w:tc>
      </w:tr>
      <w:tr w:rsidR="00FB1389" w:rsidRPr="00A45A76" w:rsidTr="00A45A76">
        <w:trPr>
          <w:trHeight w:val="758"/>
          <w:jc w:val="center"/>
        </w:trPr>
        <w:tc>
          <w:tcPr>
            <w:tcW w:w="2806" w:type="pct"/>
            <w:tcBorders>
              <w:top w:val="nil"/>
              <w:left w:val="nil"/>
              <w:bottom w:val="single" w:sz="4" w:space="0" w:color="auto"/>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Item</w:t>
            </w:r>
          </w:p>
        </w:tc>
        <w:tc>
          <w:tcPr>
            <w:tcW w:w="751" w:type="pct"/>
            <w:tcBorders>
              <w:top w:val="nil"/>
              <w:left w:val="nil"/>
              <w:bottom w:val="single" w:sz="4" w:space="0" w:color="auto"/>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Loss of control</w:t>
            </w:r>
          </w:p>
        </w:tc>
        <w:tc>
          <w:tcPr>
            <w:tcW w:w="722" w:type="pct"/>
            <w:tcBorders>
              <w:top w:val="nil"/>
              <w:left w:val="nil"/>
              <w:bottom w:val="single" w:sz="4" w:space="0" w:color="auto"/>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Exertion of self-control effort</w:t>
            </w:r>
          </w:p>
        </w:tc>
        <w:tc>
          <w:tcPr>
            <w:tcW w:w="722" w:type="pct"/>
            <w:tcBorders>
              <w:top w:val="nil"/>
              <w:left w:val="nil"/>
              <w:bottom w:val="single" w:sz="4" w:space="0" w:color="auto"/>
              <w:right w:val="nil"/>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Success at self-control</w:t>
            </w:r>
          </w:p>
        </w:tc>
      </w:tr>
      <w:tr w:rsidR="00FB1389" w:rsidRPr="00A45A76" w:rsidTr="00A45A76">
        <w:trPr>
          <w:trHeight w:val="272"/>
          <w:jc w:val="center"/>
        </w:trPr>
        <w:tc>
          <w:tcPr>
            <w:tcW w:w="2806" w:type="pct"/>
            <w:tcBorders>
              <w:top w:val="nil"/>
              <w:left w:val="nil"/>
              <w:bottom w:val="single" w:sz="4" w:space="0" w:color="auto"/>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I said inappropriate things today (R)</w:t>
            </w:r>
          </w:p>
        </w:tc>
        <w:tc>
          <w:tcPr>
            <w:tcW w:w="751" w:type="pct"/>
            <w:tcBorders>
              <w:top w:val="nil"/>
              <w:left w:val="nil"/>
              <w:bottom w:val="single" w:sz="4" w:space="0" w:color="auto"/>
              <w:right w:val="single" w:sz="4" w:space="0" w:color="auto"/>
            </w:tcBorders>
            <w:shd w:val="clear" w:color="auto" w:fill="auto"/>
            <w:noWrap/>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.777</w:t>
            </w:r>
          </w:p>
        </w:tc>
        <w:tc>
          <w:tcPr>
            <w:tcW w:w="722" w:type="pct"/>
            <w:tcBorders>
              <w:top w:val="nil"/>
              <w:left w:val="nil"/>
              <w:bottom w:val="single" w:sz="4" w:space="0" w:color="auto"/>
              <w:right w:val="single" w:sz="4" w:space="0" w:color="auto"/>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c>
          <w:tcPr>
            <w:tcW w:w="722" w:type="pct"/>
            <w:tcBorders>
              <w:top w:val="nil"/>
              <w:left w:val="nil"/>
              <w:bottom w:val="single" w:sz="4" w:space="0" w:color="auto"/>
              <w:right w:val="nil"/>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r>
      <w:tr w:rsidR="00FB1389" w:rsidRPr="00A45A76" w:rsidTr="00A45A76">
        <w:trPr>
          <w:trHeight w:val="419"/>
          <w:jc w:val="center"/>
        </w:trPr>
        <w:tc>
          <w:tcPr>
            <w:tcW w:w="2806" w:type="pct"/>
            <w:tcBorders>
              <w:top w:val="nil"/>
              <w:left w:val="nil"/>
              <w:bottom w:val="single" w:sz="4" w:space="0" w:color="auto"/>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Pleasure and fun sometimes kept me from getting work done today (R)</w:t>
            </w:r>
          </w:p>
        </w:tc>
        <w:tc>
          <w:tcPr>
            <w:tcW w:w="751" w:type="pct"/>
            <w:tcBorders>
              <w:top w:val="nil"/>
              <w:left w:val="nil"/>
              <w:bottom w:val="single" w:sz="4" w:space="0" w:color="auto"/>
              <w:right w:val="single" w:sz="4" w:space="0" w:color="auto"/>
            </w:tcBorders>
            <w:shd w:val="clear" w:color="auto" w:fill="auto"/>
            <w:noWrap/>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.661</w:t>
            </w:r>
          </w:p>
        </w:tc>
        <w:tc>
          <w:tcPr>
            <w:tcW w:w="722" w:type="pct"/>
            <w:tcBorders>
              <w:top w:val="nil"/>
              <w:left w:val="nil"/>
              <w:bottom w:val="single" w:sz="4" w:space="0" w:color="auto"/>
              <w:right w:val="single" w:sz="4" w:space="0" w:color="auto"/>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c>
          <w:tcPr>
            <w:tcW w:w="722" w:type="pct"/>
            <w:tcBorders>
              <w:top w:val="nil"/>
              <w:left w:val="nil"/>
              <w:bottom w:val="single" w:sz="4" w:space="0" w:color="auto"/>
              <w:right w:val="nil"/>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r>
      <w:tr w:rsidR="00FB1389" w:rsidRPr="00A45A76" w:rsidTr="00A45A76">
        <w:trPr>
          <w:trHeight w:val="199"/>
          <w:jc w:val="center"/>
        </w:trPr>
        <w:tc>
          <w:tcPr>
            <w:tcW w:w="2806" w:type="pct"/>
            <w:tcBorders>
              <w:top w:val="nil"/>
              <w:left w:val="nil"/>
              <w:bottom w:val="single" w:sz="4" w:space="0" w:color="auto"/>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I had trouble concentrating today (R)</w:t>
            </w:r>
          </w:p>
        </w:tc>
        <w:tc>
          <w:tcPr>
            <w:tcW w:w="751" w:type="pct"/>
            <w:tcBorders>
              <w:top w:val="nil"/>
              <w:left w:val="nil"/>
              <w:bottom w:val="single" w:sz="4" w:space="0" w:color="auto"/>
              <w:right w:val="single" w:sz="4" w:space="0" w:color="auto"/>
            </w:tcBorders>
            <w:shd w:val="clear" w:color="auto" w:fill="auto"/>
            <w:noWrap/>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.629</w:t>
            </w:r>
          </w:p>
        </w:tc>
        <w:tc>
          <w:tcPr>
            <w:tcW w:w="722" w:type="pct"/>
            <w:tcBorders>
              <w:top w:val="nil"/>
              <w:left w:val="nil"/>
              <w:bottom w:val="single" w:sz="4" w:space="0" w:color="auto"/>
              <w:right w:val="single" w:sz="4" w:space="0" w:color="auto"/>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c>
          <w:tcPr>
            <w:tcW w:w="722" w:type="pct"/>
            <w:tcBorders>
              <w:top w:val="nil"/>
              <w:left w:val="nil"/>
              <w:bottom w:val="single" w:sz="4" w:space="0" w:color="auto"/>
              <w:right w:val="nil"/>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r>
      <w:tr w:rsidR="00FB1389" w:rsidRPr="00A45A76" w:rsidTr="00A45A76">
        <w:trPr>
          <w:trHeight w:val="416"/>
          <w:jc w:val="center"/>
        </w:trPr>
        <w:tc>
          <w:tcPr>
            <w:tcW w:w="2806" w:type="pct"/>
            <w:tcBorders>
              <w:top w:val="nil"/>
              <w:left w:val="nil"/>
              <w:bottom w:val="single" w:sz="4" w:space="0" w:color="auto"/>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There were times today when I couldn't stop myself from doing something, even if I knew it was wrong (R)</w:t>
            </w:r>
          </w:p>
        </w:tc>
        <w:tc>
          <w:tcPr>
            <w:tcW w:w="751" w:type="pct"/>
            <w:tcBorders>
              <w:top w:val="nil"/>
              <w:left w:val="nil"/>
              <w:bottom w:val="single" w:sz="4" w:space="0" w:color="auto"/>
              <w:right w:val="single" w:sz="4" w:space="0" w:color="auto"/>
            </w:tcBorders>
            <w:shd w:val="clear" w:color="auto" w:fill="auto"/>
            <w:noWrap/>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.578</w:t>
            </w:r>
          </w:p>
        </w:tc>
        <w:tc>
          <w:tcPr>
            <w:tcW w:w="722" w:type="pct"/>
            <w:tcBorders>
              <w:top w:val="nil"/>
              <w:left w:val="nil"/>
              <w:bottom w:val="single" w:sz="4" w:space="0" w:color="auto"/>
              <w:right w:val="single" w:sz="4" w:space="0" w:color="auto"/>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c>
          <w:tcPr>
            <w:tcW w:w="722" w:type="pct"/>
            <w:tcBorders>
              <w:top w:val="nil"/>
              <w:left w:val="nil"/>
              <w:bottom w:val="single" w:sz="4" w:space="0" w:color="auto"/>
              <w:right w:val="nil"/>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r>
      <w:tr w:rsidR="00FB1389" w:rsidRPr="00A45A76" w:rsidTr="00A45A76">
        <w:trPr>
          <w:trHeight w:val="153"/>
          <w:jc w:val="center"/>
        </w:trPr>
        <w:tc>
          <w:tcPr>
            <w:tcW w:w="2806" w:type="pct"/>
            <w:tcBorders>
              <w:top w:val="nil"/>
              <w:left w:val="nil"/>
              <w:bottom w:val="single" w:sz="4" w:space="0" w:color="auto"/>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I was lazy today (R)</w:t>
            </w:r>
          </w:p>
        </w:tc>
        <w:tc>
          <w:tcPr>
            <w:tcW w:w="751" w:type="pct"/>
            <w:tcBorders>
              <w:top w:val="nil"/>
              <w:left w:val="nil"/>
              <w:bottom w:val="single" w:sz="4" w:space="0" w:color="auto"/>
              <w:right w:val="single" w:sz="4" w:space="0" w:color="auto"/>
            </w:tcBorders>
            <w:shd w:val="clear" w:color="auto" w:fill="auto"/>
            <w:noWrap/>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.558</w:t>
            </w:r>
          </w:p>
        </w:tc>
        <w:tc>
          <w:tcPr>
            <w:tcW w:w="722" w:type="pct"/>
            <w:tcBorders>
              <w:top w:val="nil"/>
              <w:left w:val="nil"/>
              <w:bottom w:val="single" w:sz="4" w:space="0" w:color="auto"/>
              <w:right w:val="single" w:sz="4" w:space="0" w:color="auto"/>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c>
          <w:tcPr>
            <w:tcW w:w="722" w:type="pct"/>
            <w:tcBorders>
              <w:top w:val="nil"/>
              <w:left w:val="nil"/>
              <w:bottom w:val="single" w:sz="4" w:space="0" w:color="auto"/>
              <w:right w:val="nil"/>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r>
      <w:tr w:rsidR="00FB1389" w:rsidRPr="00A45A76" w:rsidTr="00A45A76">
        <w:trPr>
          <w:trHeight w:val="185"/>
          <w:jc w:val="center"/>
        </w:trPr>
        <w:tc>
          <w:tcPr>
            <w:tcW w:w="2806" w:type="pct"/>
            <w:tcBorders>
              <w:top w:val="nil"/>
              <w:left w:val="nil"/>
              <w:bottom w:val="single" w:sz="4" w:space="0" w:color="auto"/>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I often acted without thinking all the alternatives today (R)</w:t>
            </w:r>
          </w:p>
        </w:tc>
        <w:tc>
          <w:tcPr>
            <w:tcW w:w="751" w:type="pct"/>
            <w:tcBorders>
              <w:top w:val="nil"/>
              <w:left w:val="nil"/>
              <w:bottom w:val="single" w:sz="4" w:space="0" w:color="auto"/>
              <w:right w:val="single" w:sz="4" w:space="0" w:color="auto"/>
            </w:tcBorders>
            <w:shd w:val="clear" w:color="auto" w:fill="auto"/>
            <w:noWrap/>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.547</w:t>
            </w:r>
          </w:p>
        </w:tc>
        <w:tc>
          <w:tcPr>
            <w:tcW w:w="722" w:type="pct"/>
            <w:tcBorders>
              <w:top w:val="nil"/>
              <w:left w:val="nil"/>
              <w:bottom w:val="single" w:sz="4" w:space="0" w:color="auto"/>
              <w:right w:val="single" w:sz="4" w:space="0" w:color="auto"/>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c>
          <w:tcPr>
            <w:tcW w:w="722" w:type="pct"/>
            <w:tcBorders>
              <w:top w:val="nil"/>
              <w:left w:val="nil"/>
              <w:bottom w:val="single" w:sz="4" w:space="0" w:color="auto"/>
              <w:right w:val="nil"/>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r>
      <w:tr w:rsidR="00FB1389" w:rsidRPr="00A45A76" w:rsidTr="00A45A76">
        <w:trPr>
          <w:trHeight w:val="359"/>
          <w:jc w:val="center"/>
        </w:trPr>
        <w:tc>
          <w:tcPr>
            <w:tcW w:w="2806" w:type="pct"/>
            <w:tcBorders>
              <w:top w:val="nil"/>
              <w:left w:val="nil"/>
              <w:bottom w:val="single" w:sz="4" w:space="0" w:color="auto"/>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I did certain things that were bad for me today, if they were fun (R)</w:t>
            </w:r>
          </w:p>
        </w:tc>
        <w:tc>
          <w:tcPr>
            <w:tcW w:w="751" w:type="pct"/>
            <w:tcBorders>
              <w:top w:val="nil"/>
              <w:left w:val="nil"/>
              <w:bottom w:val="single" w:sz="4" w:space="0" w:color="auto"/>
              <w:right w:val="single" w:sz="4" w:space="0" w:color="auto"/>
            </w:tcBorders>
            <w:shd w:val="clear" w:color="auto" w:fill="auto"/>
            <w:noWrap/>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.506</w:t>
            </w:r>
          </w:p>
        </w:tc>
        <w:tc>
          <w:tcPr>
            <w:tcW w:w="722" w:type="pct"/>
            <w:tcBorders>
              <w:top w:val="nil"/>
              <w:left w:val="nil"/>
              <w:bottom w:val="single" w:sz="4" w:space="0" w:color="auto"/>
              <w:right w:val="single" w:sz="4" w:space="0" w:color="auto"/>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c>
          <w:tcPr>
            <w:tcW w:w="722" w:type="pct"/>
            <w:tcBorders>
              <w:top w:val="nil"/>
              <w:left w:val="nil"/>
              <w:bottom w:val="single" w:sz="4" w:space="0" w:color="auto"/>
              <w:right w:val="nil"/>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r>
      <w:tr w:rsidR="00FB1389" w:rsidRPr="00A45A76" w:rsidTr="00A45A76">
        <w:trPr>
          <w:trHeight w:val="153"/>
          <w:jc w:val="center"/>
        </w:trPr>
        <w:tc>
          <w:tcPr>
            <w:tcW w:w="2806" w:type="pct"/>
            <w:tcBorders>
              <w:top w:val="nil"/>
              <w:left w:val="nil"/>
              <w:bottom w:val="single" w:sz="4" w:space="0" w:color="auto"/>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I had to resist temptation today</w:t>
            </w:r>
          </w:p>
        </w:tc>
        <w:tc>
          <w:tcPr>
            <w:tcW w:w="751" w:type="pct"/>
            <w:tcBorders>
              <w:top w:val="nil"/>
              <w:left w:val="nil"/>
              <w:bottom w:val="single" w:sz="4" w:space="0" w:color="auto"/>
              <w:right w:val="single" w:sz="4" w:space="0" w:color="auto"/>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c>
          <w:tcPr>
            <w:tcW w:w="722" w:type="pct"/>
            <w:tcBorders>
              <w:top w:val="nil"/>
              <w:left w:val="nil"/>
              <w:bottom w:val="single" w:sz="4" w:space="0" w:color="auto"/>
              <w:right w:val="single" w:sz="4" w:space="0" w:color="auto"/>
            </w:tcBorders>
            <w:shd w:val="clear" w:color="auto" w:fill="auto"/>
            <w:noWrap/>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.806</w:t>
            </w:r>
          </w:p>
        </w:tc>
        <w:tc>
          <w:tcPr>
            <w:tcW w:w="722" w:type="pct"/>
            <w:tcBorders>
              <w:top w:val="nil"/>
              <w:left w:val="nil"/>
              <w:bottom w:val="single" w:sz="4" w:space="0" w:color="auto"/>
              <w:right w:val="nil"/>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r>
      <w:tr w:rsidR="00FB1389" w:rsidRPr="00A45A76" w:rsidTr="00A45A76">
        <w:trPr>
          <w:trHeight w:val="171"/>
          <w:jc w:val="center"/>
        </w:trPr>
        <w:tc>
          <w:tcPr>
            <w:tcW w:w="2806" w:type="pct"/>
            <w:tcBorders>
              <w:top w:val="nil"/>
              <w:left w:val="nil"/>
              <w:bottom w:val="single" w:sz="4" w:space="0" w:color="auto"/>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I tried to break bad habits today</w:t>
            </w:r>
          </w:p>
        </w:tc>
        <w:tc>
          <w:tcPr>
            <w:tcW w:w="751" w:type="pct"/>
            <w:tcBorders>
              <w:top w:val="nil"/>
              <w:left w:val="nil"/>
              <w:bottom w:val="single" w:sz="4" w:space="0" w:color="auto"/>
              <w:right w:val="single" w:sz="4" w:space="0" w:color="auto"/>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c>
          <w:tcPr>
            <w:tcW w:w="722" w:type="pct"/>
            <w:tcBorders>
              <w:top w:val="nil"/>
              <w:left w:val="nil"/>
              <w:bottom w:val="single" w:sz="4" w:space="0" w:color="auto"/>
              <w:right w:val="single" w:sz="4" w:space="0" w:color="auto"/>
            </w:tcBorders>
            <w:shd w:val="clear" w:color="auto" w:fill="auto"/>
            <w:noWrap/>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.774</w:t>
            </w:r>
          </w:p>
        </w:tc>
        <w:tc>
          <w:tcPr>
            <w:tcW w:w="722" w:type="pct"/>
            <w:tcBorders>
              <w:top w:val="nil"/>
              <w:left w:val="nil"/>
              <w:bottom w:val="single" w:sz="4" w:space="0" w:color="auto"/>
              <w:right w:val="nil"/>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r>
      <w:tr w:rsidR="00FB1389" w:rsidRPr="00A45A76" w:rsidTr="00A45A76">
        <w:trPr>
          <w:trHeight w:val="189"/>
          <w:jc w:val="center"/>
        </w:trPr>
        <w:tc>
          <w:tcPr>
            <w:tcW w:w="2806" w:type="pct"/>
            <w:tcBorders>
              <w:top w:val="nil"/>
              <w:left w:val="nil"/>
              <w:bottom w:val="single" w:sz="4" w:space="0" w:color="auto"/>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I wish that I had had more self-discipline today (R)</w:t>
            </w:r>
          </w:p>
        </w:tc>
        <w:tc>
          <w:tcPr>
            <w:tcW w:w="751" w:type="pct"/>
            <w:tcBorders>
              <w:top w:val="nil"/>
              <w:left w:val="nil"/>
              <w:bottom w:val="single" w:sz="4" w:space="0" w:color="auto"/>
              <w:right w:val="single" w:sz="4" w:space="0" w:color="auto"/>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c>
          <w:tcPr>
            <w:tcW w:w="722" w:type="pct"/>
            <w:tcBorders>
              <w:top w:val="nil"/>
              <w:left w:val="nil"/>
              <w:bottom w:val="single" w:sz="4" w:space="0" w:color="auto"/>
              <w:right w:val="single" w:sz="4" w:space="0" w:color="auto"/>
            </w:tcBorders>
            <w:shd w:val="clear" w:color="auto" w:fill="auto"/>
            <w:noWrap/>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.640</w:t>
            </w:r>
          </w:p>
        </w:tc>
        <w:tc>
          <w:tcPr>
            <w:tcW w:w="722" w:type="pct"/>
            <w:tcBorders>
              <w:top w:val="nil"/>
              <w:left w:val="nil"/>
              <w:bottom w:val="single" w:sz="4" w:space="0" w:color="auto"/>
              <w:right w:val="nil"/>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r>
      <w:tr w:rsidR="00FB1389" w:rsidRPr="00A45A76" w:rsidTr="00A45A76">
        <w:trPr>
          <w:trHeight w:val="221"/>
          <w:jc w:val="center"/>
        </w:trPr>
        <w:tc>
          <w:tcPr>
            <w:tcW w:w="2806" w:type="pct"/>
            <w:tcBorders>
              <w:top w:val="nil"/>
              <w:left w:val="nil"/>
              <w:bottom w:val="single" w:sz="4" w:space="0" w:color="auto"/>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I refused things that are bad for me today</w:t>
            </w:r>
          </w:p>
        </w:tc>
        <w:tc>
          <w:tcPr>
            <w:tcW w:w="751" w:type="pct"/>
            <w:tcBorders>
              <w:top w:val="nil"/>
              <w:left w:val="nil"/>
              <w:bottom w:val="single" w:sz="4" w:space="0" w:color="auto"/>
              <w:right w:val="single" w:sz="4" w:space="0" w:color="auto"/>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c>
          <w:tcPr>
            <w:tcW w:w="722" w:type="pct"/>
            <w:tcBorders>
              <w:top w:val="nil"/>
              <w:left w:val="nil"/>
              <w:bottom w:val="single" w:sz="4" w:space="0" w:color="auto"/>
              <w:right w:val="single" w:sz="4" w:space="0" w:color="auto"/>
            </w:tcBorders>
            <w:shd w:val="clear" w:color="auto" w:fill="auto"/>
            <w:noWrap/>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.570</w:t>
            </w:r>
          </w:p>
        </w:tc>
        <w:tc>
          <w:tcPr>
            <w:tcW w:w="722" w:type="pct"/>
            <w:tcBorders>
              <w:top w:val="nil"/>
              <w:left w:val="nil"/>
              <w:bottom w:val="single" w:sz="4" w:space="0" w:color="auto"/>
              <w:right w:val="nil"/>
            </w:tcBorders>
            <w:shd w:val="clear" w:color="auto" w:fill="auto"/>
            <w:noWrap/>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.419</w:t>
            </w:r>
          </w:p>
        </w:tc>
      </w:tr>
      <w:tr w:rsidR="00FB1389" w:rsidRPr="00A45A76" w:rsidTr="00A45A76">
        <w:trPr>
          <w:trHeight w:val="253"/>
          <w:jc w:val="center"/>
        </w:trPr>
        <w:tc>
          <w:tcPr>
            <w:tcW w:w="2806" w:type="pct"/>
            <w:tcBorders>
              <w:top w:val="nil"/>
              <w:left w:val="nil"/>
              <w:bottom w:val="single" w:sz="4" w:space="0" w:color="auto"/>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People would say that I had an iron self-discipline today</w:t>
            </w:r>
          </w:p>
        </w:tc>
        <w:tc>
          <w:tcPr>
            <w:tcW w:w="751" w:type="pct"/>
            <w:tcBorders>
              <w:top w:val="nil"/>
              <w:left w:val="nil"/>
              <w:bottom w:val="single" w:sz="4" w:space="0" w:color="auto"/>
              <w:right w:val="single" w:sz="4" w:space="0" w:color="auto"/>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c>
          <w:tcPr>
            <w:tcW w:w="722" w:type="pct"/>
            <w:tcBorders>
              <w:top w:val="nil"/>
              <w:left w:val="nil"/>
              <w:bottom w:val="single" w:sz="4" w:space="0" w:color="auto"/>
              <w:right w:val="single" w:sz="4" w:space="0" w:color="auto"/>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c>
          <w:tcPr>
            <w:tcW w:w="722" w:type="pct"/>
            <w:tcBorders>
              <w:top w:val="nil"/>
              <w:left w:val="nil"/>
              <w:bottom w:val="single" w:sz="4" w:space="0" w:color="auto"/>
              <w:right w:val="nil"/>
            </w:tcBorders>
            <w:shd w:val="clear" w:color="auto" w:fill="auto"/>
            <w:noWrap/>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.776</w:t>
            </w:r>
          </w:p>
        </w:tc>
      </w:tr>
      <w:tr w:rsidR="00FB1389" w:rsidRPr="00A45A76" w:rsidTr="00A45A76">
        <w:trPr>
          <w:trHeight w:val="600"/>
          <w:jc w:val="center"/>
        </w:trPr>
        <w:tc>
          <w:tcPr>
            <w:tcW w:w="2806" w:type="pct"/>
            <w:tcBorders>
              <w:top w:val="nil"/>
              <w:left w:val="nil"/>
              <w:bottom w:val="double" w:sz="6" w:space="0" w:color="000000"/>
              <w:right w:val="single" w:sz="4" w:space="0" w:color="auto"/>
            </w:tcBorders>
            <w:shd w:val="clear" w:color="auto" w:fill="auto"/>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Today, I was able to work effectively toward long-term goals</w:t>
            </w:r>
          </w:p>
        </w:tc>
        <w:tc>
          <w:tcPr>
            <w:tcW w:w="751" w:type="pct"/>
            <w:tcBorders>
              <w:top w:val="nil"/>
              <w:left w:val="nil"/>
              <w:bottom w:val="double" w:sz="6" w:space="0" w:color="000000"/>
              <w:right w:val="single" w:sz="4" w:space="0" w:color="auto"/>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c>
          <w:tcPr>
            <w:tcW w:w="722" w:type="pct"/>
            <w:tcBorders>
              <w:top w:val="nil"/>
              <w:left w:val="nil"/>
              <w:bottom w:val="double" w:sz="6" w:space="0" w:color="000000"/>
              <w:right w:val="single" w:sz="4" w:space="0" w:color="auto"/>
            </w:tcBorders>
            <w:shd w:val="clear" w:color="auto" w:fill="auto"/>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 </w:t>
            </w:r>
          </w:p>
        </w:tc>
        <w:tc>
          <w:tcPr>
            <w:tcW w:w="722" w:type="pct"/>
            <w:tcBorders>
              <w:top w:val="nil"/>
              <w:left w:val="nil"/>
              <w:bottom w:val="double" w:sz="6" w:space="0" w:color="000000"/>
              <w:right w:val="nil"/>
            </w:tcBorders>
            <w:shd w:val="clear" w:color="auto" w:fill="auto"/>
            <w:noWrap/>
            <w:vAlign w:val="center"/>
            <w:hideMark/>
          </w:tcPr>
          <w:p w:rsidR="00FB1389" w:rsidRPr="00A45A76" w:rsidRDefault="00FB1389" w:rsidP="00A45A76">
            <w:pPr>
              <w:spacing w:after="0" w:line="240" w:lineRule="auto"/>
              <w:jc w:val="both"/>
              <w:rPr>
                <w:rFonts w:eastAsia="Times New Roman" w:cs="Arial"/>
                <w:color w:val="000000"/>
                <w:sz w:val="20"/>
                <w:szCs w:val="20"/>
                <w:lang w:eastAsia="en-GB"/>
              </w:rPr>
            </w:pPr>
            <w:r w:rsidRPr="00A45A76">
              <w:rPr>
                <w:rFonts w:eastAsia="Times New Roman" w:cs="Arial"/>
                <w:color w:val="000000"/>
                <w:sz w:val="20"/>
                <w:szCs w:val="20"/>
                <w:lang w:eastAsia="en-GB"/>
              </w:rPr>
              <w:t>.621</w:t>
            </w:r>
          </w:p>
        </w:tc>
      </w:tr>
      <w:tr w:rsidR="00FB1389" w:rsidRPr="00A45A76" w:rsidTr="00A45A76">
        <w:trPr>
          <w:trHeight w:val="510"/>
          <w:jc w:val="center"/>
        </w:trPr>
        <w:tc>
          <w:tcPr>
            <w:tcW w:w="5000" w:type="pct"/>
            <w:gridSpan w:val="4"/>
            <w:tcBorders>
              <w:top w:val="nil"/>
              <w:left w:val="nil"/>
              <w:bottom w:val="nil"/>
              <w:right w:val="nil"/>
            </w:tcBorders>
            <w:shd w:val="clear" w:color="auto" w:fill="auto"/>
            <w:hideMark/>
          </w:tcPr>
          <w:p w:rsidR="00FB1389" w:rsidRPr="00A45A76" w:rsidRDefault="00FB1389" w:rsidP="00A45A76">
            <w:pPr>
              <w:spacing w:after="0" w:line="240" w:lineRule="auto"/>
              <w:rPr>
                <w:rFonts w:eastAsia="Times New Roman" w:cs="Arial"/>
                <w:i/>
                <w:color w:val="000000"/>
                <w:sz w:val="20"/>
                <w:szCs w:val="20"/>
                <w:lang w:eastAsia="en-GB"/>
              </w:rPr>
            </w:pPr>
            <w:r w:rsidRPr="00A45A76">
              <w:rPr>
                <w:rFonts w:eastAsia="Times New Roman" w:cs="Arial"/>
                <w:i/>
                <w:color w:val="000000"/>
                <w:sz w:val="20"/>
                <w:szCs w:val="20"/>
                <w:lang w:eastAsia="en-GB"/>
              </w:rPr>
              <w:t xml:space="preserve">Extraction Method: Principal Component Analysis. </w:t>
            </w:r>
            <w:r w:rsidRPr="00A45A76">
              <w:rPr>
                <w:rFonts w:eastAsia="Times New Roman" w:cs="Arial"/>
                <w:i/>
                <w:color w:val="000000"/>
                <w:sz w:val="20"/>
                <w:szCs w:val="20"/>
                <w:lang w:eastAsia="en-GB"/>
              </w:rPr>
              <w:br/>
              <w:t xml:space="preserve">Rotation Method: </w:t>
            </w:r>
            <w:proofErr w:type="spellStart"/>
            <w:r w:rsidRPr="00A45A76">
              <w:rPr>
                <w:rFonts w:eastAsia="Times New Roman" w:cs="Arial"/>
                <w:i/>
                <w:color w:val="000000"/>
                <w:sz w:val="20"/>
                <w:szCs w:val="20"/>
                <w:lang w:eastAsia="en-GB"/>
              </w:rPr>
              <w:t>Oblimin</w:t>
            </w:r>
            <w:proofErr w:type="spellEnd"/>
            <w:r w:rsidRPr="00A45A76">
              <w:rPr>
                <w:rFonts w:eastAsia="Times New Roman" w:cs="Arial"/>
                <w:i/>
                <w:color w:val="000000"/>
                <w:sz w:val="20"/>
                <w:szCs w:val="20"/>
                <w:lang w:eastAsia="en-GB"/>
              </w:rPr>
              <w:t xml:space="preserve"> with Kaiser Normalization.</w:t>
            </w:r>
          </w:p>
        </w:tc>
      </w:tr>
      <w:tr w:rsidR="00FB1389" w:rsidRPr="00A45A76" w:rsidTr="00A45A76">
        <w:trPr>
          <w:trHeight w:val="300"/>
          <w:jc w:val="center"/>
        </w:trPr>
        <w:tc>
          <w:tcPr>
            <w:tcW w:w="5000" w:type="pct"/>
            <w:gridSpan w:val="4"/>
            <w:tcBorders>
              <w:top w:val="nil"/>
              <w:left w:val="nil"/>
              <w:bottom w:val="nil"/>
              <w:right w:val="nil"/>
            </w:tcBorders>
            <w:shd w:val="clear" w:color="auto" w:fill="auto"/>
            <w:hideMark/>
          </w:tcPr>
          <w:p w:rsidR="00FB1389" w:rsidRPr="00A45A76" w:rsidRDefault="00FB1389" w:rsidP="00A45A76">
            <w:pPr>
              <w:pStyle w:val="Prrafodelista"/>
              <w:numPr>
                <w:ilvl w:val="0"/>
                <w:numId w:val="11"/>
              </w:numPr>
              <w:spacing w:after="0" w:line="240" w:lineRule="auto"/>
              <w:rPr>
                <w:rFonts w:eastAsia="Times New Roman" w:cs="Arial"/>
                <w:i/>
                <w:color w:val="000000"/>
                <w:sz w:val="20"/>
                <w:szCs w:val="20"/>
                <w:lang w:eastAsia="en-GB"/>
              </w:rPr>
            </w:pPr>
            <w:r w:rsidRPr="00A45A76">
              <w:rPr>
                <w:rFonts w:eastAsia="Times New Roman" w:cs="Arial"/>
                <w:i/>
                <w:color w:val="000000"/>
                <w:sz w:val="20"/>
                <w:szCs w:val="20"/>
                <w:lang w:eastAsia="en-GB"/>
              </w:rPr>
              <w:t>Rotation converged in 10 iterations.</w:t>
            </w:r>
          </w:p>
          <w:p w:rsidR="00FB1389" w:rsidRPr="00A45A76" w:rsidRDefault="00FB1389" w:rsidP="00A45A76">
            <w:pPr>
              <w:spacing w:line="240" w:lineRule="auto"/>
              <w:rPr>
                <w:rFonts w:cs="Arial"/>
                <w:i/>
                <w:sz w:val="20"/>
                <w:szCs w:val="20"/>
              </w:rPr>
            </w:pPr>
            <w:r w:rsidRPr="00A45A76">
              <w:rPr>
                <w:rFonts w:cs="Arial"/>
                <w:i/>
                <w:sz w:val="20"/>
                <w:szCs w:val="20"/>
              </w:rPr>
              <w:t>(R) reversed items.</w:t>
            </w:r>
          </w:p>
          <w:p w:rsidR="00FB1389" w:rsidRPr="00A45A76" w:rsidRDefault="00FB1389" w:rsidP="00A45A76">
            <w:pPr>
              <w:spacing w:after="0" w:line="240" w:lineRule="auto"/>
              <w:rPr>
                <w:rFonts w:eastAsia="Times New Roman" w:cs="Arial"/>
                <w:i/>
                <w:color w:val="000000"/>
                <w:sz w:val="20"/>
                <w:szCs w:val="20"/>
                <w:lang w:eastAsia="en-GB"/>
              </w:rPr>
            </w:pPr>
          </w:p>
        </w:tc>
      </w:tr>
    </w:tbl>
    <w:p w:rsidR="00FB1389" w:rsidRPr="00D05EBD" w:rsidRDefault="00FB1389" w:rsidP="00AE640B">
      <w:pPr>
        <w:spacing w:line="480" w:lineRule="auto"/>
        <w:ind w:firstLine="720"/>
        <w:jc w:val="both"/>
        <w:rPr>
          <w:rFonts w:cs="Times New Roman"/>
          <w:sz w:val="24"/>
          <w:szCs w:val="24"/>
        </w:rPr>
      </w:pPr>
      <w:proofErr w:type="spellStart"/>
      <w:r w:rsidRPr="00D05EBD">
        <w:rPr>
          <w:rFonts w:cs="Times New Roman"/>
          <w:sz w:val="24"/>
          <w:szCs w:val="24"/>
        </w:rPr>
        <w:t>Bivariate</w:t>
      </w:r>
      <w:proofErr w:type="spellEnd"/>
      <w:r w:rsidRPr="00D05EBD">
        <w:rPr>
          <w:rFonts w:cs="Times New Roman"/>
          <w:sz w:val="24"/>
          <w:szCs w:val="24"/>
        </w:rPr>
        <w:t xml:space="preserve"> correlation analyses were conducted to investigate the relationship between each of the factors of the new use of self-control scale (loss of control, exertion of self-control effort, and success at self-control) and the scores of mental fatigue, physical fatigue, emotional exhaustion, and each of the four dimensions of mood </w:t>
      </w:r>
      <w:r w:rsidRPr="00D05EBD">
        <w:rPr>
          <w:rFonts w:cs="Times New Roman"/>
          <w:sz w:val="24"/>
          <w:szCs w:val="24"/>
        </w:rPr>
        <w:lastRenderedPageBreak/>
        <w:t>(HAMP, LAPM, HANM, and LANM)</w:t>
      </w:r>
      <w:r w:rsidRPr="00973AEB">
        <w:rPr>
          <w:rStyle w:val="Refdenotaalpie"/>
        </w:rPr>
        <w:footnoteReference w:id="34"/>
      </w:r>
      <w:r w:rsidRPr="00D05EBD">
        <w:rPr>
          <w:rFonts w:cs="Times New Roman"/>
          <w:sz w:val="24"/>
          <w:szCs w:val="24"/>
        </w:rPr>
        <w:t>. All cor</w:t>
      </w:r>
      <w:r w:rsidR="00F0706F">
        <w:rPr>
          <w:rFonts w:cs="Times New Roman"/>
          <w:sz w:val="24"/>
          <w:szCs w:val="24"/>
        </w:rPr>
        <w:t>relations can be seen in Table IV</w:t>
      </w:r>
      <w:r w:rsidRPr="00D05EBD">
        <w:rPr>
          <w:rFonts w:cs="Times New Roman"/>
          <w:sz w:val="24"/>
          <w:szCs w:val="24"/>
        </w:rPr>
        <w:t xml:space="preserve">.2. When looking at the correlations between mood and use of self-control, it was observed that ‘loss of control’ was significantly negatively correlated with high activated (e.g., r = -.20, </w:t>
      </w:r>
      <w:r w:rsidRPr="00D05EBD">
        <w:rPr>
          <w:rFonts w:cs="Times New Roman"/>
          <w:i/>
          <w:sz w:val="24"/>
          <w:szCs w:val="24"/>
        </w:rPr>
        <w:t xml:space="preserve">p </w:t>
      </w:r>
      <w:r w:rsidRPr="00D05EBD">
        <w:rPr>
          <w:rFonts w:cs="Times New Roman"/>
          <w:sz w:val="24"/>
          <w:szCs w:val="24"/>
        </w:rPr>
        <w:t xml:space="preserve">&lt; .05) and low activated (r = -.21, </w:t>
      </w:r>
      <w:r w:rsidRPr="00D05EBD">
        <w:rPr>
          <w:rFonts w:cs="Times New Roman"/>
          <w:i/>
          <w:sz w:val="24"/>
          <w:szCs w:val="24"/>
        </w:rPr>
        <w:t xml:space="preserve">p </w:t>
      </w:r>
      <w:r w:rsidRPr="00D05EBD">
        <w:rPr>
          <w:rFonts w:cs="Times New Roman"/>
          <w:sz w:val="24"/>
          <w:szCs w:val="24"/>
        </w:rPr>
        <w:t>&lt; .01) positive moods, and positively correlated with high activated (r = .34) and low activated (</w:t>
      </w:r>
      <w:r w:rsidRPr="00D05EBD">
        <w:rPr>
          <w:rFonts w:cs="Times New Roman"/>
          <w:i/>
          <w:sz w:val="24"/>
          <w:szCs w:val="24"/>
        </w:rPr>
        <w:t xml:space="preserve">r </w:t>
      </w:r>
      <w:r w:rsidRPr="00D05EBD">
        <w:rPr>
          <w:rFonts w:cs="Times New Roman"/>
          <w:sz w:val="24"/>
          <w:szCs w:val="24"/>
        </w:rPr>
        <w:t>= .48) negative moods (</w:t>
      </w:r>
      <w:r w:rsidRPr="00D05EBD">
        <w:rPr>
          <w:rFonts w:cs="Times New Roman"/>
          <w:i/>
          <w:sz w:val="24"/>
          <w:szCs w:val="24"/>
        </w:rPr>
        <w:t xml:space="preserve">p </w:t>
      </w:r>
      <w:r w:rsidRPr="00D05EBD">
        <w:rPr>
          <w:rFonts w:cs="Times New Roman"/>
          <w:sz w:val="24"/>
          <w:szCs w:val="24"/>
        </w:rPr>
        <w:t xml:space="preserve">&lt; .01 in both cases). ‘Exertion of self-control effort’ also significantly negatively correlated with low activated positive mood (r = -.16, </w:t>
      </w:r>
      <w:r w:rsidRPr="00D05EBD">
        <w:rPr>
          <w:rFonts w:cs="Times New Roman"/>
          <w:i/>
          <w:sz w:val="24"/>
          <w:szCs w:val="24"/>
        </w:rPr>
        <w:t xml:space="preserve">p </w:t>
      </w:r>
      <w:r w:rsidRPr="00D05EBD">
        <w:rPr>
          <w:rFonts w:cs="Times New Roman"/>
          <w:sz w:val="24"/>
          <w:szCs w:val="24"/>
        </w:rPr>
        <w:t>&lt; .05), and positively correlated with high and low activated negative mood (</w:t>
      </w:r>
      <w:r w:rsidRPr="00D05EBD">
        <w:rPr>
          <w:rFonts w:cs="Times New Roman"/>
          <w:i/>
          <w:sz w:val="24"/>
          <w:szCs w:val="24"/>
        </w:rPr>
        <w:t xml:space="preserve">r </w:t>
      </w:r>
      <w:r w:rsidRPr="00D05EBD">
        <w:rPr>
          <w:rFonts w:cs="Times New Roman"/>
          <w:sz w:val="24"/>
          <w:szCs w:val="24"/>
        </w:rPr>
        <w:t xml:space="preserve">= .31, </w:t>
      </w:r>
      <w:r w:rsidRPr="00D05EBD">
        <w:rPr>
          <w:rFonts w:cs="Times New Roman"/>
          <w:i/>
          <w:sz w:val="24"/>
          <w:szCs w:val="24"/>
        </w:rPr>
        <w:t>p</w:t>
      </w:r>
      <w:r w:rsidRPr="00D05EBD">
        <w:rPr>
          <w:rFonts w:cs="Times New Roman"/>
          <w:sz w:val="24"/>
          <w:szCs w:val="24"/>
        </w:rPr>
        <w:t xml:space="preserve"> &lt; .01, </w:t>
      </w:r>
      <w:r w:rsidRPr="00D05EBD">
        <w:rPr>
          <w:rFonts w:cs="Times New Roman"/>
          <w:i/>
          <w:sz w:val="24"/>
          <w:szCs w:val="24"/>
        </w:rPr>
        <w:t xml:space="preserve">r </w:t>
      </w:r>
      <w:r w:rsidRPr="00D05EBD">
        <w:rPr>
          <w:rFonts w:cs="Times New Roman"/>
          <w:sz w:val="24"/>
          <w:szCs w:val="24"/>
        </w:rPr>
        <w:t xml:space="preserve">= .17, </w:t>
      </w:r>
      <w:r w:rsidRPr="00D05EBD">
        <w:rPr>
          <w:rFonts w:cs="Times New Roman"/>
          <w:i/>
          <w:sz w:val="24"/>
          <w:szCs w:val="24"/>
        </w:rPr>
        <w:t xml:space="preserve">p </w:t>
      </w:r>
      <w:r w:rsidRPr="00D05EBD">
        <w:rPr>
          <w:rFonts w:cs="Times New Roman"/>
          <w:sz w:val="24"/>
          <w:szCs w:val="24"/>
        </w:rPr>
        <w:t>&lt; .05, respectively). Finally, there was a significant positive relationship between ‘success at self-control’ and low activated positive mood (</w:t>
      </w:r>
      <w:r w:rsidRPr="00D05EBD">
        <w:rPr>
          <w:rFonts w:cs="Times New Roman"/>
          <w:i/>
          <w:sz w:val="24"/>
          <w:szCs w:val="24"/>
        </w:rPr>
        <w:t xml:space="preserve">r </w:t>
      </w:r>
      <w:r w:rsidRPr="00D05EBD">
        <w:rPr>
          <w:rFonts w:cs="Times New Roman"/>
          <w:sz w:val="24"/>
          <w:szCs w:val="24"/>
        </w:rPr>
        <w:t xml:space="preserve">= .20, </w:t>
      </w:r>
      <w:r w:rsidRPr="00D05EBD">
        <w:rPr>
          <w:rFonts w:cs="Times New Roman"/>
          <w:i/>
          <w:sz w:val="24"/>
          <w:szCs w:val="24"/>
        </w:rPr>
        <w:t xml:space="preserve">p </w:t>
      </w:r>
      <w:r w:rsidRPr="00D05EBD">
        <w:rPr>
          <w:rFonts w:cs="Times New Roman"/>
          <w:sz w:val="24"/>
          <w:szCs w:val="24"/>
        </w:rPr>
        <w:t>&lt; .05), and a significant negative relationship with low activated negative mood (</w:t>
      </w:r>
      <w:r w:rsidRPr="00D05EBD">
        <w:rPr>
          <w:rFonts w:cs="Times New Roman"/>
          <w:i/>
          <w:sz w:val="24"/>
          <w:szCs w:val="24"/>
        </w:rPr>
        <w:t xml:space="preserve">r </w:t>
      </w:r>
      <w:r w:rsidRPr="00D05EBD">
        <w:rPr>
          <w:rFonts w:cs="Times New Roman"/>
          <w:sz w:val="24"/>
          <w:szCs w:val="24"/>
        </w:rPr>
        <w:t xml:space="preserve">= -.27, </w:t>
      </w:r>
      <w:r w:rsidRPr="00D05EBD">
        <w:rPr>
          <w:rFonts w:cs="Times New Roman"/>
          <w:i/>
          <w:sz w:val="24"/>
          <w:szCs w:val="24"/>
        </w:rPr>
        <w:t xml:space="preserve">p </w:t>
      </w:r>
      <w:r w:rsidRPr="00D05EBD">
        <w:rPr>
          <w:rFonts w:cs="Times New Roman"/>
          <w:sz w:val="24"/>
          <w:szCs w:val="24"/>
        </w:rPr>
        <w:t>&lt; .01). These findings suggest that, as predicted in the second hypothesis of the present study, it is not only negative affect that is correlated with use of self-control as some literature has suggested (</w:t>
      </w:r>
      <w:proofErr w:type="spellStart"/>
      <w:r w:rsidRPr="00D05EBD">
        <w:rPr>
          <w:rFonts w:cs="Times New Roman"/>
          <w:sz w:val="24"/>
          <w:szCs w:val="24"/>
        </w:rPr>
        <w:t>Hagger</w:t>
      </w:r>
      <w:proofErr w:type="spellEnd"/>
      <w:r w:rsidRPr="00D05EBD">
        <w:rPr>
          <w:rFonts w:cs="Times New Roman"/>
          <w:sz w:val="24"/>
          <w:szCs w:val="24"/>
        </w:rPr>
        <w:t xml:space="preserve"> et al., 2010), but affect in general. In particular it could be observed that when participants reported more lost of control and exertion of self-control effort, they experienced less positive mood and more negative mood</w:t>
      </w:r>
      <w:r w:rsidR="00E779B8">
        <w:rPr>
          <w:rFonts w:cs="Times New Roman"/>
          <w:sz w:val="24"/>
          <w:szCs w:val="24"/>
        </w:rPr>
        <w:t xml:space="preserve"> while s</w:t>
      </w:r>
      <w:r w:rsidRPr="00D05EBD">
        <w:rPr>
          <w:rFonts w:cs="Times New Roman"/>
          <w:sz w:val="24"/>
          <w:szCs w:val="24"/>
        </w:rPr>
        <w:t xml:space="preserve">ucceeding at self-control was related to positive mood. </w:t>
      </w: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t xml:space="preserve">Next, the correlations between use of self-control and mental and physical energy were looked at. As predicted in hypothesis three of the present study, use of self-control during the working day was significantly negatively related to levels of energy. Specifically, a significant negative correlation between ‘loss of control’ and mental and </w:t>
      </w:r>
      <w:r w:rsidRPr="00D05EBD">
        <w:rPr>
          <w:rFonts w:cs="Times New Roman"/>
          <w:sz w:val="24"/>
          <w:szCs w:val="24"/>
        </w:rPr>
        <w:lastRenderedPageBreak/>
        <w:t>physical energy was found (</w:t>
      </w:r>
      <w:r w:rsidRPr="00D05EBD">
        <w:rPr>
          <w:rFonts w:cs="Times New Roman"/>
          <w:i/>
          <w:sz w:val="24"/>
          <w:szCs w:val="24"/>
        </w:rPr>
        <w:t xml:space="preserve">r </w:t>
      </w:r>
      <w:r w:rsidRPr="00D05EBD">
        <w:rPr>
          <w:rFonts w:cs="Times New Roman"/>
          <w:sz w:val="24"/>
          <w:szCs w:val="24"/>
        </w:rPr>
        <w:t xml:space="preserve">= -.25, </w:t>
      </w:r>
      <w:r w:rsidRPr="00D05EBD">
        <w:rPr>
          <w:rFonts w:cs="Times New Roman"/>
          <w:i/>
          <w:sz w:val="24"/>
          <w:szCs w:val="24"/>
        </w:rPr>
        <w:t xml:space="preserve">r </w:t>
      </w:r>
      <w:r w:rsidRPr="00D05EBD">
        <w:rPr>
          <w:rFonts w:cs="Times New Roman"/>
          <w:sz w:val="24"/>
          <w:szCs w:val="24"/>
        </w:rPr>
        <w:t xml:space="preserve">= -.26, respectively, both </w:t>
      </w:r>
      <w:proofErr w:type="spellStart"/>
      <w:r w:rsidRPr="00D05EBD">
        <w:rPr>
          <w:rFonts w:cs="Times New Roman"/>
          <w:i/>
          <w:sz w:val="24"/>
          <w:szCs w:val="24"/>
        </w:rPr>
        <w:t>ps</w:t>
      </w:r>
      <w:proofErr w:type="spellEnd"/>
      <w:r w:rsidRPr="00D05EBD">
        <w:rPr>
          <w:rFonts w:cs="Times New Roman"/>
          <w:sz w:val="24"/>
          <w:szCs w:val="24"/>
        </w:rPr>
        <w:t xml:space="preserve"> &lt; .01. No significant correlation was found between ‘exertion of self-control’ and mental and physical energy. Finally, ‘success at self-control’ was positively significantly correlated to mental (</w:t>
      </w:r>
      <w:r w:rsidRPr="00D05EBD">
        <w:rPr>
          <w:rFonts w:cs="Times New Roman"/>
          <w:i/>
          <w:sz w:val="24"/>
          <w:szCs w:val="24"/>
        </w:rPr>
        <w:t xml:space="preserve">r </w:t>
      </w:r>
      <w:r w:rsidRPr="00D05EBD">
        <w:rPr>
          <w:rFonts w:cs="Times New Roman"/>
          <w:sz w:val="24"/>
          <w:szCs w:val="24"/>
        </w:rPr>
        <w:t>= .26) and physical (</w:t>
      </w:r>
      <w:r w:rsidRPr="00D05EBD">
        <w:rPr>
          <w:rFonts w:cs="Times New Roman"/>
          <w:i/>
          <w:sz w:val="24"/>
          <w:szCs w:val="24"/>
        </w:rPr>
        <w:t xml:space="preserve">r </w:t>
      </w:r>
      <w:r w:rsidRPr="00D05EBD">
        <w:rPr>
          <w:rFonts w:cs="Times New Roman"/>
          <w:sz w:val="24"/>
          <w:szCs w:val="24"/>
        </w:rPr>
        <w:t>= .21) energy (</w:t>
      </w:r>
      <w:proofErr w:type="spellStart"/>
      <w:r w:rsidRPr="00D05EBD">
        <w:rPr>
          <w:rFonts w:cs="Times New Roman"/>
          <w:i/>
          <w:sz w:val="24"/>
          <w:szCs w:val="24"/>
        </w:rPr>
        <w:t>ps</w:t>
      </w:r>
      <w:proofErr w:type="spellEnd"/>
      <w:r w:rsidRPr="00D05EBD">
        <w:rPr>
          <w:rFonts w:cs="Times New Roman"/>
          <w:i/>
          <w:sz w:val="24"/>
          <w:szCs w:val="24"/>
        </w:rPr>
        <w:t xml:space="preserve"> </w:t>
      </w:r>
      <w:r w:rsidRPr="00D05EBD">
        <w:rPr>
          <w:rFonts w:cs="Times New Roman"/>
          <w:sz w:val="24"/>
          <w:szCs w:val="24"/>
        </w:rPr>
        <w:t xml:space="preserve">&lt; .01). These results indicate that participants who reported using more self-control and failed at it also reported having less mental and physical energy. On the other hand, succeeding at self-control was related to higher levels of mental and physical energy. Another factor that is associated to fatigue is quality of sleep. Thus, it was explored whether quality of sleep would also affect participant’s use of self-control. To explore this, a MANOVA with quality of sleep as the IV, and the three factors of the use of self control scale as DVs (loss of control, exertion of self-control effort, and success at self-control) was conducted. There was no significant association between the scores on the scale of use of self-control and the quality of sleep </w:t>
      </w:r>
      <w:r w:rsidRPr="00D05EBD">
        <w:rPr>
          <w:rFonts w:cs="Times New Roman"/>
          <w:i/>
          <w:sz w:val="24"/>
          <w:szCs w:val="24"/>
        </w:rPr>
        <w:t>F</w:t>
      </w:r>
      <w:r w:rsidRPr="00D05EBD">
        <w:rPr>
          <w:rFonts w:cs="Times New Roman"/>
          <w:sz w:val="24"/>
          <w:szCs w:val="24"/>
        </w:rPr>
        <w:t xml:space="preserve">(3,15) = 1.4, </w:t>
      </w:r>
      <w:r w:rsidRPr="00D05EBD">
        <w:rPr>
          <w:rFonts w:cs="Times New Roman"/>
          <w:i/>
          <w:sz w:val="24"/>
          <w:szCs w:val="24"/>
        </w:rPr>
        <w:t xml:space="preserve">p </w:t>
      </w:r>
      <w:r w:rsidRPr="00D05EBD">
        <w:rPr>
          <w:rFonts w:cs="Times New Roman"/>
          <w:sz w:val="24"/>
          <w:szCs w:val="24"/>
        </w:rPr>
        <w:t xml:space="preserve">&gt; .05 </w:t>
      </w:r>
    </w:p>
    <w:p w:rsidR="00FB1389" w:rsidRDefault="00FB1389" w:rsidP="00AE640B">
      <w:pPr>
        <w:spacing w:line="480" w:lineRule="auto"/>
        <w:ind w:firstLine="720"/>
        <w:jc w:val="both"/>
        <w:rPr>
          <w:rFonts w:cs="Times New Roman"/>
          <w:sz w:val="24"/>
          <w:szCs w:val="24"/>
        </w:rPr>
      </w:pPr>
      <w:r w:rsidRPr="00D05EBD">
        <w:rPr>
          <w:rFonts w:cs="Times New Roman"/>
          <w:sz w:val="24"/>
          <w:szCs w:val="24"/>
        </w:rPr>
        <w:t>Finally, the last factor that has also been associated to self-control, namely, emotional exhaustion, was examined. It was found that only ‘loss of control’ significantly positively correlated with emotional exhaustion (</w:t>
      </w:r>
      <w:r w:rsidRPr="00D05EBD">
        <w:rPr>
          <w:rFonts w:cs="Times New Roman"/>
          <w:i/>
          <w:sz w:val="24"/>
          <w:szCs w:val="24"/>
        </w:rPr>
        <w:t xml:space="preserve">r </w:t>
      </w:r>
      <w:r w:rsidRPr="00D05EBD">
        <w:rPr>
          <w:rFonts w:cs="Times New Roman"/>
          <w:sz w:val="24"/>
          <w:szCs w:val="24"/>
        </w:rPr>
        <w:t xml:space="preserve">= .38, &lt; .01). This partly confirms the hypothesis that emotional exhaustion is related to the use of self-control, although, as these results suggests, it seems that there’s a relationship only when participants lose self-control, not that much when they exert self-control. </w:t>
      </w:r>
    </w:p>
    <w:p w:rsidR="00510939" w:rsidRDefault="00510939" w:rsidP="00AE640B">
      <w:pPr>
        <w:spacing w:line="480" w:lineRule="auto"/>
        <w:ind w:firstLine="720"/>
        <w:jc w:val="both"/>
        <w:rPr>
          <w:rFonts w:cs="Times New Roman"/>
          <w:sz w:val="24"/>
          <w:szCs w:val="24"/>
        </w:rPr>
      </w:pPr>
    </w:p>
    <w:p w:rsidR="00510939" w:rsidRDefault="00510939" w:rsidP="00F0706F">
      <w:pPr>
        <w:spacing w:line="480" w:lineRule="auto"/>
        <w:jc w:val="both"/>
        <w:rPr>
          <w:rFonts w:cs="Times New Roman"/>
          <w:sz w:val="24"/>
          <w:szCs w:val="24"/>
        </w:rPr>
      </w:pPr>
    </w:p>
    <w:p w:rsidR="00A45A76" w:rsidRPr="00D05EBD" w:rsidRDefault="00A45A76" w:rsidP="00F0706F">
      <w:pPr>
        <w:spacing w:line="480" w:lineRule="auto"/>
        <w:jc w:val="both"/>
        <w:rPr>
          <w:rFonts w:cs="Times New Roman"/>
          <w:sz w:val="24"/>
          <w:szCs w:val="24"/>
        </w:rPr>
      </w:pPr>
    </w:p>
    <w:tbl>
      <w:tblPr>
        <w:tblW w:w="8360" w:type="dxa"/>
        <w:tblInd w:w="94" w:type="dxa"/>
        <w:tblLook w:val="04A0"/>
      </w:tblPr>
      <w:tblGrid>
        <w:gridCol w:w="760"/>
        <w:gridCol w:w="760"/>
        <w:gridCol w:w="760"/>
        <w:gridCol w:w="760"/>
        <w:gridCol w:w="760"/>
        <w:gridCol w:w="760"/>
        <w:gridCol w:w="760"/>
        <w:gridCol w:w="760"/>
        <w:gridCol w:w="760"/>
        <w:gridCol w:w="760"/>
        <w:gridCol w:w="760"/>
      </w:tblGrid>
      <w:tr w:rsidR="00142B59" w:rsidRPr="00142B59" w:rsidTr="00142B59">
        <w:trPr>
          <w:trHeight w:val="540"/>
        </w:trPr>
        <w:tc>
          <w:tcPr>
            <w:tcW w:w="8360" w:type="dxa"/>
            <w:gridSpan w:val="11"/>
            <w:tcBorders>
              <w:top w:val="nil"/>
              <w:left w:val="nil"/>
              <w:bottom w:val="single" w:sz="4" w:space="0" w:color="000000"/>
              <w:right w:val="nil"/>
            </w:tcBorders>
            <w:shd w:val="clear" w:color="auto" w:fill="auto"/>
            <w:vAlign w:val="center"/>
            <w:hideMark/>
          </w:tcPr>
          <w:p w:rsidR="00142B59" w:rsidRPr="00142B59" w:rsidRDefault="0021186E" w:rsidP="00142B59">
            <w:pPr>
              <w:spacing w:after="0" w:line="240" w:lineRule="auto"/>
              <w:rPr>
                <w:rFonts w:eastAsia="Times New Roman" w:cs="Times New Roman"/>
                <w:color w:val="000000"/>
                <w:sz w:val="20"/>
                <w:szCs w:val="20"/>
                <w:lang w:eastAsia="en-GB"/>
              </w:rPr>
            </w:pPr>
            <w:bookmarkStart w:id="0" w:name="RANGE!B1:L15"/>
            <w:r>
              <w:rPr>
                <w:rFonts w:eastAsia="Times New Roman" w:cs="Times New Roman"/>
                <w:color w:val="000000"/>
                <w:sz w:val="20"/>
                <w:szCs w:val="20"/>
                <w:lang w:eastAsia="en-GB"/>
              </w:rPr>
              <w:lastRenderedPageBreak/>
              <w:t>Table IV</w:t>
            </w:r>
            <w:r w:rsidR="00142B59" w:rsidRPr="00142B59">
              <w:rPr>
                <w:rFonts w:eastAsia="Times New Roman" w:cs="Times New Roman"/>
                <w:color w:val="000000"/>
                <w:sz w:val="20"/>
                <w:szCs w:val="20"/>
                <w:lang w:eastAsia="en-GB"/>
              </w:rPr>
              <w:t xml:space="preserve">.2 </w:t>
            </w:r>
            <w:proofErr w:type="spellStart"/>
            <w:r w:rsidR="00142B59" w:rsidRPr="00142B59">
              <w:rPr>
                <w:rFonts w:eastAsia="Times New Roman" w:cs="Times New Roman"/>
                <w:color w:val="000000"/>
                <w:sz w:val="20"/>
                <w:szCs w:val="20"/>
                <w:lang w:eastAsia="en-GB"/>
              </w:rPr>
              <w:t>Bivariate</w:t>
            </w:r>
            <w:proofErr w:type="spellEnd"/>
            <w:r w:rsidR="00142B59" w:rsidRPr="00142B59">
              <w:rPr>
                <w:rFonts w:eastAsia="Times New Roman" w:cs="Times New Roman"/>
                <w:color w:val="000000"/>
                <w:sz w:val="20"/>
                <w:szCs w:val="20"/>
                <w:lang w:eastAsia="en-GB"/>
              </w:rPr>
              <w:t xml:space="preserve"> correlations among the factors of the use of self-control and mental energy, physical energy, emotional exhaustion, and the four dimensions of mood</w:t>
            </w:r>
            <w:bookmarkEnd w:id="0"/>
          </w:p>
        </w:tc>
      </w:tr>
      <w:tr w:rsidR="00142B59" w:rsidRPr="00142B59" w:rsidTr="00142B59">
        <w:trPr>
          <w:trHeight w:val="300"/>
        </w:trPr>
        <w:tc>
          <w:tcPr>
            <w:tcW w:w="760" w:type="dxa"/>
            <w:tcBorders>
              <w:top w:val="nil"/>
              <w:left w:val="nil"/>
              <w:bottom w:val="single" w:sz="4" w:space="0" w:color="000000"/>
              <w:right w:val="nil"/>
            </w:tcBorders>
            <w:shd w:val="clear" w:color="auto" w:fill="auto"/>
            <w:vAlign w:val="bottom"/>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 </w:t>
            </w:r>
          </w:p>
        </w:tc>
        <w:tc>
          <w:tcPr>
            <w:tcW w:w="760" w:type="dxa"/>
            <w:tcBorders>
              <w:top w:val="nil"/>
              <w:left w:val="nil"/>
              <w:bottom w:val="single" w:sz="4" w:space="0" w:color="000000"/>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1</w:t>
            </w:r>
          </w:p>
        </w:tc>
        <w:tc>
          <w:tcPr>
            <w:tcW w:w="760" w:type="dxa"/>
            <w:tcBorders>
              <w:top w:val="nil"/>
              <w:left w:val="nil"/>
              <w:bottom w:val="single" w:sz="4" w:space="0" w:color="000000"/>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2</w:t>
            </w:r>
          </w:p>
        </w:tc>
        <w:tc>
          <w:tcPr>
            <w:tcW w:w="760" w:type="dxa"/>
            <w:tcBorders>
              <w:top w:val="nil"/>
              <w:left w:val="nil"/>
              <w:bottom w:val="single" w:sz="4" w:space="0" w:color="000000"/>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3</w:t>
            </w:r>
          </w:p>
        </w:tc>
        <w:tc>
          <w:tcPr>
            <w:tcW w:w="760" w:type="dxa"/>
            <w:tcBorders>
              <w:top w:val="nil"/>
              <w:left w:val="nil"/>
              <w:bottom w:val="single" w:sz="4" w:space="0" w:color="000000"/>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4</w:t>
            </w:r>
          </w:p>
        </w:tc>
        <w:tc>
          <w:tcPr>
            <w:tcW w:w="760" w:type="dxa"/>
            <w:tcBorders>
              <w:top w:val="nil"/>
              <w:left w:val="nil"/>
              <w:bottom w:val="single" w:sz="4" w:space="0" w:color="000000"/>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5</w:t>
            </w:r>
          </w:p>
        </w:tc>
        <w:tc>
          <w:tcPr>
            <w:tcW w:w="760" w:type="dxa"/>
            <w:tcBorders>
              <w:top w:val="nil"/>
              <w:left w:val="nil"/>
              <w:bottom w:val="single" w:sz="4" w:space="0" w:color="000000"/>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6</w:t>
            </w:r>
          </w:p>
        </w:tc>
        <w:tc>
          <w:tcPr>
            <w:tcW w:w="760" w:type="dxa"/>
            <w:tcBorders>
              <w:top w:val="nil"/>
              <w:left w:val="nil"/>
              <w:bottom w:val="single" w:sz="4" w:space="0" w:color="000000"/>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7</w:t>
            </w:r>
          </w:p>
        </w:tc>
        <w:tc>
          <w:tcPr>
            <w:tcW w:w="760" w:type="dxa"/>
            <w:tcBorders>
              <w:top w:val="nil"/>
              <w:left w:val="nil"/>
              <w:bottom w:val="single" w:sz="4" w:space="0" w:color="000000"/>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8</w:t>
            </w:r>
          </w:p>
        </w:tc>
        <w:tc>
          <w:tcPr>
            <w:tcW w:w="760" w:type="dxa"/>
            <w:tcBorders>
              <w:top w:val="nil"/>
              <w:left w:val="nil"/>
              <w:bottom w:val="single" w:sz="4" w:space="0" w:color="000000"/>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9</w:t>
            </w:r>
          </w:p>
        </w:tc>
        <w:tc>
          <w:tcPr>
            <w:tcW w:w="760" w:type="dxa"/>
            <w:tcBorders>
              <w:top w:val="nil"/>
              <w:left w:val="nil"/>
              <w:bottom w:val="single" w:sz="4" w:space="0" w:color="000000"/>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10</w:t>
            </w:r>
          </w:p>
        </w:tc>
      </w:tr>
      <w:tr w:rsidR="00142B59" w:rsidRPr="00142B59" w:rsidTr="00142B59">
        <w:trPr>
          <w:trHeight w:val="390"/>
        </w:trPr>
        <w:tc>
          <w:tcPr>
            <w:tcW w:w="760" w:type="dxa"/>
            <w:tcBorders>
              <w:top w:val="nil"/>
              <w:left w:val="nil"/>
              <w:bottom w:val="nil"/>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1</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1</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 </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 </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 </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 </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 </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 </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 </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 </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 </w:t>
            </w:r>
          </w:p>
        </w:tc>
      </w:tr>
      <w:tr w:rsidR="00142B59" w:rsidRPr="00142B59" w:rsidTr="00142B59">
        <w:trPr>
          <w:trHeight w:val="390"/>
        </w:trPr>
        <w:tc>
          <w:tcPr>
            <w:tcW w:w="760" w:type="dxa"/>
            <w:tcBorders>
              <w:top w:val="nil"/>
              <w:left w:val="nil"/>
              <w:bottom w:val="nil"/>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2</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.24**</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1</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r>
      <w:tr w:rsidR="00142B59" w:rsidRPr="00142B59" w:rsidTr="00142B59">
        <w:trPr>
          <w:trHeight w:val="390"/>
        </w:trPr>
        <w:tc>
          <w:tcPr>
            <w:tcW w:w="760" w:type="dxa"/>
            <w:tcBorders>
              <w:top w:val="nil"/>
              <w:left w:val="nil"/>
              <w:bottom w:val="nil"/>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3</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-.23**</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-0.11</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1</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r>
      <w:tr w:rsidR="00142B59" w:rsidRPr="00142B59" w:rsidTr="00142B59">
        <w:trPr>
          <w:trHeight w:val="390"/>
        </w:trPr>
        <w:tc>
          <w:tcPr>
            <w:tcW w:w="760" w:type="dxa"/>
            <w:tcBorders>
              <w:top w:val="nil"/>
              <w:left w:val="nil"/>
              <w:bottom w:val="nil"/>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4</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-.25**</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-0.14</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.26**</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1</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r>
      <w:tr w:rsidR="00142B59" w:rsidRPr="00142B59" w:rsidTr="00142B59">
        <w:trPr>
          <w:trHeight w:val="390"/>
        </w:trPr>
        <w:tc>
          <w:tcPr>
            <w:tcW w:w="760" w:type="dxa"/>
            <w:tcBorders>
              <w:top w:val="nil"/>
              <w:left w:val="nil"/>
              <w:bottom w:val="nil"/>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5</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-.26**</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-0.09</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.21**</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.84**</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1</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r>
      <w:tr w:rsidR="00142B59" w:rsidRPr="00142B59" w:rsidTr="00142B59">
        <w:trPr>
          <w:trHeight w:val="390"/>
        </w:trPr>
        <w:tc>
          <w:tcPr>
            <w:tcW w:w="760" w:type="dxa"/>
            <w:tcBorders>
              <w:top w:val="nil"/>
              <w:left w:val="nil"/>
              <w:bottom w:val="nil"/>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6</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.38**</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0.14</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-0.08</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-.35**</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-.34**</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1</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r>
      <w:tr w:rsidR="00142B59" w:rsidRPr="00142B59" w:rsidTr="00142B59">
        <w:trPr>
          <w:trHeight w:val="390"/>
        </w:trPr>
        <w:tc>
          <w:tcPr>
            <w:tcW w:w="760" w:type="dxa"/>
            <w:tcBorders>
              <w:top w:val="nil"/>
              <w:left w:val="nil"/>
              <w:bottom w:val="nil"/>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7</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-.20*</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0.11</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.48**</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.34**</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.35**</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-.24**</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1</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r>
      <w:tr w:rsidR="00142B59" w:rsidRPr="00142B59" w:rsidTr="00142B59">
        <w:trPr>
          <w:trHeight w:val="390"/>
        </w:trPr>
        <w:tc>
          <w:tcPr>
            <w:tcW w:w="760" w:type="dxa"/>
            <w:tcBorders>
              <w:top w:val="nil"/>
              <w:left w:val="nil"/>
              <w:bottom w:val="nil"/>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8</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-.21**</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-.16*</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.20*</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.29**</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.25**</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-.37**</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.33**</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1</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r>
      <w:tr w:rsidR="00142B59" w:rsidRPr="00142B59" w:rsidTr="00142B59">
        <w:trPr>
          <w:trHeight w:val="390"/>
        </w:trPr>
        <w:tc>
          <w:tcPr>
            <w:tcW w:w="760" w:type="dxa"/>
            <w:tcBorders>
              <w:top w:val="nil"/>
              <w:left w:val="nil"/>
              <w:bottom w:val="nil"/>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9</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.34**</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.31**</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-0.10</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-.30**</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-.29**</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.50**</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-0.09</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-.62**</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1</w:t>
            </w:r>
          </w:p>
        </w:tc>
        <w:tc>
          <w:tcPr>
            <w:tcW w:w="760" w:type="dxa"/>
            <w:tcBorders>
              <w:top w:val="nil"/>
              <w:left w:val="nil"/>
              <w:bottom w:val="nil"/>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p>
        </w:tc>
      </w:tr>
      <w:tr w:rsidR="00142B59" w:rsidRPr="00142B59" w:rsidTr="00142B59">
        <w:trPr>
          <w:trHeight w:val="390"/>
        </w:trPr>
        <w:tc>
          <w:tcPr>
            <w:tcW w:w="760" w:type="dxa"/>
            <w:tcBorders>
              <w:top w:val="nil"/>
              <w:left w:val="nil"/>
              <w:bottom w:val="double" w:sz="6" w:space="0" w:color="000000"/>
              <w:right w:val="nil"/>
            </w:tcBorders>
            <w:shd w:val="clear" w:color="auto" w:fill="auto"/>
            <w:hideMark/>
          </w:tcPr>
          <w:p w:rsidR="00142B59" w:rsidRPr="00142B59" w:rsidRDefault="00142B59" w:rsidP="00142B59">
            <w:pPr>
              <w:spacing w:after="0" w:line="240" w:lineRule="auto"/>
              <w:rPr>
                <w:rFonts w:eastAsia="Times New Roman" w:cs="Arial"/>
                <w:color w:val="000000"/>
                <w:sz w:val="20"/>
                <w:szCs w:val="20"/>
                <w:lang w:eastAsia="en-GB"/>
              </w:rPr>
            </w:pPr>
            <w:r w:rsidRPr="00142B59">
              <w:rPr>
                <w:rFonts w:eastAsia="Times New Roman" w:cs="Arial"/>
                <w:color w:val="000000"/>
                <w:sz w:val="20"/>
                <w:szCs w:val="20"/>
                <w:lang w:eastAsia="en-GB"/>
              </w:rPr>
              <w:t>10</w:t>
            </w:r>
          </w:p>
        </w:tc>
        <w:tc>
          <w:tcPr>
            <w:tcW w:w="760" w:type="dxa"/>
            <w:tcBorders>
              <w:top w:val="nil"/>
              <w:left w:val="nil"/>
              <w:bottom w:val="double" w:sz="6" w:space="0" w:color="000000"/>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.48**</w:t>
            </w:r>
          </w:p>
        </w:tc>
        <w:tc>
          <w:tcPr>
            <w:tcW w:w="760" w:type="dxa"/>
            <w:tcBorders>
              <w:top w:val="nil"/>
              <w:left w:val="nil"/>
              <w:bottom w:val="double" w:sz="6" w:space="0" w:color="000000"/>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.17*</w:t>
            </w:r>
          </w:p>
        </w:tc>
        <w:tc>
          <w:tcPr>
            <w:tcW w:w="760" w:type="dxa"/>
            <w:tcBorders>
              <w:top w:val="nil"/>
              <w:left w:val="nil"/>
              <w:bottom w:val="double" w:sz="6" w:space="0" w:color="000000"/>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-.27**</w:t>
            </w:r>
          </w:p>
        </w:tc>
        <w:tc>
          <w:tcPr>
            <w:tcW w:w="760" w:type="dxa"/>
            <w:tcBorders>
              <w:top w:val="nil"/>
              <w:left w:val="nil"/>
              <w:bottom w:val="double" w:sz="6" w:space="0" w:color="000000"/>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-.41**</w:t>
            </w:r>
          </w:p>
        </w:tc>
        <w:tc>
          <w:tcPr>
            <w:tcW w:w="760" w:type="dxa"/>
            <w:tcBorders>
              <w:top w:val="nil"/>
              <w:left w:val="nil"/>
              <w:bottom w:val="double" w:sz="6" w:space="0" w:color="000000"/>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-.36**</w:t>
            </w:r>
          </w:p>
        </w:tc>
        <w:tc>
          <w:tcPr>
            <w:tcW w:w="760" w:type="dxa"/>
            <w:tcBorders>
              <w:top w:val="nil"/>
              <w:left w:val="nil"/>
              <w:bottom w:val="double" w:sz="6" w:space="0" w:color="000000"/>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.63**</w:t>
            </w:r>
          </w:p>
        </w:tc>
        <w:tc>
          <w:tcPr>
            <w:tcW w:w="760" w:type="dxa"/>
            <w:tcBorders>
              <w:top w:val="nil"/>
              <w:left w:val="nil"/>
              <w:bottom w:val="double" w:sz="6" w:space="0" w:color="000000"/>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-.40**</w:t>
            </w:r>
          </w:p>
        </w:tc>
        <w:tc>
          <w:tcPr>
            <w:tcW w:w="760" w:type="dxa"/>
            <w:tcBorders>
              <w:top w:val="nil"/>
              <w:left w:val="nil"/>
              <w:bottom w:val="double" w:sz="6" w:space="0" w:color="000000"/>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-.48**</w:t>
            </w:r>
          </w:p>
        </w:tc>
        <w:tc>
          <w:tcPr>
            <w:tcW w:w="760" w:type="dxa"/>
            <w:tcBorders>
              <w:top w:val="nil"/>
              <w:left w:val="nil"/>
              <w:bottom w:val="double" w:sz="6" w:space="0" w:color="000000"/>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.58**</w:t>
            </w:r>
          </w:p>
        </w:tc>
        <w:tc>
          <w:tcPr>
            <w:tcW w:w="760" w:type="dxa"/>
            <w:tcBorders>
              <w:top w:val="nil"/>
              <w:left w:val="nil"/>
              <w:bottom w:val="double" w:sz="6" w:space="0" w:color="000000"/>
              <w:right w:val="nil"/>
            </w:tcBorders>
            <w:shd w:val="clear" w:color="auto" w:fill="auto"/>
            <w:noWrap/>
            <w:hideMark/>
          </w:tcPr>
          <w:p w:rsidR="00142B59" w:rsidRPr="00142B59" w:rsidRDefault="00142B59" w:rsidP="00142B59">
            <w:pPr>
              <w:spacing w:after="0" w:line="240" w:lineRule="auto"/>
              <w:jc w:val="right"/>
              <w:rPr>
                <w:rFonts w:eastAsia="Times New Roman" w:cs="Arial"/>
                <w:color w:val="000000"/>
                <w:sz w:val="20"/>
                <w:szCs w:val="20"/>
                <w:lang w:eastAsia="en-GB"/>
              </w:rPr>
            </w:pPr>
            <w:r w:rsidRPr="00142B59">
              <w:rPr>
                <w:rFonts w:eastAsia="Times New Roman" w:cs="Arial"/>
                <w:color w:val="000000"/>
                <w:sz w:val="20"/>
                <w:szCs w:val="20"/>
                <w:lang w:eastAsia="en-GB"/>
              </w:rPr>
              <w:t>1</w:t>
            </w:r>
          </w:p>
        </w:tc>
      </w:tr>
      <w:tr w:rsidR="00142B59" w:rsidRPr="00142B59" w:rsidTr="00142B59">
        <w:trPr>
          <w:trHeight w:val="225"/>
        </w:trPr>
        <w:tc>
          <w:tcPr>
            <w:tcW w:w="8360" w:type="dxa"/>
            <w:gridSpan w:val="11"/>
            <w:tcBorders>
              <w:top w:val="double" w:sz="6" w:space="0" w:color="000000"/>
              <w:left w:val="nil"/>
              <w:bottom w:val="nil"/>
              <w:right w:val="nil"/>
            </w:tcBorders>
            <w:shd w:val="clear" w:color="auto" w:fill="auto"/>
            <w:hideMark/>
          </w:tcPr>
          <w:p w:rsidR="00142B59" w:rsidRPr="00142B59" w:rsidRDefault="00142B59" w:rsidP="00142B59">
            <w:pPr>
              <w:spacing w:after="0" w:line="240" w:lineRule="auto"/>
              <w:rPr>
                <w:rFonts w:eastAsia="Times New Roman" w:cs="Arial"/>
                <w:i/>
                <w:iCs/>
                <w:color w:val="000000"/>
                <w:sz w:val="20"/>
                <w:szCs w:val="20"/>
                <w:lang w:eastAsia="en-GB"/>
              </w:rPr>
            </w:pPr>
            <w:r w:rsidRPr="00142B59">
              <w:rPr>
                <w:rFonts w:eastAsia="Times New Roman" w:cs="Arial"/>
                <w:i/>
                <w:iCs/>
                <w:color w:val="000000"/>
                <w:sz w:val="20"/>
                <w:szCs w:val="20"/>
                <w:lang w:eastAsia="en-GB"/>
              </w:rPr>
              <w:t>**p &lt; 0.01; *p &lt; 0.05 (significant at two-tailed)</w:t>
            </w:r>
          </w:p>
        </w:tc>
      </w:tr>
      <w:tr w:rsidR="00142B59" w:rsidRPr="00142B59" w:rsidTr="00142B59">
        <w:trPr>
          <w:trHeight w:val="270"/>
        </w:trPr>
        <w:tc>
          <w:tcPr>
            <w:tcW w:w="1520" w:type="dxa"/>
            <w:gridSpan w:val="2"/>
            <w:tcBorders>
              <w:top w:val="nil"/>
              <w:left w:val="nil"/>
              <w:bottom w:val="nil"/>
              <w:right w:val="nil"/>
            </w:tcBorders>
            <w:shd w:val="clear" w:color="auto" w:fill="auto"/>
            <w:noWrap/>
            <w:vAlign w:val="bottom"/>
            <w:hideMark/>
          </w:tcPr>
          <w:p w:rsidR="00142B59" w:rsidRPr="00142B59" w:rsidRDefault="00142B59" w:rsidP="00142B59">
            <w:pPr>
              <w:spacing w:after="0" w:line="240" w:lineRule="auto"/>
              <w:rPr>
                <w:rFonts w:eastAsia="Times New Roman" w:cs="Times New Roman"/>
                <w:i/>
                <w:iCs/>
                <w:color w:val="000000"/>
                <w:sz w:val="20"/>
                <w:szCs w:val="20"/>
                <w:lang w:eastAsia="en-GB"/>
              </w:rPr>
            </w:pPr>
            <w:r w:rsidRPr="00142B59">
              <w:rPr>
                <w:rFonts w:eastAsia="Times New Roman" w:cs="Times New Roman"/>
                <w:i/>
                <w:iCs/>
                <w:color w:val="000000"/>
                <w:sz w:val="20"/>
                <w:szCs w:val="20"/>
                <w:lang w:eastAsia="en-GB"/>
              </w:rPr>
              <w:t>N = 154</w:t>
            </w:r>
          </w:p>
        </w:tc>
        <w:tc>
          <w:tcPr>
            <w:tcW w:w="760" w:type="dxa"/>
            <w:tcBorders>
              <w:top w:val="nil"/>
              <w:left w:val="nil"/>
              <w:bottom w:val="nil"/>
              <w:right w:val="nil"/>
            </w:tcBorders>
            <w:shd w:val="clear" w:color="auto" w:fill="auto"/>
            <w:noWrap/>
            <w:vAlign w:val="bottom"/>
            <w:hideMark/>
          </w:tcPr>
          <w:p w:rsidR="00142B59" w:rsidRPr="00142B59" w:rsidRDefault="00142B59" w:rsidP="00142B59">
            <w:pPr>
              <w:spacing w:after="0" w:line="240" w:lineRule="auto"/>
              <w:rPr>
                <w:rFonts w:eastAsia="Times New Roman" w:cs="Times New Roman"/>
                <w:color w:val="000000"/>
                <w:sz w:val="20"/>
                <w:szCs w:val="20"/>
                <w:lang w:eastAsia="en-GB"/>
              </w:rPr>
            </w:pPr>
          </w:p>
        </w:tc>
        <w:tc>
          <w:tcPr>
            <w:tcW w:w="760" w:type="dxa"/>
            <w:tcBorders>
              <w:top w:val="nil"/>
              <w:left w:val="nil"/>
              <w:bottom w:val="nil"/>
              <w:right w:val="nil"/>
            </w:tcBorders>
            <w:shd w:val="clear" w:color="auto" w:fill="auto"/>
            <w:noWrap/>
            <w:vAlign w:val="bottom"/>
            <w:hideMark/>
          </w:tcPr>
          <w:p w:rsidR="00142B59" w:rsidRPr="00142B59" w:rsidRDefault="00142B59" w:rsidP="00142B59">
            <w:pPr>
              <w:spacing w:after="0" w:line="240" w:lineRule="auto"/>
              <w:rPr>
                <w:rFonts w:eastAsia="Times New Roman" w:cs="Times New Roman"/>
                <w:color w:val="000000"/>
                <w:sz w:val="20"/>
                <w:szCs w:val="20"/>
                <w:lang w:eastAsia="en-GB"/>
              </w:rPr>
            </w:pPr>
          </w:p>
        </w:tc>
        <w:tc>
          <w:tcPr>
            <w:tcW w:w="760" w:type="dxa"/>
            <w:tcBorders>
              <w:top w:val="nil"/>
              <w:left w:val="nil"/>
              <w:bottom w:val="nil"/>
              <w:right w:val="nil"/>
            </w:tcBorders>
            <w:shd w:val="clear" w:color="auto" w:fill="auto"/>
            <w:noWrap/>
            <w:vAlign w:val="bottom"/>
            <w:hideMark/>
          </w:tcPr>
          <w:p w:rsidR="00142B59" w:rsidRPr="00142B59" w:rsidRDefault="00142B59" w:rsidP="00142B59">
            <w:pPr>
              <w:spacing w:after="0" w:line="240" w:lineRule="auto"/>
              <w:rPr>
                <w:rFonts w:eastAsia="Times New Roman" w:cs="Times New Roman"/>
                <w:color w:val="000000"/>
                <w:sz w:val="20"/>
                <w:szCs w:val="20"/>
                <w:lang w:eastAsia="en-GB"/>
              </w:rPr>
            </w:pPr>
          </w:p>
        </w:tc>
        <w:tc>
          <w:tcPr>
            <w:tcW w:w="760" w:type="dxa"/>
            <w:tcBorders>
              <w:top w:val="nil"/>
              <w:left w:val="nil"/>
              <w:bottom w:val="nil"/>
              <w:right w:val="nil"/>
            </w:tcBorders>
            <w:shd w:val="clear" w:color="auto" w:fill="auto"/>
            <w:noWrap/>
            <w:vAlign w:val="bottom"/>
            <w:hideMark/>
          </w:tcPr>
          <w:p w:rsidR="00142B59" w:rsidRPr="00142B59" w:rsidRDefault="00142B59" w:rsidP="00142B59">
            <w:pPr>
              <w:spacing w:after="0" w:line="240" w:lineRule="auto"/>
              <w:rPr>
                <w:rFonts w:eastAsia="Times New Roman" w:cs="Times New Roman"/>
                <w:color w:val="000000"/>
                <w:sz w:val="20"/>
                <w:szCs w:val="20"/>
                <w:lang w:eastAsia="en-GB"/>
              </w:rPr>
            </w:pPr>
          </w:p>
        </w:tc>
        <w:tc>
          <w:tcPr>
            <w:tcW w:w="760" w:type="dxa"/>
            <w:tcBorders>
              <w:top w:val="nil"/>
              <w:left w:val="nil"/>
              <w:bottom w:val="nil"/>
              <w:right w:val="nil"/>
            </w:tcBorders>
            <w:shd w:val="clear" w:color="auto" w:fill="auto"/>
            <w:noWrap/>
            <w:vAlign w:val="bottom"/>
            <w:hideMark/>
          </w:tcPr>
          <w:p w:rsidR="00142B59" w:rsidRPr="00142B59" w:rsidRDefault="00142B59" w:rsidP="00142B59">
            <w:pPr>
              <w:spacing w:after="0" w:line="240" w:lineRule="auto"/>
              <w:rPr>
                <w:rFonts w:eastAsia="Times New Roman" w:cs="Times New Roman"/>
                <w:color w:val="000000"/>
                <w:sz w:val="20"/>
                <w:szCs w:val="20"/>
                <w:lang w:eastAsia="en-GB"/>
              </w:rPr>
            </w:pPr>
          </w:p>
        </w:tc>
        <w:tc>
          <w:tcPr>
            <w:tcW w:w="760" w:type="dxa"/>
            <w:tcBorders>
              <w:top w:val="nil"/>
              <w:left w:val="nil"/>
              <w:bottom w:val="nil"/>
              <w:right w:val="nil"/>
            </w:tcBorders>
            <w:shd w:val="clear" w:color="auto" w:fill="auto"/>
            <w:noWrap/>
            <w:vAlign w:val="bottom"/>
            <w:hideMark/>
          </w:tcPr>
          <w:p w:rsidR="00142B59" w:rsidRPr="00142B59" w:rsidRDefault="00142B59" w:rsidP="00142B59">
            <w:pPr>
              <w:spacing w:after="0" w:line="240" w:lineRule="auto"/>
              <w:rPr>
                <w:rFonts w:eastAsia="Times New Roman" w:cs="Times New Roman"/>
                <w:color w:val="000000"/>
                <w:sz w:val="20"/>
                <w:szCs w:val="20"/>
                <w:lang w:eastAsia="en-GB"/>
              </w:rPr>
            </w:pPr>
          </w:p>
        </w:tc>
        <w:tc>
          <w:tcPr>
            <w:tcW w:w="760" w:type="dxa"/>
            <w:tcBorders>
              <w:top w:val="nil"/>
              <w:left w:val="nil"/>
              <w:bottom w:val="nil"/>
              <w:right w:val="nil"/>
            </w:tcBorders>
            <w:shd w:val="clear" w:color="auto" w:fill="auto"/>
            <w:noWrap/>
            <w:vAlign w:val="bottom"/>
            <w:hideMark/>
          </w:tcPr>
          <w:p w:rsidR="00142B59" w:rsidRPr="00142B59" w:rsidRDefault="00142B59" w:rsidP="00142B59">
            <w:pPr>
              <w:spacing w:after="0" w:line="240" w:lineRule="auto"/>
              <w:rPr>
                <w:rFonts w:eastAsia="Times New Roman" w:cs="Times New Roman"/>
                <w:color w:val="000000"/>
                <w:sz w:val="20"/>
                <w:szCs w:val="20"/>
                <w:lang w:eastAsia="en-GB"/>
              </w:rPr>
            </w:pPr>
          </w:p>
        </w:tc>
        <w:tc>
          <w:tcPr>
            <w:tcW w:w="760" w:type="dxa"/>
            <w:tcBorders>
              <w:top w:val="nil"/>
              <w:left w:val="nil"/>
              <w:bottom w:val="nil"/>
              <w:right w:val="nil"/>
            </w:tcBorders>
            <w:shd w:val="clear" w:color="auto" w:fill="auto"/>
            <w:noWrap/>
            <w:vAlign w:val="bottom"/>
            <w:hideMark/>
          </w:tcPr>
          <w:p w:rsidR="00142B59" w:rsidRPr="00142B59" w:rsidRDefault="00142B59" w:rsidP="00142B59">
            <w:pPr>
              <w:spacing w:after="0" w:line="240" w:lineRule="auto"/>
              <w:rPr>
                <w:rFonts w:eastAsia="Times New Roman" w:cs="Times New Roman"/>
                <w:color w:val="000000"/>
                <w:sz w:val="20"/>
                <w:szCs w:val="20"/>
                <w:lang w:eastAsia="en-GB"/>
              </w:rPr>
            </w:pPr>
          </w:p>
        </w:tc>
        <w:tc>
          <w:tcPr>
            <w:tcW w:w="760" w:type="dxa"/>
            <w:tcBorders>
              <w:top w:val="nil"/>
              <w:left w:val="nil"/>
              <w:bottom w:val="nil"/>
              <w:right w:val="nil"/>
            </w:tcBorders>
            <w:shd w:val="clear" w:color="auto" w:fill="auto"/>
            <w:noWrap/>
            <w:vAlign w:val="bottom"/>
            <w:hideMark/>
          </w:tcPr>
          <w:p w:rsidR="00142B59" w:rsidRPr="00142B59" w:rsidRDefault="00142B59" w:rsidP="00142B59">
            <w:pPr>
              <w:spacing w:after="0" w:line="240" w:lineRule="auto"/>
              <w:rPr>
                <w:rFonts w:eastAsia="Times New Roman" w:cs="Times New Roman"/>
                <w:color w:val="000000"/>
                <w:sz w:val="20"/>
                <w:szCs w:val="20"/>
                <w:lang w:eastAsia="en-GB"/>
              </w:rPr>
            </w:pPr>
          </w:p>
        </w:tc>
      </w:tr>
      <w:tr w:rsidR="00142B59" w:rsidRPr="00142B59" w:rsidTr="00142B59">
        <w:trPr>
          <w:trHeight w:val="780"/>
        </w:trPr>
        <w:tc>
          <w:tcPr>
            <w:tcW w:w="8360" w:type="dxa"/>
            <w:gridSpan w:val="11"/>
            <w:tcBorders>
              <w:top w:val="nil"/>
              <w:left w:val="nil"/>
              <w:bottom w:val="nil"/>
              <w:right w:val="nil"/>
            </w:tcBorders>
            <w:shd w:val="clear" w:color="auto" w:fill="auto"/>
            <w:hideMark/>
          </w:tcPr>
          <w:p w:rsidR="00142B59" w:rsidRPr="00142B59" w:rsidRDefault="00142B59" w:rsidP="00510939">
            <w:pPr>
              <w:spacing w:after="0" w:line="240" w:lineRule="auto"/>
              <w:jc w:val="both"/>
              <w:rPr>
                <w:rFonts w:eastAsia="Times New Roman" w:cs="Arial"/>
                <w:i/>
                <w:iCs/>
                <w:color w:val="000000"/>
                <w:sz w:val="20"/>
                <w:szCs w:val="20"/>
                <w:lang w:eastAsia="en-GB"/>
              </w:rPr>
            </w:pPr>
            <w:r w:rsidRPr="00142B59">
              <w:rPr>
                <w:rFonts w:eastAsia="Times New Roman" w:cs="Arial"/>
                <w:i/>
                <w:iCs/>
                <w:color w:val="000000"/>
                <w:sz w:val="20"/>
                <w:szCs w:val="20"/>
                <w:lang w:eastAsia="en-GB"/>
              </w:rPr>
              <w:t>Note:  Two extreme cases for mental energy and one extreme case for physical energy were removed from the analyses as the scores indicate a random response from the participant. Thus the sample size varies in some analysis (N = 152 for mental energy and N = 153 for physical energy).</w:t>
            </w:r>
          </w:p>
        </w:tc>
      </w:tr>
      <w:tr w:rsidR="00142B59" w:rsidRPr="00142B59" w:rsidTr="00142B59">
        <w:trPr>
          <w:trHeight w:val="525"/>
        </w:trPr>
        <w:tc>
          <w:tcPr>
            <w:tcW w:w="8360" w:type="dxa"/>
            <w:gridSpan w:val="11"/>
            <w:tcBorders>
              <w:top w:val="nil"/>
              <w:left w:val="nil"/>
              <w:bottom w:val="nil"/>
              <w:right w:val="nil"/>
            </w:tcBorders>
            <w:shd w:val="clear" w:color="auto" w:fill="auto"/>
            <w:vAlign w:val="bottom"/>
            <w:hideMark/>
          </w:tcPr>
          <w:p w:rsidR="00142B59" w:rsidRPr="00142B59" w:rsidRDefault="00142B59" w:rsidP="00510939">
            <w:pPr>
              <w:spacing w:after="0" w:line="240" w:lineRule="auto"/>
              <w:jc w:val="both"/>
              <w:rPr>
                <w:rFonts w:eastAsia="Times New Roman" w:cs="Arial"/>
                <w:i/>
                <w:iCs/>
                <w:color w:val="000000"/>
                <w:sz w:val="20"/>
                <w:szCs w:val="20"/>
                <w:lang w:eastAsia="en-GB"/>
              </w:rPr>
            </w:pPr>
            <w:r w:rsidRPr="00142B59">
              <w:rPr>
                <w:rFonts w:eastAsia="Times New Roman" w:cs="Arial"/>
                <w:i/>
                <w:iCs/>
                <w:color w:val="000000"/>
                <w:sz w:val="20"/>
                <w:szCs w:val="20"/>
                <w:lang w:eastAsia="en-GB"/>
              </w:rPr>
              <w:t>1. Loss of control, 2. Exertion of self-control effort, 3. Success at self-control, 4. Mental energy, 5. Physical energy, 6. Emotional exhaustion, 7. High activated positive mood, 8. Low activated positive mood, 9. High activated negative mood, 10. Low activated negative mood</w:t>
            </w:r>
          </w:p>
        </w:tc>
      </w:tr>
    </w:tbl>
    <w:p w:rsidR="00FB1389" w:rsidRPr="00D05EBD" w:rsidRDefault="00FB1389" w:rsidP="00AE640B">
      <w:pPr>
        <w:spacing w:line="480" w:lineRule="auto"/>
        <w:jc w:val="both"/>
        <w:rPr>
          <w:rFonts w:cs="Times New Roman"/>
          <w:sz w:val="24"/>
          <w:szCs w:val="24"/>
        </w:rPr>
      </w:pP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t xml:space="preserve">The next analyses explored the main hypothesis of Study 3: whether </w:t>
      </w:r>
      <w:r w:rsidRPr="00D05EBD">
        <w:rPr>
          <w:rFonts w:cs="Times New Roman"/>
          <w:color w:val="000000" w:themeColor="text1"/>
          <w:sz w:val="24"/>
          <w:szCs w:val="24"/>
        </w:rPr>
        <w:t xml:space="preserve">participants who reported having used more self-control during their working days would have less capacity or willingness to exert self-control than participants who reported using less self-control, as reflected on a worse performance on the Stroop Task. </w:t>
      </w:r>
      <w:r w:rsidRPr="00D05EBD">
        <w:rPr>
          <w:rFonts w:cs="Times New Roman"/>
          <w:sz w:val="24"/>
          <w:szCs w:val="24"/>
        </w:rPr>
        <w:t xml:space="preserve">A correlation analysis between each of the five variables (three corresponding to the factors or the ‘use of self-control scale’: loss of control, exertion of self-control effort, success at self-control; and the other two corresponding to the factors associated to the use of self-control: emotional exhaustion, mental energy and physical energy) and </w:t>
      </w:r>
      <w:proofErr w:type="spellStart"/>
      <w:r w:rsidRPr="00D05EBD">
        <w:rPr>
          <w:rFonts w:cs="Times New Roman"/>
          <w:sz w:val="24"/>
          <w:szCs w:val="24"/>
        </w:rPr>
        <w:t>i</w:t>
      </w:r>
      <w:proofErr w:type="spellEnd"/>
      <w:r w:rsidRPr="00D05EBD">
        <w:rPr>
          <w:rFonts w:cs="Times New Roman"/>
          <w:sz w:val="24"/>
          <w:szCs w:val="24"/>
        </w:rPr>
        <w:t xml:space="preserve">) the percentage of correct responses on the Stroop task and ii) the mean of  reaction time, was conducted. Outliers over 3 SDs for the percentage of correct responses and the mean of reaction time in the Stroop task were removed. There was no significant relationship </w:t>
      </w:r>
      <w:r w:rsidRPr="00D05EBD">
        <w:rPr>
          <w:rFonts w:cs="Times New Roman"/>
          <w:sz w:val="24"/>
          <w:szCs w:val="24"/>
        </w:rPr>
        <w:lastRenderedPageBreak/>
        <w:t>between ‘loss of control’ (</w:t>
      </w:r>
      <w:r w:rsidRPr="00D05EBD">
        <w:rPr>
          <w:rFonts w:cs="Times New Roman"/>
          <w:i/>
          <w:sz w:val="24"/>
          <w:szCs w:val="24"/>
        </w:rPr>
        <w:t xml:space="preserve">r </w:t>
      </w:r>
      <w:r w:rsidRPr="00D05EBD">
        <w:rPr>
          <w:rFonts w:cs="Times New Roman"/>
          <w:sz w:val="24"/>
          <w:szCs w:val="24"/>
        </w:rPr>
        <w:t>= -.13), ‘exertion of self-control effort’ (</w:t>
      </w:r>
      <w:r w:rsidRPr="00D05EBD">
        <w:rPr>
          <w:rFonts w:cs="Times New Roman"/>
          <w:i/>
          <w:sz w:val="24"/>
          <w:szCs w:val="24"/>
        </w:rPr>
        <w:t xml:space="preserve">r </w:t>
      </w:r>
      <w:r w:rsidRPr="00D05EBD">
        <w:rPr>
          <w:rFonts w:cs="Times New Roman"/>
          <w:sz w:val="24"/>
          <w:szCs w:val="24"/>
        </w:rPr>
        <w:t>= -.11) and, ‘success at self-control’ (</w:t>
      </w:r>
      <w:r w:rsidRPr="00D05EBD">
        <w:rPr>
          <w:rFonts w:cs="Times New Roman"/>
          <w:i/>
          <w:sz w:val="24"/>
          <w:szCs w:val="24"/>
        </w:rPr>
        <w:t xml:space="preserve">r </w:t>
      </w:r>
      <w:r w:rsidRPr="00D05EBD">
        <w:rPr>
          <w:rFonts w:cs="Times New Roman"/>
          <w:sz w:val="24"/>
          <w:szCs w:val="24"/>
        </w:rPr>
        <w:t xml:space="preserve">= .13) (all </w:t>
      </w:r>
      <w:proofErr w:type="spellStart"/>
      <w:r w:rsidRPr="00D05EBD">
        <w:rPr>
          <w:rFonts w:cs="Times New Roman"/>
          <w:i/>
          <w:sz w:val="24"/>
          <w:szCs w:val="24"/>
        </w:rPr>
        <w:t>ps</w:t>
      </w:r>
      <w:proofErr w:type="spellEnd"/>
      <w:r w:rsidRPr="00D05EBD">
        <w:rPr>
          <w:rFonts w:cs="Times New Roman"/>
          <w:i/>
          <w:sz w:val="24"/>
          <w:szCs w:val="24"/>
        </w:rPr>
        <w:t xml:space="preserve"> </w:t>
      </w:r>
      <w:r w:rsidRPr="00D05EBD">
        <w:rPr>
          <w:rFonts w:cs="Times New Roman"/>
          <w:sz w:val="24"/>
          <w:szCs w:val="24"/>
        </w:rPr>
        <w:t>&gt; .05)</w:t>
      </w:r>
      <w:r w:rsidRPr="00D05EBD">
        <w:rPr>
          <w:rFonts w:cs="Times New Roman"/>
          <w:i/>
          <w:sz w:val="24"/>
          <w:szCs w:val="24"/>
        </w:rPr>
        <w:t xml:space="preserve"> </w:t>
      </w:r>
      <w:r w:rsidRPr="00D05EBD">
        <w:rPr>
          <w:rFonts w:cs="Times New Roman"/>
          <w:sz w:val="24"/>
          <w:szCs w:val="24"/>
        </w:rPr>
        <w:t>and the percentage of correct responses on the Stroop Task. There was not either a significant relationship between ‘loss of control’ (</w:t>
      </w:r>
      <w:r w:rsidRPr="00D05EBD">
        <w:rPr>
          <w:rFonts w:cs="Times New Roman"/>
          <w:i/>
          <w:sz w:val="24"/>
          <w:szCs w:val="24"/>
        </w:rPr>
        <w:t xml:space="preserve">r </w:t>
      </w:r>
      <w:r w:rsidRPr="00D05EBD">
        <w:rPr>
          <w:rFonts w:cs="Times New Roman"/>
          <w:sz w:val="24"/>
          <w:szCs w:val="24"/>
        </w:rPr>
        <w:t>= -.06), ‘exertion of self-control effort’ (</w:t>
      </w:r>
      <w:r w:rsidRPr="00D05EBD">
        <w:rPr>
          <w:rFonts w:cs="Times New Roman"/>
          <w:i/>
          <w:sz w:val="24"/>
          <w:szCs w:val="24"/>
        </w:rPr>
        <w:t xml:space="preserve">r </w:t>
      </w:r>
      <w:r w:rsidRPr="00D05EBD">
        <w:rPr>
          <w:rFonts w:cs="Times New Roman"/>
          <w:sz w:val="24"/>
          <w:szCs w:val="24"/>
        </w:rPr>
        <w:t>= .01) and, ‘success at self-control’ (</w:t>
      </w:r>
      <w:r w:rsidRPr="00D05EBD">
        <w:rPr>
          <w:rFonts w:cs="Times New Roman"/>
          <w:i/>
          <w:sz w:val="24"/>
          <w:szCs w:val="24"/>
        </w:rPr>
        <w:t xml:space="preserve">r </w:t>
      </w:r>
      <w:r w:rsidRPr="00D05EBD">
        <w:rPr>
          <w:rFonts w:cs="Times New Roman"/>
          <w:sz w:val="24"/>
          <w:szCs w:val="24"/>
        </w:rPr>
        <w:t>= .11) and the mean of reaction time on the Stroop task</w:t>
      </w:r>
      <w:r w:rsidRPr="00D05EBD">
        <w:rPr>
          <w:rStyle w:val="Refdecomentario"/>
          <w:sz w:val="24"/>
          <w:szCs w:val="24"/>
        </w:rPr>
        <w:t xml:space="preserve"> </w:t>
      </w:r>
      <w:r w:rsidRPr="00D05EBD">
        <w:rPr>
          <w:rFonts w:cs="Times New Roman"/>
          <w:sz w:val="24"/>
          <w:szCs w:val="24"/>
        </w:rPr>
        <w:t xml:space="preserve">(all </w:t>
      </w:r>
      <w:proofErr w:type="spellStart"/>
      <w:r w:rsidRPr="00D05EBD">
        <w:rPr>
          <w:rFonts w:cs="Times New Roman"/>
          <w:i/>
          <w:sz w:val="24"/>
          <w:szCs w:val="24"/>
        </w:rPr>
        <w:t>ps</w:t>
      </w:r>
      <w:proofErr w:type="spellEnd"/>
      <w:r w:rsidRPr="00D05EBD">
        <w:rPr>
          <w:rFonts w:cs="Times New Roman"/>
          <w:i/>
          <w:sz w:val="24"/>
          <w:szCs w:val="24"/>
        </w:rPr>
        <w:t xml:space="preserve"> </w:t>
      </w:r>
      <w:r w:rsidRPr="00D05EBD">
        <w:rPr>
          <w:rFonts w:cs="Times New Roman"/>
          <w:sz w:val="24"/>
          <w:szCs w:val="24"/>
        </w:rPr>
        <w:t>&gt; .05)</w:t>
      </w:r>
      <w:r w:rsidRPr="00D05EBD">
        <w:rPr>
          <w:rFonts w:cs="Times New Roman"/>
          <w:i/>
          <w:sz w:val="24"/>
          <w:szCs w:val="24"/>
        </w:rPr>
        <w:t xml:space="preserve"> </w:t>
      </w:r>
      <w:r w:rsidR="00F0706F">
        <w:rPr>
          <w:rStyle w:val="Refdecomentario"/>
          <w:sz w:val="24"/>
          <w:szCs w:val="24"/>
        </w:rPr>
        <w:t>(see Table IV</w:t>
      </w:r>
      <w:r w:rsidRPr="00D05EBD">
        <w:rPr>
          <w:rStyle w:val="Refdecomentario"/>
          <w:sz w:val="24"/>
          <w:szCs w:val="24"/>
        </w:rPr>
        <w:t>.3).</w:t>
      </w:r>
      <w:r w:rsidRPr="00D05EBD">
        <w:rPr>
          <w:rFonts w:cs="Times New Roman"/>
          <w:sz w:val="24"/>
          <w:szCs w:val="24"/>
        </w:rPr>
        <w:t xml:space="preserve"> No significant associations between any of the four dimension of mood and the mean of reaction time on the Stroop task were found: HAPM (</w:t>
      </w:r>
      <w:r w:rsidRPr="00D05EBD">
        <w:rPr>
          <w:rFonts w:cs="Times New Roman"/>
          <w:i/>
          <w:sz w:val="24"/>
          <w:szCs w:val="24"/>
        </w:rPr>
        <w:t>r</w:t>
      </w:r>
      <w:r w:rsidRPr="00D05EBD">
        <w:rPr>
          <w:rFonts w:cs="Times New Roman"/>
          <w:sz w:val="24"/>
          <w:szCs w:val="24"/>
        </w:rPr>
        <w:t xml:space="preserve"> = -.10), HANM (</w:t>
      </w:r>
      <w:r w:rsidRPr="00D05EBD">
        <w:rPr>
          <w:rFonts w:cs="Times New Roman"/>
          <w:i/>
          <w:sz w:val="24"/>
          <w:szCs w:val="24"/>
        </w:rPr>
        <w:t>r</w:t>
      </w:r>
      <w:r w:rsidRPr="00D05EBD">
        <w:rPr>
          <w:rFonts w:cs="Times New Roman"/>
          <w:sz w:val="24"/>
          <w:szCs w:val="24"/>
        </w:rPr>
        <w:t xml:space="preserve"> = .10), </w:t>
      </w:r>
      <w:r w:rsidRPr="00D05EBD">
        <w:rPr>
          <w:rFonts w:cs="Times New Roman"/>
          <w:sz w:val="24"/>
          <w:szCs w:val="24"/>
          <w:lang w:val="en-US"/>
        </w:rPr>
        <w:t xml:space="preserve">LAPM </w:t>
      </w:r>
      <w:r w:rsidRPr="00D05EBD">
        <w:rPr>
          <w:rFonts w:cs="Times New Roman"/>
          <w:sz w:val="24"/>
          <w:szCs w:val="24"/>
        </w:rPr>
        <w:t>(</w:t>
      </w:r>
      <w:r w:rsidRPr="00D05EBD">
        <w:rPr>
          <w:rFonts w:cs="Times New Roman"/>
          <w:i/>
          <w:sz w:val="24"/>
          <w:szCs w:val="24"/>
        </w:rPr>
        <w:t>r</w:t>
      </w:r>
      <w:r w:rsidRPr="00D05EBD">
        <w:rPr>
          <w:rFonts w:cs="Times New Roman"/>
          <w:sz w:val="24"/>
          <w:szCs w:val="24"/>
        </w:rPr>
        <w:t xml:space="preserve"> = -.09), and LANM (</w:t>
      </w:r>
      <w:r w:rsidRPr="00D05EBD">
        <w:rPr>
          <w:rFonts w:cs="Times New Roman"/>
          <w:i/>
          <w:sz w:val="24"/>
          <w:szCs w:val="24"/>
        </w:rPr>
        <w:t>r</w:t>
      </w:r>
      <w:r w:rsidRPr="00D05EBD">
        <w:rPr>
          <w:rFonts w:cs="Times New Roman"/>
          <w:sz w:val="24"/>
          <w:szCs w:val="24"/>
        </w:rPr>
        <w:t xml:space="preserve"> = .09) (all </w:t>
      </w:r>
      <w:proofErr w:type="spellStart"/>
      <w:r w:rsidRPr="00D05EBD">
        <w:rPr>
          <w:rFonts w:cs="Times New Roman"/>
          <w:i/>
          <w:sz w:val="24"/>
          <w:szCs w:val="24"/>
        </w:rPr>
        <w:t>ps</w:t>
      </w:r>
      <w:proofErr w:type="spellEnd"/>
      <w:r w:rsidRPr="00D05EBD">
        <w:rPr>
          <w:rFonts w:cs="Times New Roman"/>
          <w:i/>
          <w:sz w:val="24"/>
          <w:szCs w:val="24"/>
        </w:rPr>
        <w:t xml:space="preserve"> </w:t>
      </w:r>
      <w:r w:rsidRPr="00D05EBD">
        <w:rPr>
          <w:rFonts w:cs="Times New Roman"/>
          <w:sz w:val="24"/>
          <w:szCs w:val="24"/>
        </w:rPr>
        <w:t>&gt; .05). The four dimensions of mood were not significantly correlated either with the percentage of correct response on the Stroop task: HAPM (</w:t>
      </w:r>
      <w:r w:rsidRPr="00D05EBD">
        <w:rPr>
          <w:rFonts w:cs="Times New Roman"/>
          <w:i/>
          <w:sz w:val="24"/>
          <w:szCs w:val="24"/>
        </w:rPr>
        <w:t>r</w:t>
      </w:r>
      <w:r w:rsidRPr="00D05EBD">
        <w:rPr>
          <w:rFonts w:cs="Times New Roman"/>
          <w:sz w:val="24"/>
          <w:szCs w:val="24"/>
        </w:rPr>
        <w:t xml:space="preserve"> = .16), HANM (</w:t>
      </w:r>
      <w:r w:rsidRPr="00D05EBD">
        <w:rPr>
          <w:rFonts w:cs="Times New Roman"/>
          <w:i/>
          <w:sz w:val="24"/>
          <w:szCs w:val="24"/>
        </w:rPr>
        <w:t>r</w:t>
      </w:r>
      <w:r w:rsidRPr="00D05EBD">
        <w:rPr>
          <w:rFonts w:cs="Times New Roman"/>
          <w:sz w:val="24"/>
          <w:szCs w:val="24"/>
        </w:rPr>
        <w:t xml:space="preserve"> = -.09), </w:t>
      </w:r>
      <w:r w:rsidRPr="00D05EBD">
        <w:rPr>
          <w:rFonts w:cs="Times New Roman"/>
          <w:sz w:val="24"/>
          <w:szCs w:val="24"/>
          <w:lang w:val="en-US"/>
        </w:rPr>
        <w:t xml:space="preserve">LAPM </w:t>
      </w:r>
      <w:r w:rsidRPr="00D05EBD">
        <w:rPr>
          <w:rFonts w:cs="Times New Roman"/>
          <w:sz w:val="24"/>
          <w:szCs w:val="24"/>
        </w:rPr>
        <w:t>(</w:t>
      </w:r>
      <w:r w:rsidRPr="00D05EBD">
        <w:rPr>
          <w:rFonts w:cs="Times New Roman"/>
          <w:i/>
          <w:sz w:val="24"/>
          <w:szCs w:val="24"/>
        </w:rPr>
        <w:t>r</w:t>
      </w:r>
      <w:r w:rsidRPr="00D05EBD">
        <w:rPr>
          <w:rFonts w:cs="Times New Roman"/>
          <w:sz w:val="24"/>
          <w:szCs w:val="24"/>
        </w:rPr>
        <w:t xml:space="preserve"> = .06), and LANM (</w:t>
      </w:r>
      <w:r w:rsidRPr="00D05EBD">
        <w:rPr>
          <w:rFonts w:cs="Times New Roman"/>
          <w:i/>
          <w:sz w:val="24"/>
          <w:szCs w:val="24"/>
        </w:rPr>
        <w:t>r</w:t>
      </w:r>
      <w:r w:rsidRPr="00D05EBD">
        <w:rPr>
          <w:rFonts w:cs="Times New Roman"/>
          <w:sz w:val="24"/>
          <w:szCs w:val="24"/>
        </w:rPr>
        <w:t xml:space="preserve"> = -.09) (all </w:t>
      </w:r>
      <w:proofErr w:type="spellStart"/>
      <w:r w:rsidRPr="00D05EBD">
        <w:rPr>
          <w:rFonts w:cs="Times New Roman"/>
          <w:i/>
          <w:sz w:val="24"/>
          <w:szCs w:val="24"/>
        </w:rPr>
        <w:t>ps</w:t>
      </w:r>
      <w:proofErr w:type="spellEnd"/>
      <w:r w:rsidRPr="00D05EBD">
        <w:rPr>
          <w:rFonts w:cs="Times New Roman"/>
          <w:i/>
          <w:sz w:val="24"/>
          <w:szCs w:val="24"/>
        </w:rPr>
        <w:t xml:space="preserve"> </w:t>
      </w:r>
      <w:r w:rsidRPr="00D05EBD">
        <w:rPr>
          <w:rFonts w:cs="Times New Roman"/>
          <w:sz w:val="24"/>
          <w:szCs w:val="24"/>
        </w:rPr>
        <w:t>&gt; .05).  There was no significant relationship between physical energy (</w:t>
      </w:r>
      <w:r w:rsidRPr="00D05EBD">
        <w:rPr>
          <w:rFonts w:cs="Times New Roman"/>
          <w:i/>
          <w:sz w:val="24"/>
          <w:szCs w:val="24"/>
        </w:rPr>
        <w:t>r</w:t>
      </w:r>
      <w:r w:rsidRPr="00D05EBD">
        <w:rPr>
          <w:rFonts w:cs="Times New Roman"/>
          <w:sz w:val="24"/>
          <w:szCs w:val="24"/>
        </w:rPr>
        <w:t xml:space="preserve"> = .07), and mental energy (</w:t>
      </w:r>
      <w:r w:rsidRPr="00D05EBD">
        <w:rPr>
          <w:rFonts w:cs="Times New Roman"/>
          <w:i/>
          <w:sz w:val="24"/>
          <w:szCs w:val="24"/>
        </w:rPr>
        <w:t>r</w:t>
      </w:r>
      <w:r w:rsidRPr="00D05EBD">
        <w:rPr>
          <w:rFonts w:cs="Times New Roman"/>
          <w:sz w:val="24"/>
          <w:szCs w:val="24"/>
        </w:rPr>
        <w:t xml:space="preserve"> = .05), and the mean of reaction time on the Stroop task  (</w:t>
      </w:r>
      <w:proofErr w:type="spellStart"/>
      <w:r w:rsidRPr="00D05EBD">
        <w:rPr>
          <w:rFonts w:cs="Times New Roman"/>
          <w:i/>
          <w:sz w:val="24"/>
          <w:szCs w:val="24"/>
        </w:rPr>
        <w:t>ps</w:t>
      </w:r>
      <w:proofErr w:type="spellEnd"/>
      <w:r w:rsidRPr="00D05EBD">
        <w:rPr>
          <w:rFonts w:cs="Times New Roman"/>
          <w:i/>
          <w:sz w:val="24"/>
          <w:szCs w:val="24"/>
        </w:rPr>
        <w:t xml:space="preserve"> </w:t>
      </w:r>
      <w:r w:rsidRPr="00D05EBD">
        <w:rPr>
          <w:rFonts w:cs="Times New Roman"/>
          <w:sz w:val="24"/>
          <w:szCs w:val="24"/>
        </w:rPr>
        <w:t>&gt; .05). There was no significant relationship either between physical energy (</w:t>
      </w:r>
      <w:r w:rsidRPr="00D05EBD">
        <w:rPr>
          <w:rFonts w:cs="Times New Roman"/>
          <w:i/>
          <w:sz w:val="24"/>
          <w:szCs w:val="24"/>
        </w:rPr>
        <w:t>r</w:t>
      </w:r>
      <w:r w:rsidRPr="00D05EBD">
        <w:rPr>
          <w:rFonts w:cs="Times New Roman"/>
          <w:sz w:val="24"/>
          <w:szCs w:val="24"/>
        </w:rPr>
        <w:t xml:space="preserve"> = -.04), and mental energy (</w:t>
      </w:r>
      <w:r w:rsidRPr="00D05EBD">
        <w:rPr>
          <w:rFonts w:cs="Times New Roman"/>
          <w:i/>
          <w:sz w:val="24"/>
          <w:szCs w:val="24"/>
        </w:rPr>
        <w:t>r</w:t>
      </w:r>
      <w:r w:rsidRPr="00D05EBD">
        <w:rPr>
          <w:rFonts w:cs="Times New Roman"/>
          <w:sz w:val="24"/>
          <w:szCs w:val="24"/>
        </w:rPr>
        <w:t xml:space="preserve"> = -.01), and the percentage of correct responses on the Stroop task (</w:t>
      </w:r>
      <w:proofErr w:type="spellStart"/>
      <w:r w:rsidRPr="00D05EBD">
        <w:rPr>
          <w:rFonts w:cs="Times New Roman"/>
          <w:i/>
          <w:sz w:val="24"/>
          <w:szCs w:val="24"/>
        </w:rPr>
        <w:t>ps</w:t>
      </w:r>
      <w:proofErr w:type="spellEnd"/>
      <w:r w:rsidRPr="00D05EBD">
        <w:rPr>
          <w:rFonts w:cs="Times New Roman"/>
          <w:i/>
          <w:sz w:val="24"/>
          <w:szCs w:val="24"/>
        </w:rPr>
        <w:t xml:space="preserve"> </w:t>
      </w:r>
      <w:r w:rsidRPr="00D05EBD">
        <w:rPr>
          <w:rFonts w:cs="Times New Roman"/>
          <w:sz w:val="24"/>
          <w:szCs w:val="24"/>
        </w:rPr>
        <w:t>&gt; .05). Emotional exhaustion did not significantly correlate with neither the mean of reaction time on the Stroop task (</w:t>
      </w:r>
      <w:r w:rsidRPr="00D05EBD">
        <w:rPr>
          <w:rFonts w:cs="Times New Roman"/>
          <w:i/>
          <w:sz w:val="24"/>
          <w:szCs w:val="24"/>
        </w:rPr>
        <w:t>r</w:t>
      </w:r>
      <w:r w:rsidRPr="00D05EBD">
        <w:rPr>
          <w:rFonts w:cs="Times New Roman"/>
          <w:sz w:val="24"/>
          <w:szCs w:val="24"/>
        </w:rPr>
        <w:t xml:space="preserve"> = -.02), nor with the percentage of correct response on the Stroop task (</w:t>
      </w:r>
      <w:r w:rsidRPr="00D05EBD">
        <w:rPr>
          <w:rFonts w:cs="Times New Roman"/>
          <w:i/>
          <w:sz w:val="24"/>
          <w:szCs w:val="24"/>
        </w:rPr>
        <w:t>r</w:t>
      </w:r>
      <w:r w:rsidRPr="00D05EBD">
        <w:rPr>
          <w:rFonts w:cs="Times New Roman"/>
          <w:sz w:val="24"/>
          <w:szCs w:val="24"/>
        </w:rPr>
        <w:t xml:space="preserve"> = -.14, </w:t>
      </w:r>
      <w:proofErr w:type="spellStart"/>
      <w:r w:rsidRPr="00D05EBD">
        <w:rPr>
          <w:rFonts w:cs="Times New Roman"/>
          <w:i/>
          <w:sz w:val="24"/>
          <w:szCs w:val="24"/>
        </w:rPr>
        <w:t>ps</w:t>
      </w:r>
      <w:proofErr w:type="spellEnd"/>
      <w:r w:rsidRPr="00D05EBD">
        <w:rPr>
          <w:rFonts w:cs="Times New Roman"/>
          <w:i/>
          <w:sz w:val="24"/>
          <w:szCs w:val="24"/>
        </w:rPr>
        <w:t xml:space="preserve"> </w:t>
      </w:r>
      <w:r w:rsidRPr="00D05EBD">
        <w:rPr>
          <w:rFonts w:cs="Times New Roman"/>
          <w:sz w:val="24"/>
          <w:szCs w:val="24"/>
        </w:rPr>
        <w:t>&gt; .05). Finally, as some research has suggested that glucose intake could help replenish people’s self-regulatory resources (</w:t>
      </w:r>
      <w:proofErr w:type="spellStart"/>
      <w:r w:rsidR="008F31E3">
        <w:rPr>
          <w:sz w:val="24"/>
          <w:szCs w:val="24"/>
        </w:rPr>
        <w:t>Alquist</w:t>
      </w:r>
      <w:proofErr w:type="spellEnd"/>
      <w:r w:rsidR="008F31E3">
        <w:rPr>
          <w:sz w:val="24"/>
          <w:szCs w:val="24"/>
        </w:rPr>
        <w:t xml:space="preserve">, </w:t>
      </w:r>
      <w:proofErr w:type="spellStart"/>
      <w:r w:rsidR="008F31E3">
        <w:rPr>
          <w:sz w:val="24"/>
          <w:szCs w:val="24"/>
        </w:rPr>
        <w:t>B</w:t>
      </w:r>
      <w:r w:rsidRPr="00D05EBD">
        <w:rPr>
          <w:sz w:val="24"/>
          <w:szCs w:val="24"/>
        </w:rPr>
        <w:t>aumeister</w:t>
      </w:r>
      <w:proofErr w:type="spellEnd"/>
      <w:r w:rsidRPr="00D05EBD">
        <w:rPr>
          <w:sz w:val="24"/>
          <w:szCs w:val="24"/>
        </w:rPr>
        <w:t xml:space="preserve">, &amp; Tice, 2014; </w:t>
      </w:r>
      <w:proofErr w:type="spellStart"/>
      <w:r w:rsidRPr="00D05EBD">
        <w:rPr>
          <w:sz w:val="24"/>
          <w:szCs w:val="24"/>
        </w:rPr>
        <w:t>Gaillot</w:t>
      </w:r>
      <w:proofErr w:type="spellEnd"/>
      <w:r w:rsidRPr="00D05EBD">
        <w:rPr>
          <w:sz w:val="24"/>
          <w:szCs w:val="24"/>
        </w:rPr>
        <w:t xml:space="preserve"> et al</w:t>
      </w:r>
      <w:r w:rsidR="00DC6D67">
        <w:rPr>
          <w:sz w:val="24"/>
          <w:szCs w:val="24"/>
        </w:rPr>
        <w:t>.</w:t>
      </w:r>
      <w:r w:rsidRPr="00D05EBD">
        <w:rPr>
          <w:sz w:val="24"/>
          <w:szCs w:val="24"/>
        </w:rPr>
        <w:t xml:space="preserve">, 2007; McMahon &amp; </w:t>
      </w:r>
      <w:proofErr w:type="spellStart"/>
      <w:r w:rsidRPr="00D05EBD">
        <w:rPr>
          <w:sz w:val="24"/>
          <w:szCs w:val="24"/>
        </w:rPr>
        <w:t>Scheel</w:t>
      </w:r>
      <w:proofErr w:type="spellEnd"/>
      <w:r w:rsidRPr="00D05EBD">
        <w:rPr>
          <w:sz w:val="24"/>
          <w:szCs w:val="24"/>
        </w:rPr>
        <w:t>, 2010; Wang &amp; Dvorak, 2010</w:t>
      </w:r>
      <w:r w:rsidRPr="00D05EBD">
        <w:rPr>
          <w:rFonts w:cs="Times New Roman"/>
          <w:sz w:val="24"/>
          <w:szCs w:val="24"/>
        </w:rPr>
        <w:t xml:space="preserve">), a last analysis explored whether participants who reported consuming sweet products during the last hour would have a different performance on the Stroop task than participant who did not consume any sweet products. To explore this, a MANOVA with consumption of sweet products during the last hour as the IV and mean reaction time and percentage of correct response on the Stroop task as DVs was conducted. No significant effect of consuming sweet </w:t>
      </w:r>
      <w:r w:rsidRPr="00D05EBD">
        <w:rPr>
          <w:rFonts w:cs="Times New Roman"/>
          <w:sz w:val="24"/>
          <w:szCs w:val="24"/>
        </w:rPr>
        <w:lastRenderedPageBreak/>
        <w:t xml:space="preserve">products during the last hour on the participants reaction time nor percentage of correct response on the Stroop task was found, </w:t>
      </w:r>
      <w:r w:rsidRPr="00D05EBD">
        <w:rPr>
          <w:rFonts w:cs="Times New Roman"/>
          <w:i/>
          <w:sz w:val="24"/>
          <w:szCs w:val="24"/>
        </w:rPr>
        <w:t>F</w:t>
      </w:r>
      <w:r w:rsidRPr="00D05EBD">
        <w:rPr>
          <w:rFonts w:cs="Times New Roman"/>
          <w:sz w:val="24"/>
          <w:szCs w:val="24"/>
        </w:rPr>
        <w:t xml:space="preserve">(2,82) = .77, </w:t>
      </w:r>
      <w:r w:rsidRPr="00D05EBD">
        <w:rPr>
          <w:rFonts w:cs="Times New Roman"/>
          <w:i/>
          <w:sz w:val="24"/>
          <w:szCs w:val="24"/>
        </w:rPr>
        <w:t>p</w:t>
      </w:r>
      <w:r w:rsidRPr="00D05EBD">
        <w:rPr>
          <w:rFonts w:cs="Times New Roman"/>
          <w:sz w:val="24"/>
          <w:szCs w:val="24"/>
        </w:rPr>
        <w:t xml:space="preserve"> &gt; .05.</w:t>
      </w:r>
    </w:p>
    <w:tbl>
      <w:tblPr>
        <w:tblW w:w="8380" w:type="dxa"/>
        <w:tblInd w:w="94" w:type="dxa"/>
        <w:tblLook w:val="04A0"/>
      </w:tblPr>
      <w:tblGrid>
        <w:gridCol w:w="1239"/>
        <w:gridCol w:w="720"/>
        <w:gridCol w:w="720"/>
        <w:gridCol w:w="720"/>
        <w:gridCol w:w="720"/>
        <w:gridCol w:w="720"/>
        <w:gridCol w:w="720"/>
        <w:gridCol w:w="720"/>
        <w:gridCol w:w="720"/>
        <w:gridCol w:w="720"/>
        <w:gridCol w:w="720"/>
      </w:tblGrid>
      <w:tr w:rsidR="000A3A60" w:rsidRPr="000A3A60" w:rsidTr="000A3A60">
        <w:trPr>
          <w:trHeight w:val="525"/>
        </w:trPr>
        <w:tc>
          <w:tcPr>
            <w:tcW w:w="8380" w:type="dxa"/>
            <w:gridSpan w:val="11"/>
            <w:tcBorders>
              <w:top w:val="nil"/>
              <w:left w:val="nil"/>
              <w:bottom w:val="single" w:sz="4" w:space="0" w:color="auto"/>
              <w:right w:val="nil"/>
            </w:tcBorders>
            <w:shd w:val="clear" w:color="auto" w:fill="auto"/>
            <w:hideMark/>
          </w:tcPr>
          <w:p w:rsidR="000A3A60" w:rsidRPr="000A3A60" w:rsidRDefault="00F0706F" w:rsidP="000A3A60">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Table IV</w:t>
            </w:r>
            <w:r w:rsidR="000A3A60" w:rsidRPr="000A3A60">
              <w:rPr>
                <w:rFonts w:ascii="Arial" w:eastAsia="Times New Roman" w:hAnsi="Arial" w:cs="Arial"/>
                <w:color w:val="000000"/>
                <w:sz w:val="20"/>
                <w:szCs w:val="20"/>
                <w:lang w:eastAsia="en-GB"/>
              </w:rPr>
              <w:t>.3 Correlations between use of self-control, mood, energy and emotional exhaustion and, the mean reaction time and percentage of correct response on the Stroop task</w:t>
            </w:r>
          </w:p>
        </w:tc>
      </w:tr>
      <w:tr w:rsidR="000A3A60" w:rsidRPr="000A3A60" w:rsidTr="000A3A60">
        <w:trPr>
          <w:trHeight w:val="300"/>
        </w:trPr>
        <w:tc>
          <w:tcPr>
            <w:tcW w:w="1180" w:type="dxa"/>
            <w:tcBorders>
              <w:top w:val="nil"/>
              <w:left w:val="nil"/>
              <w:bottom w:val="single" w:sz="4" w:space="0" w:color="auto"/>
              <w:right w:val="nil"/>
            </w:tcBorders>
            <w:shd w:val="clear" w:color="auto" w:fill="auto"/>
            <w:vAlign w:val="bottom"/>
            <w:hideMark/>
          </w:tcPr>
          <w:p w:rsidR="000A3A60" w:rsidRPr="000A3A60" w:rsidRDefault="000A3A60" w:rsidP="000A3A60">
            <w:pPr>
              <w:spacing w:after="0" w:line="240" w:lineRule="auto"/>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 </w:t>
            </w:r>
          </w:p>
        </w:tc>
        <w:tc>
          <w:tcPr>
            <w:tcW w:w="720" w:type="dxa"/>
            <w:tcBorders>
              <w:top w:val="nil"/>
              <w:left w:val="nil"/>
              <w:bottom w:val="single" w:sz="4" w:space="0" w:color="auto"/>
              <w:right w:val="nil"/>
            </w:tcBorders>
            <w:shd w:val="clear" w:color="auto" w:fill="auto"/>
            <w:hideMark/>
          </w:tcPr>
          <w:p w:rsidR="000A3A60" w:rsidRPr="000A3A60" w:rsidRDefault="000A3A60" w:rsidP="000A3A60">
            <w:pPr>
              <w:spacing w:after="0" w:line="240" w:lineRule="auto"/>
              <w:jc w:val="center"/>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1</w:t>
            </w:r>
          </w:p>
        </w:tc>
        <w:tc>
          <w:tcPr>
            <w:tcW w:w="720" w:type="dxa"/>
            <w:tcBorders>
              <w:top w:val="nil"/>
              <w:left w:val="nil"/>
              <w:bottom w:val="single" w:sz="4" w:space="0" w:color="auto"/>
              <w:right w:val="nil"/>
            </w:tcBorders>
            <w:shd w:val="clear" w:color="auto" w:fill="auto"/>
            <w:hideMark/>
          </w:tcPr>
          <w:p w:rsidR="000A3A60" w:rsidRPr="000A3A60" w:rsidRDefault="000A3A60" w:rsidP="000A3A60">
            <w:pPr>
              <w:spacing w:after="0" w:line="240" w:lineRule="auto"/>
              <w:jc w:val="center"/>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2</w:t>
            </w:r>
          </w:p>
        </w:tc>
        <w:tc>
          <w:tcPr>
            <w:tcW w:w="720" w:type="dxa"/>
            <w:tcBorders>
              <w:top w:val="nil"/>
              <w:left w:val="nil"/>
              <w:bottom w:val="single" w:sz="4" w:space="0" w:color="auto"/>
              <w:right w:val="nil"/>
            </w:tcBorders>
            <w:shd w:val="clear" w:color="auto" w:fill="auto"/>
            <w:hideMark/>
          </w:tcPr>
          <w:p w:rsidR="000A3A60" w:rsidRPr="000A3A60" w:rsidRDefault="000A3A60" w:rsidP="000A3A60">
            <w:pPr>
              <w:spacing w:after="0" w:line="240" w:lineRule="auto"/>
              <w:jc w:val="center"/>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3</w:t>
            </w:r>
          </w:p>
        </w:tc>
        <w:tc>
          <w:tcPr>
            <w:tcW w:w="720" w:type="dxa"/>
            <w:tcBorders>
              <w:top w:val="nil"/>
              <w:left w:val="nil"/>
              <w:bottom w:val="single" w:sz="4" w:space="0" w:color="auto"/>
              <w:right w:val="nil"/>
            </w:tcBorders>
            <w:shd w:val="clear" w:color="auto" w:fill="auto"/>
            <w:hideMark/>
          </w:tcPr>
          <w:p w:rsidR="000A3A60" w:rsidRPr="000A3A60" w:rsidRDefault="000A3A60" w:rsidP="000A3A60">
            <w:pPr>
              <w:spacing w:after="0" w:line="240" w:lineRule="auto"/>
              <w:jc w:val="center"/>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4</w:t>
            </w:r>
          </w:p>
        </w:tc>
        <w:tc>
          <w:tcPr>
            <w:tcW w:w="720" w:type="dxa"/>
            <w:tcBorders>
              <w:top w:val="nil"/>
              <w:left w:val="nil"/>
              <w:bottom w:val="single" w:sz="4" w:space="0" w:color="auto"/>
              <w:right w:val="nil"/>
            </w:tcBorders>
            <w:shd w:val="clear" w:color="auto" w:fill="auto"/>
            <w:hideMark/>
          </w:tcPr>
          <w:p w:rsidR="000A3A60" w:rsidRPr="000A3A60" w:rsidRDefault="000A3A60" w:rsidP="000A3A60">
            <w:pPr>
              <w:spacing w:after="0" w:line="240" w:lineRule="auto"/>
              <w:jc w:val="center"/>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5</w:t>
            </w:r>
          </w:p>
        </w:tc>
        <w:tc>
          <w:tcPr>
            <w:tcW w:w="720" w:type="dxa"/>
            <w:tcBorders>
              <w:top w:val="nil"/>
              <w:left w:val="nil"/>
              <w:bottom w:val="single" w:sz="4" w:space="0" w:color="auto"/>
              <w:right w:val="nil"/>
            </w:tcBorders>
            <w:shd w:val="clear" w:color="auto" w:fill="auto"/>
            <w:hideMark/>
          </w:tcPr>
          <w:p w:rsidR="000A3A60" w:rsidRPr="000A3A60" w:rsidRDefault="000A3A60" w:rsidP="000A3A60">
            <w:pPr>
              <w:spacing w:after="0" w:line="240" w:lineRule="auto"/>
              <w:jc w:val="center"/>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6</w:t>
            </w:r>
          </w:p>
        </w:tc>
        <w:tc>
          <w:tcPr>
            <w:tcW w:w="720" w:type="dxa"/>
            <w:tcBorders>
              <w:top w:val="nil"/>
              <w:left w:val="nil"/>
              <w:bottom w:val="single" w:sz="4" w:space="0" w:color="auto"/>
              <w:right w:val="nil"/>
            </w:tcBorders>
            <w:shd w:val="clear" w:color="auto" w:fill="auto"/>
            <w:hideMark/>
          </w:tcPr>
          <w:p w:rsidR="000A3A60" w:rsidRPr="000A3A60" w:rsidRDefault="000A3A60" w:rsidP="000A3A60">
            <w:pPr>
              <w:spacing w:after="0" w:line="240" w:lineRule="auto"/>
              <w:jc w:val="center"/>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7</w:t>
            </w:r>
          </w:p>
        </w:tc>
        <w:tc>
          <w:tcPr>
            <w:tcW w:w="720" w:type="dxa"/>
            <w:tcBorders>
              <w:top w:val="nil"/>
              <w:left w:val="nil"/>
              <w:bottom w:val="single" w:sz="4" w:space="0" w:color="auto"/>
              <w:right w:val="nil"/>
            </w:tcBorders>
            <w:shd w:val="clear" w:color="auto" w:fill="auto"/>
            <w:hideMark/>
          </w:tcPr>
          <w:p w:rsidR="000A3A60" w:rsidRPr="000A3A60" w:rsidRDefault="000A3A60" w:rsidP="000A3A60">
            <w:pPr>
              <w:spacing w:after="0" w:line="240" w:lineRule="auto"/>
              <w:jc w:val="center"/>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8</w:t>
            </w:r>
          </w:p>
        </w:tc>
        <w:tc>
          <w:tcPr>
            <w:tcW w:w="720" w:type="dxa"/>
            <w:tcBorders>
              <w:top w:val="nil"/>
              <w:left w:val="nil"/>
              <w:bottom w:val="single" w:sz="4" w:space="0" w:color="auto"/>
              <w:right w:val="nil"/>
            </w:tcBorders>
            <w:shd w:val="clear" w:color="auto" w:fill="auto"/>
            <w:hideMark/>
          </w:tcPr>
          <w:p w:rsidR="000A3A60" w:rsidRPr="000A3A60" w:rsidRDefault="000A3A60" w:rsidP="000A3A60">
            <w:pPr>
              <w:spacing w:after="0" w:line="240" w:lineRule="auto"/>
              <w:jc w:val="center"/>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9</w:t>
            </w:r>
          </w:p>
        </w:tc>
        <w:tc>
          <w:tcPr>
            <w:tcW w:w="720" w:type="dxa"/>
            <w:tcBorders>
              <w:top w:val="nil"/>
              <w:left w:val="nil"/>
              <w:bottom w:val="single" w:sz="4" w:space="0" w:color="auto"/>
              <w:right w:val="nil"/>
            </w:tcBorders>
            <w:shd w:val="clear" w:color="auto" w:fill="auto"/>
            <w:hideMark/>
          </w:tcPr>
          <w:p w:rsidR="000A3A60" w:rsidRPr="000A3A60" w:rsidRDefault="000A3A60" w:rsidP="000A3A60">
            <w:pPr>
              <w:spacing w:after="0" w:line="240" w:lineRule="auto"/>
              <w:jc w:val="center"/>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10</w:t>
            </w:r>
          </w:p>
        </w:tc>
      </w:tr>
      <w:tr w:rsidR="000A3A60" w:rsidRPr="000A3A60" w:rsidTr="000A3A60">
        <w:trPr>
          <w:trHeight w:val="1110"/>
        </w:trPr>
        <w:tc>
          <w:tcPr>
            <w:tcW w:w="1180" w:type="dxa"/>
            <w:tcBorders>
              <w:top w:val="nil"/>
              <w:left w:val="nil"/>
              <w:bottom w:val="nil"/>
              <w:right w:val="nil"/>
            </w:tcBorders>
            <w:shd w:val="clear" w:color="auto" w:fill="auto"/>
            <w:hideMark/>
          </w:tcPr>
          <w:p w:rsidR="000A3A60" w:rsidRPr="000A3A60" w:rsidRDefault="000A3A60" w:rsidP="000A3A60">
            <w:pPr>
              <w:spacing w:after="0" w:line="240" w:lineRule="auto"/>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Mean reaction time on the Stroop</w:t>
            </w:r>
          </w:p>
        </w:tc>
        <w:tc>
          <w:tcPr>
            <w:tcW w:w="720" w:type="dxa"/>
            <w:tcBorders>
              <w:top w:val="nil"/>
              <w:left w:val="nil"/>
              <w:bottom w:val="nil"/>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-0.06</w:t>
            </w:r>
          </w:p>
        </w:tc>
        <w:tc>
          <w:tcPr>
            <w:tcW w:w="720" w:type="dxa"/>
            <w:tcBorders>
              <w:top w:val="nil"/>
              <w:left w:val="nil"/>
              <w:bottom w:val="nil"/>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0.01</w:t>
            </w:r>
          </w:p>
        </w:tc>
        <w:tc>
          <w:tcPr>
            <w:tcW w:w="720" w:type="dxa"/>
            <w:tcBorders>
              <w:top w:val="nil"/>
              <w:left w:val="nil"/>
              <w:bottom w:val="nil"/>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0.11</w:t>
            </w:r>
          </w:p>
        </w:tc>
        <w:tc>
          <w:tcPr>
            <w:tcW w:w="720" w:type="dxa"/>
            <w:tcBorders>
              <w:top w:val="nil"/>
              <w:left w:val="nil"/>
              <w:bottom w:val="nil"/>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-0.1</w:t>
            </w:r>
          </w:p>
        </w:tc>
        <w:tc>
          <w:tcPr>
            <w:tcW w:w="720" w:type="dxa"/>
            <w:tcBorders>
              <w:top w:val="nil"/>
              <w:left w:val="nil"/>
              <w:bottom w:val="nil"/>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0.1</w:t>
            </w:r>
          </w:p>
        </w:tc>
        <w:tc>
          <w:tcPr>
            <w:tcW w:w="720" w:type="dxa"/>
            <w:tcBorders>
              <w:top w:val="nil"/>
              <w:left w:val="nil"/>
              <w:bottom w:val="nil"/>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-0.09</w:t>
            </w:r>
          </w:p>
        </w:tc>
        <w:tc>
          <w:tcPr>
            <w:tcW w:w="720" w:type="dxa"/>
            <w:tcBorders>
              <w:top w:val="nil"/>
              <w:left w:val="nil"/>
              <w:bottom w:val="nil"/>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0.09</w:t>
            </w:r>
          </w:p>
        </w:tc>
        <w:tc>
          <w:tcPr>
            <w:tcW w:w="720" w:type="dxa"/>
            <w:tcBorders>
              <w:top w:val="nil"/>
              <w:left w:val="nil"/>
              <w:bottom w:val="nil"/>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0.07</w:t>
            </w:r>
          </w:p>
        </w:tc>
        <w:tc>
          <w:tcPr>
            <w:tcW w:w="720" w:type="dxa"/>
            <w:tcBorders>
              <w:top w:val="nil"/>
              <w:left w:val="nil"/>
              <w:bottom w:val="nil"/>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0.05</w:t>
            </w:r>
          </w:p>
        </w:tc>
        <w:tc>
          <w:tcPr>
            <w:tcW w:w="720" w:type="dxa"/>
            <w:tcBorders>
              <w:top w:val="nil"/>
              <w:left w:val="nil"/>
              <w:bottom w:val="nil"/>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-0.02</w:t>
            </w:r>
          </w:p>
        </w:tc>
      </w:tr>
      <w:tr w:rsidR="000A3A60" w:rsidRPr="000A3A60" w:rsidTr="000A3A60">
        <w:trPr>
          <w:trHeight w:val="1110"/>
        </w:trPr>
        <w:tc>
          <w:tcPr>
            <w:tcW w:w="1180" w:type="dxa"/>
            <w:tcBorders>
              <w:top w:val="nil"/>
              <w:left w:val="nil"/>
              <w:bottom w:val="double" w:sz="6" w:space="0" w:color="auto"/>
              <w:right w:val="nil"/>
            </w:tcBorders>
            <w:shd w:val="clear" w:color="auto" w:fill="auto"/>
            <w:hideMark/>
          </w:tcPr>
          <w:p w:rsidR="000A3A60" w:rsidRPr="000A3A60" w:rsidRDefault="000A3A60" w:rsidP="000A3A60">
            <w:pPr>
              <w:spacing w:after="0" w:line="240" w:lineRule="auto"/>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Percentage of correct responses on the Stroop</w:t>
            </w:r>
          </w:p>
        </w:tc>
        <w:tc>
          <w:tcPr>
            <w:tcW w:w="720" w:type="dxa"/>
            <w:tcBorders>
              <w:top w:val="nil"/>
              <w:left w:val="nil"/>
              <w:bottom w:val="double" w:sz="6" w:space="0" w:color="auto"/>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-0.13</w:t>
            </w:r>
          </w:p>
        </w:tc>
        <w:tc>
          <w:tcPr>
            <w:tcW w:w="720" w:type="dxa"/>
            <w:tcBorders>
              <w:top w:val="nil"/>
              <w:left w:val="nil"/>
              <w:bottom w:val="double" w:sz="6" w:space="0" w:color="auto"/>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-0.11</w:t>
            </w:r>
          </w:p>
        </w:tc>
        <w:tc>
          <w:tcPr>
            <w:tcW w:w="720" w:type="dxa"/>
            <w:tcBorders>
              <w:top w:val="nil"/>
              <w:left w:val="nil"/>
              <w:bottom w:val="double" w:sz="6" w:space="0" w:color="auto"/>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0.13</w:t>
            </w:r>
          </w:p>
        </w:tc>
        <w:tc>
          <w:tcPr>
            <w:tcW w:w="720" w:type="dxa"/>
            <w:tcBorders>
              <w:top w:val="nil"/>
              <w:left w:val="nil"/>
              <w:bottom w:val="double" w:sz="6" w:space="0" w:color="auto"/>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0.16</w:t>
            </w:r>
          </w:p>
        </w:tc>
        <w:tc>
          <w:tcPr>
            <w:tcW w:w="720" w:type="dxa"/>
            <w:tcBorders>
              <w:top w:val="nil"/>
              <w:left w:val="nil"/>
              <w:bottom w:val="double" w:sz="6" w:space="0" w:color="auto"/>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-0.09</w:t>
            </w:r>
          </w:p>
        </w:tc>
        <w:tc>
          <w:tcPr>
            <w:tcW w:w="720" w:type="dxa"/>
            <w:tcBorders>
              <w:top w:val="nil"/>
              <w:left w:val="nil"/>
              <w:bottom w:val="double" w:sz="6" w:space="0" w:color="auto"/>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0.06</w:t>
            </w:r>
          </w:p>
        </w:tc>
        <w:tc>
          <w:tcPr>
            <w:tcW w:w="720" w:type="dxa"/>
            <w:tcBorders>
              <w:top w:val="nil"/>
              <w:left w:val="nil"/>
              <w:bottom w:val="double" w:sz="6" w:space="0" w:color="auto"/>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-0.09</w:t>
            </w:r>
          </w:p>
        </w:tc>
        <w:tc>
          <w:tcPr>
            <w:tcW w:w="720" w:type="dxa"/>
            <w:tcBorders>
              <w:top w:val="nil"/>
              <w:left w:val="nil"/>
              <w:bottom w:val="double" w:sz="6" w:space="0" w:color="auto"/>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-0.04</w:t>
            </w:r>
          </w:p>
        </w:tc>
        <w:tc>
          <w:tcPr>
            <w:tcW w:w="720" w:type="dxa"/>
            <w:tcBorders>
              <w:top w:val="nil"/>
              <w:left w:val="nil"/>
              <w:bottom w:val="double" w:sz="6" w:space="0" w:color="auto"/>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-0.01</w:t>
            </w:r>
          </w:p>
        </w:tc>
        <w:tc>
          <w:tcPr>
            <w:tcW w:w="720" w:type="dxa"/>
            <w:tcBorders>
              <w:top w:val="nil"/>
              <w:left w:val="nil"/>
              <w:bottom w:val="double" w:sz="6" w:space="0" w:color="auto"/>
              <w:right w:val="nil"/>
            </w:tcBorders>
            <w:shd w:val="clear" w:color="auto" w:fill="auto"/>
            <w:noWrap/>
            <w:hideMark/>
          </w:tcPr>
          <w:p w:rsidR="000A3A60" w:rsidRPr="000A3A60" w:rsidRDefault="000A3A60" w:rsidP="000A3A60">
            <w:pPr>
              <w:spacing w:after="0" w:line="240" w:lineRule="auto"/>
              <w:jc w:val="right"/>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-0.14</w:t>
            </w:r>
          </w:p>
        </w:tc>
      </w:tr>
      <w:tr w:rsidR="000A3A60" w:rsidRPr="000A3A60" w:rsidTr="000A3A60">
        <w:trPr>
          <w:trHeight w:val="285"/>
        </w:trPr>
        <w:tc>
          <w:tcPr>
            <w:tcW w:w="8380" w:type="dxa"/>
            <w:gridSpan w:val="11"/>
            <w:tcBorders>
              <w:top w:val="nil"/>
              <w:left w:val="nil"/>
              <w:bottom w:val="nil"/>
              <w:right w:val="nil"/>
            </w:tcBorders>
            <w:shd w:val="clear" w:color="auto" w:fill="auto"/>
            <w:hideMark/>
          </w:tcPr>
          <w:p w:rsidR="000A3A60" w:rsidRPr="000A3A60" w:rsidRDefault="000A3A60" w:rsidP="000A3A60">
            <w:pPr>
              <w:spacing w:after="0" w:line="240" w:lineRule="auto"/>
              <w:rPr>
                <w:rFonts w:ascii="Arial" w:eastAsia="Times New Roman" w:hAnsi="Arial" w:cs="Arial"/>
                <w:color w:val="000000"/>
                <w:sz w:val="20"/>
                <w:szCs w:val="20"/>
                <w:lang w:eastAsia="en-GB"/>
              </w:rPr>
            </w:pPr>
            <w:r w:rsidRPr="000A3A60">
              <w:rPr>
                <w:rFonts w:ascii="Arial" w:eastAsia="Times New Roman" w:hAnsi="Arial" w:cs="Arial"/>
                <w:color w:val="000000"/>
                <w:sz w:val="20"/>
                <w:szCs w:val="20"/>
                <w:lang w:eastAsia="en-GB"/>
              </w:rPr>
              <w:t>**p &lt; 0.01; *p &lt; 0.05 (significant at two-tailed)</w:t>
            </w:r>
          </w:p>
        </w:tc>
      </w:tr>
      <w:tr w:rsidR="000A3A60" w:rsidRPr="000A3A60" w:rsidTr="000A3A60">
        <w:trPr>
          <w:trHeight w:val="255"/>
        </w:trPr>
        <w:tc>
          <w:tcPr>
            <w:tcW w:w="8380" w:type="dxa"/>
            <w:gridSpan w:val="11"/>
            <w:tcBorders>
              <w:top w:val="nil"/>
              <w:left w:val="nil"/>
              <w:bottom w:val="nil"/>
              <w:right w:val="nil"/>
            </w:tcBorders>
            <w:shd w:val="clear" w:color="auto" w:fill="auto"/>
            <w:hideMark/>
          </w:tcPr>
          <w:p w:rsidR="000A3A60" w:rsidRPr="000A3A60" w:rsidRDefault="000A3A60" w:rsidP="000A3A60">
            <w:pPr>
              <w:spacing w:after="0" w:line="240" w:lineRule="auto"/>
              <w:rPr>
                <w:rFonts w:ascii="Arial" w:eastAsia="Times New Roman" w:hAnsi="Arial" w:cs="Arial"/>
                <w:i/>
                <w:iCs/>
                <w:color w:val="000000"/>
                <w:sz w:val="20"/>
                <w:szCs w:val="20"/>
                <w:lang w:eastAsia="en-GB"/>
              </w:rPr>
            </w:pPr>
            <w:r w:rsidRPr="000A3A60">
              <w:rPr>
                <w:rFonts w:ascii="Arial" w:eastAsia="Times New Roman" w:hAnsi="Arial" w:cs="Arial"/>
                <w:i/>
                <w:iCs/>
                <w:color w:val="000000"/>
                <w:sz w:val="20"/>
                <w:szCs w:val="20"/>
                <w:lang w:eastAsia="en-GB"/>
              </w:rPr>
              <w:t xml:space="preserve">N = 85  </w:t>
            </w:r>
          </w:p>
        </w:tc>
      </w:tr>
      <w:tr w:rsidR="000A3A60" w:rsidRPr="000A3A60" w:rsidTr="000A3A60">
        <w:trPr>
          <w:trHeight w:val="750"/>
        </w:trPr>
        <w:tc>
          <w:tcPr>
            <w:tcW w:w="8380" w:type="dxa"/>
            <w:gridSpan w:val="11"/>
            <w:tcBorders>
              <w:top w:val="nil"/>
              <w:left w:val="nil"/>
              <w:bottom w:val="nil"/>
              <w:right w:val="nil"/>
            </w:tcBorders>
            <w:shd w:val="clear" w:color="auto" w:fill="auto"/>
            <w:vAlign w:val="bottom"/>
            <w:hideMark/>
          </w:tcPr>
          <w:p w:rsidR="000A3A60" w:rsidRPr="000A3A60" w:rsidRDefault="000A3A60" w:rsidP="000A3A60">
            <w:pPr>
              <w:spacing w:after="0" w:line="240" w:lineRule="auto"/>
              <w:jc w:val="both"/>
              <w:rPr>
                <w:rFonts w:ascii="Arial" w:eastAsia="Times New Roman" w:hAnsi="Arial" w:cs="Arial"/>
                <w:i/>
                <w:iCs/>
                <w:color w:val="000000"/>
                <w:sz w:val="20"/>
                <w:szCs w:val="20"/>
                <w:lang w:eastAsia="en-GB"/>
              </w:rPr>
            </w:pPr>
            <w:r w:rsidRPr="000A3A60">
              <w:rPr>
                <w:rFonts w:ascii="Arial" w:eastAsia="Times New Roman" w:hAnsi="Arial" w:cs="Arial"/>
                <w:i/>
                <w:iCs/>
                <w:color w:val="000000"/>
                <w:sz w:val="20"/>
                <w:szCs w:val="20"/>
                <w:lang w:eastAsia="en-GB"/>
              </w:rPr>
              <w:t>1. Loss of control, 2. Exertion of self-control effort, 3. Success at self-control, 4. High activated positive mood, 5. High activated negative mood, 6. Low activated positive mood, 7. Low activated negative mood, 8. Physical energy, 9. Mental energy, 10. Emotional exhaustion</w:t>
            </w:r>
          </w:p>
        </w:tc>
      </w:tr>
    </w:tbl>
    <w:p w:rsidR="00FB1389" w:rsidRPr="00D05EBD" w:rsidRDefault="00FB1389" w:rsidP="00AE640B">
      <w:pPr>
        <w:spacing w:line="480" w:lineRule="auto"/>
        <w:ind w:firstLine="720"/>
        <w:jc w:val="both"/>
        <w:rPr>
          <w:rFonts w:cs="Times New Roman"/>
          <w:sz w:val="24"/>
          <w:szCs w:val="24"/>
        </w:rPr>
      </w:pPr>
    </w:p>
    <w:p w:rsidR="00FB1389" w:rsidRPr="00A45A76" w:rsidRDefault="00FB1389" w:rsidP="00A45A76">
      <w:pPr>
        <w:spacing w:line="480" w:lineRule="auto"/>
        <w:ind w:firstLine="720"/>
        <w:jc w:val="both"/>
        <w:rPr>
          <w:rFonts w:cs="Times New Roman"/>
          <w:sz w:val="24"/>
          <w:szCs w:val="24"/>
        </w:rPr>
      </w:pPr>
      <w:r w:rsidRPr="00D05EBD">
        <w:rPr>
          <w:rFonts w:cs="Times New Roman"/>
          <w:sz w:val="24"/>
          <w:szCs w:val="24"/>
        </w:rPr>
        <w:t xml:space="preserve">These results could not confirm the main hypothesis of Study 3 in that no significant relationship between the use of self-control during participant’s working day and their performance on the Stroop task was found. </w:t>
      </w:r>
    </w:p>
    <w:p w:rsidR="00FB1389" w:rsidRPr="00D05EBD" w:rsidRDefault="00FB1389" w:rsidP="00AE640B">
      <w:pPr>
        <w:spacing w:line="480" w:lineRule="auto"/>
        <w:ind w:firstLine="720"/>
        <w:jc w:val="both"/>
        <w:rPr>
          <w:rFonts w:cs="Times New Roman"/>
          <w:b/>
          <w:sz w:val="24"/>
          <w:szCs w:val="24"/>
        </w:rPr>
      </w:pPr>
      <w:r w:rsidRPr="00D05EBD">
        <w:rPr>
          <w:rFonts w:cs="Times New Roman"/>
          <w:b/>
          <w:sz w:val="24"/>
          <w:szCs w:val="24"/>
        </w:rPr>
        <w:t>4.2.4 Discussion</w:t>
      </w:r>
    </w:p>
    <w:p w:rsidR="00FB1389" w:rsidRPr="00D05EBD" w:rsidRDefault="00FB1389" w:rsidP="00AE640B">
      <w:pPr>
        <w:spacing w:line="480" w:lineRule="auto"/>
        <w:ind w:firstLine="720"/>
        <w:jc w:val="both"/>
        <w:rPr>
          <w:sz w:val="24"/>
          <w:szCs w:val="24"/>
        </w:rPr>
      </w:pPr>
      <w:r w:rsidRPr="00D05EBD">
        <w:rPr>
          <w:sz w:val="24"/>
          <w:szCs w:val="24"/>
        </w:rPr>
        <w:t xml:space="preserve">Based on Tangney’s et al. (2004) Brief Self-Control Scale, Study 3 developed a self-report measure of the extent to which people exerted self-control during their working day.  To identify levels of self-control, a Stroop Task was administered straight after the online questionnaire. It was expected that high self-reports of use of self-control during the working day would be related to a bad performance in the Stroop Task. A principal component analysis on the new ‘Use of self-control during the working day’ scale yielded three different factors: </w:t>
      </w:r>
      <w:proofErr w:type="spellStart"/>
      <w:r w:rsidRPr="00D05EBD">
        <w:rPr>
          <w:sz w:val="24"/>
          <w:szCs w:val="24"/>
        </w:rPr>
        <w:t>i</w:t>
      </w:r>
      <w:proofErr w:type="spellEnd"/>
      <w:r w:rsidRPr="00D05EBD">
        <w:rPr>
          <w:sz w:val="24"/>
          <w:szCs w:val="24"/>
        </w:rPr>
        <w:t xml:space="preserve">) loss of control, ii) exertion of self-control effort and, iii) success at self-control. These results do not match the 5 factor structure </w:t>
      </w:r>
      <w:r w:rsidRPr="00D05EBD">
        <w:rPr>
          <w:sz w:val="24"/>
          <w:szCs w:val="24"/>
        </w:rPr>
        <w:lastRenderedPageBreak/>
        <w:t xml:space="preserve">of Tangney’s et al. (2004) original Self-Control Scale, which suggests ‘use of self-control during the working day’ reflects a rather different construct to the one measured in Tangney’s Self-Control Scale. The factor structure found in Study 3, partially matches the factor structure Maloney and colleagues (2012) reported for the Tangney’s Brief Self-Control Scale. Maloney and colleagues (2012) found two factors which they called ‘impulsivity’, that corresponded to acting spontaneous thoughts and feelings and, ‘restraint’, that corresponded to self-discipline and resisting temptation. Taking a closer look at the items than formed Maloney’s factors, it can be seen that the ’loss of control’ factor found in Study 3 matches Maloney’s impulsivity factor, and that ‘exertion of self-control’ matches Maloney’s restraint factor. Nevertheless, the factor ‘success at self-control’ did not fit into any of Maloney’s factors, which provides more evidence that reporting on the use of self-control during the working day measures something slightly different from what Tangney’s et al. (2004) original Self-Control Scale (and Brief Self-Control Scale) measures.  This is something researchers looking into self-control should take into consideration, especially if the focus of study is the use of self-control during the day rather than individual differences in self-control. Furthermore, the three factor structure found in Study 3 suggests that, when looking at how the use of self-control during the working day relates to other constructs, it may be important to look at the scores of each factor rather than looking at a global score on the scale, as it seems ‘use of self-control during the working day’ is not a one-dimensional construct. </w:t>
      </w:r>
    </w:p>
    <w:p w:rsidR="00FB1389" w:rsidRPr="00D05EBD" w:rsidRDefault="00FB1389" w:rsidP="00AE640B">
      <w:pPr>
        <w:spacing w:line="480" w:lineRule="auto"/>
        <w:ind w:firstLine="720"/>
        <w:jc w:val="both"/>
        <w:rPr>
          <w:sz w:val="24"/>
          <w:szCs w:val="24"/>
        </w:rPr>
      </w:pPr>
      <w:r w:rsidRPr="00D05EBD">
        <w:rPr>
          <w:sz w:val="24"/>
          <w:szCs w:val="24"/>
        </w:rPr>
        <w:t xml:space="preserve">As self-control has been linked to other factors such as emotional exhaustion, fatigue and affect, in Study 3, it was proposed that the of  ‘Use of self-control during the working day’ scale would also be correlated to these factors. Correlation analyses </w:t>
      </w:r>
      <w:r w:rsidRPr="00D05EBD">
        <w:rPr>
          <w:sz w:val="24"/>
          <w:szCs w:val="24"/>
        </w:rPr>
        <w:lastRenderedPageBreak/>
        <w:t xml:space="preserve">between these factors and the ‘Use of self-control during the working day’ confirmed them to be related. When looking at affect, a relationship with the use of self-control during the working day was found. These results contradict research that has found no effect between the use of self-control and affect (e.g., </w:t>
      </w:r>
      <w:r w:rsidR="00B06E70">
        <w:rPr>
          <w:sz w:val="24"/>
          <w:szCs w:val="24"/>
        </w:rPr>
        <w:fldChar w:fldCharType="begin" w:fldLock="1"/>
      </w:r>
      <w:r w:rsidR="00844B08">
        <w:rPr>
          <w:sz w:val="24"/>
          <w:szCs w:val="24"/>
        </w:rPr>
        <w:instrText>ADDIN CSL_CITATION { "citationItems" : [ { "id" : "ITEM-1", "itemData" : { "DOI" : "10.1037/0022-3514.74.5.1252", "ISBN" : "0022-3514 (Print)\\n0022-3514 (Linking)", "ISSN" : "0022-3514", "PMID" : "9599441", "abstract" : "Choice, active response, self-regulation, and other volition may all draw on a common inner resource. In Experiment 1, people who forced themselves to eat radishes instead of tempting chocolates subsequently quit faster on unsolvable puzzles than people who had not had to exert self-control over eating. In Experiment 2, making a meaningful personal choice to perform attitude-relevant behavior caused a similar decrement in persistence. In Experiment 3, suppressing emotion led to a subsequent drop in performance of solvable anagrams. In Experiment 4, an initial task requiring high self-regulation made people more passive (i.e., more prone to favor the passive-response option). These results suggest that the self's capacity for active volition is limited and that a range of seemingly different, unrelated acts share a common resource.", "author" : [ { "dropping-particle" : "", "family" : "Baumeister", "given" : "Roy F", "non-dropping-particle" : "", "parse-names" : false, "suffix" : "" }, { "dropping-particle" : "", "family" : "Bratslavsky", "given" : "Ellen", "non-dropping-particle" : "", "parse-names" : false, "suffix" : "" }, { "dropping-particle" : "", "family" : "Muraven", "given" : "Mark", "non-dropping-particle" : "", "parse-names" : false, "suffix" : "" }, { "dropping-particle" : "", "family" : "Tice", "given" : "Dianne M", "non-dropping-particle" : "", "parse-names" : false, "suffix" : "" } ], "container-title" : "Journal of personality and social psychology", "id" : "ITEM-1", "issue" : "5", "issued" : { "date-parts" : [ [ "1998" ] ] }, "page" : "1252-1265", "title" : "Ego depletion: is the active self a limited resource?", "type" : "article-journal", "volume" : "74" }, "uris" : [ "http://www.mendeley.com/documents/?uuid=ed613166-71ae-36a5-bae2-6f172226c53f" ] }, { "id" : "ITEM-2", "itemData" : { "DOI" : "10.1002/bdm.619", "author" : [ { "dropping-particle" : "", "family" : "Bruyneel", "given" : "", "non-dropping-particle" : "", "parse-names" : false, "suffix" : "" }, { "dropping-particle" : "", "family" : "Dewitte", "given" : "", "non-dropping-particle" : "", "parse-names" : false, "suffix" : "" }, { "dropping-particle" : "", "family" : "Hans-frances", "given" : "Philip", "non-dropping-particle" : "", "parse-names" : false, "suffix" : "" }, { "dropping-particle" : "", "family" : "Dekimpe", "given" : "marnik g", "non-dropping-particle" : "", "parse-names" : false, "suffix" : "" } ], "container-title" : "journal of behavioural decision making", "id" : "ITEM-2", "issued" : { "date-parts" : [ [ "2009" ] ] }, "page" : "153-170", "title" : "I felt low and my purse feels light: Depleting mood regulation attempts affect risk decision making", "type" : "article-journal", "volume" : "22" }, "uris" : [ "http://www.mendeley.com/documents/?uuid=61a57ca0-a0db-42c2-9cba-36c9a5316023" ] }, { "id" : "ITEM-3", "itemData" : { "abstract" : "If self-regulation conforms to an energy or strength model, then self-control should be impaired by prior exertion. In Study 1, trying to regulate one's emotional response to an upsetting movie was followed by a decrease in physical stamina. In Study 2, suppressing forbidden thoughts led to a subsequent tendency to give up quickly on unsolvable anagrams. In Study 3, suppressing thoughts impaired subsequent efforts to control the expression of amusement and enjoyment. In Study 4, autobiographical accounts of successful versus failed emotional control linked prior regulatory de-mands and fatigue to self-regulatory failure. A strength model of self-regulation fits the data better than activation, priming, skill, or constant capacity models of se</w:instrText>
      </w:r>
      <w:r w:rsidR="00844B08" w:rsidRPr="00844B08">
        <w:rPr>
          <w:sz w:val="24"/>
          <w:szCs w:val="24"/>
          <w:lang w:val="fr-FR"/>
        </w:rPr>
        <w:instrText>lf-regulation.", "author" : [ { "dropping-particle" : "", "family" : "Muraven", "given" : "Mark", "non-dropping-particle" : "", "parse-names" : false, "suffix" : "" }, { "dropping-particle" : "", "family" : "Tice", "given" : "Dianne M", "non-dropping-particle" : "", "parse-names" : false, "suffix" : "" }, { "dropping-particle" : "", "family" : "Baumeister", "given" : "Roy F", "non-dropping-particle" : "", "parse-names" : false, "suffix" : "" } ], "container-title" : "JOURNAL OF PERSONALITY AND SOCIAL PSYCHOLOGY", "id" : "ITEM-3", "issue" : "3", "issued" : { "date-parts" : [ [ "1998" ] ] }, "page" : "774-789", "title" : "Self-Control as Limited Resource: Regulatory Depletion Patterns", "type" : "article-journal", "volume" : "74" }, "uris" : [ "http://www.mendeley.com/documents/?uuid=c83dcf2b-5f48-3a92-aedd-9fae27d33f40" ] } ], "mendeley" : { "formattedCitation" : "(Baumeister et al., 1998; Bruyneel, Dewitte, Hans-frances, &amp; Dekimpe, 2009; Muraven et al., 1998)", "manualFormatting" : "Baumeister et al., 1998; Bruyneel, Dewitte, Hans-frances, &amp; Dekimpe, 2009; Muraven et al., 1998)", "plainTextFormattedCitation" : "(Baumeister et al., 1998; Bruyneel, Dewitte, Hans-frances, &amp; Dekimpe, 2009; Muraven et al., 1998)", "previouslyFormattedCitation" : "(Roy F Baumeister et al., 1998; Bruyneel, Dewitte, Hans-frances, &amp; Dekimpe, 2009; Muraven et al., 1998)" }, "properties" : { "noteIndex" : 0 }, "schema" : "https://github.com/citation-style-language/schema/raw/master/csl-citation.json" }</w:instrText>
      </w:r>
      <w:r w:rsidR="00B06E70">
        <w:rPr>
          <w:sz w:val="24"/>
          <w:szCs w:val="24"/>
        </w:rPr>
        <w:fldChar w:fldCharType="separate"/>
      </w:r>
      <w:r w:rsidR="00F0706F" w:rsidRPr="00F0706F">
        <w:rPr>
          <w:noProof/>
          <w:sz w:val="24"/>
          <w:szCs w:val="24"/>
          <w:lang w:val="fr-FR"/>
        </w:rPr>
        <w:t>Baumeister et al., 1998; Bruyneel, Dewitte, Hans-frances, &amp; Dekimpe, 2009; Muraven et al., 1998)</w:t>
      </w:r>
      <w:r w:rsidR="00B06E70">
        <w:rPr>
          <w:sz w:val="24"/>
          <w:szCs w:val="24"/>
        </w:rPr>
        <w:fldChar w:fldCharType="end"/>
      </w:r>
      <w:r w:rsidRPr="00F0706F">
        <w:rPr>
          <w:sz w:val="24"/>
          <w:szCs w:val="24"/>
          <w:lang w:val="fr-FR"/>
        </w:rPr>
        <w:t xml:space="preserve">. </w:t>
      </w:r>
      <w:r w:rsidRPr="00D05EBD">
        <w:rPr>
          <w:sz w:val="24"/>
          <w:szCs w:val="24"/>
        </w:rPr>
        <w:t xml:space="preserve">The measure of affect used in Study 3 had the advantage of measuring both activation and valence components of affect </w:t>
      </w:r>
      <w:r w:rsidR="00B06E70">
        <w:rPr>
          <w:sz w:val="24"/>
          <w:szCs w:val="24"/>
        </w:rPr>
        <w:fldChar w:fldCharType="begin" w:fldLock="1"/>
      </w:r>
      <w:r w:rsidR="008315E1">
        <w:rPr>
          <w:sz w:val="24"/>
          <w:szCs w:val="24"/>
        </w:rPr>
        <w:instrText>ADDIN CSL_CITATION { "citationItems" : [ { "id" : "ITEM-1", "itemData" : { "DOI" : "10.1037/0033-295X.110.1.145", "ISBN" : "0269-9931", "ISSN" : "0033-295X", "PMID" : "12529060", "abstract" : "At the heart of emotion, mood, and any other emotionally charged event are states experienced as simply feeling good or bad, energized or enervated. These states--called core affect--influence reflexes, perception, cognition, and behavior and are influenced by many causes internal and external, but people have no direct access to these causal connections. Core affect can therefore be experienced as free-floating (mood) or can be attributed to some cause (and thereby begin an emotional episode). These basic processes spawn a broad framework that includes perception of the core-affect-altering properties of stimuli, motives, empathy, emotional meta-experience, and affect versus emotion regulation; it accounts for prototypical emotional episodes, such as fear and anger, as core affect attributed to something plus various nonemotional processes.", "author" : [ { "dropping-particle" : "", "family" : "Russell", "given" : "James A.", "non-dropping-particle" : "", "parse-names" : false, "suffix" : "" } ], "container-title" : "Psychological review", "id" : "ITEM-1", "issue" : "1", "issued" : { "date-parts" : [ [ "2003" ] ] }, "page" : "145-72", "title" : "Core affect and the psychological construction of emotion.", "type" : "article-journal", "volume" : "110" }, "uris" : [ "http://www.mendeley.com/documents/?uuid=c8b8a040-6cdc-41eb-a779-e73b79cf278f" ] } ], "mendeley" : { "formattedCitation" : "(Russell, 2003)", "plainTextFormattedCitation" : "(Russell, 2003)", "previouslyFormattedCitation" : "(Russell, 2003)" }, "properties" : { "noteIndex" : 0 }, "schema" : "https://github.com/citation-style-language/schema/raw/master/csl-citation.json" }</w:instrText>
      </w:r>
      <w:r w:rsidR="00B06E70">
        <w:rPr>
          <w:sz w:val="24"/>
          <w:szCs w:val="24"/>
        </w:rPr>
        <w:fldChar w:fldCharType="separate"/>
      </w:r>
      <w:r w:rsidR="008315E1" w:rsidRPr="008315E1">
        <w:rPr>
          <w:noProof/>
          <w:sz w:val="24"/>
          <w:szCs w:val="24"/>
        </w:rPr>
        <w:t>(Russell, 2003)</w:t>
      </w:r>
      <w:r w:rsidR="00B06E70">
        <w:rPr>
          <w:sz w:val="24"/>
          <w:szCs w:val="24"/>
        </w:rPr>
        <w:fldChar w:fldCharType="end"/>
      </w:r>
      <w:r w:rsidRPr="00D05EBD">
        <w:rPr>
          <w:sz w:val="24"/>
          <w:szCs w:val="24"/>
        </w:rPr>
        <w:t xml:space="preserve">, resulting in 4 different measures of affect which provided the opportunity to see which kinds of affect are related to the use of self-control. Both high (i.e. anxious, nervous, worried, tense) and low (i.e. despondent, dejected, depressed, hopeless) activated negative affect were positively related to participant’s ‘loss of control’ and to ‘exertion of self-control effort’ factors, whereas low activated positive affect (at ease, laid-back, relaxed calm) was negatively related to ‘loss of control’ and to ‘exertion of self-control effort’, as well as high activated positive affect was negatively related to ‘loss of control’. These findings go in line with research that says that negative affect increases with depletion </w:t>
      </w:r>
      <w:r w:rsidR="00B06E70">
        <w:rPr>
          <w:sz w:val="24"/>
          <w:szCs w:val="24"/>
        </w:rPr>
        <w:fldChar w:fldCharType="begin" w:fldLock="1"/>
      </w:r>
      <w:r w:rsidR="008315E1">
        <w:rPr>
          <w:sz w:val="24"/>
          <w:szCs w:val="24"/>
        </w:rPr>
        <w:instrText>ADDIN CSL_CITATION { "citationItems" : [ { "id" : "ITEM-1", "itemData" : { "DOI" : "10.1177/0146167201279008", "ISBN" : "0146167201", "ISSN" : "0146-1672", "PMID" : "11906", "abstract" : "Two studies examined whether ostracizing someone depletes psychological resources in the ostracizer. In Study 1, people who followed instructions to avoid conversation with a confederate for 3 minutes later showed decrements in persistence on unsolvable problems. In Study 2, ostracizers showed subsequent impairments in physical stamina on a handgrip task. Although ostracism affected mood too, mood did not appear to mediate the main findings. Past work has shown that ostracism has negative consequences for the victim, but the present results indicate that ostracism has a harmful impact on the ostracizer too.", "author" : [ { "dropping-particle" : "", "family" : "Ciarocco", "given" : "N. J.", "non-dropping-particle" : "", "parse-names" : false, "suffix" : "" }, { "dropping-particle" : "", "family" : "Sommer", "given" : "K. L.", "non-dropping-particle" : "", "parse-names" : false, "suffix" : "" }, { "dropping-particle" : "", "family" : "Baumeister", "given" : "R. F.", "non-dropping-particle" : "", "parse-names" : false, "suffix" : "" } ], "container-title" : "Personality and Social Psychology Bulletin", "id" : "ITEM-1", "issue" : "9", "issued" : { "date-parts" : [ [ "2001" ] ] }, "page" : "1156-1163", "title" : "Ostracism and Ego Depletion: The Strains of Silence", "type" : "article-journal", "volume" : "27" }, "uris" : [ "http://www.mendeley.com/documents/?uuid=5cb99768-0032-47e7-949a-3f5a6b162c70" ] }, { "id" : "ITEM-2", "itemData" : { "DOI" : "10.1007/s11031-009-9146-0", "ISSN" : "01467239", "abstract" : "Female undergraduates were assigned to one of three groups, two involving regulatory training and one not. Training participants performed for 2 weeks tasks that required strong behavioral restraint (Strong Training) or weak behavioral restraint (Weak Training). Later, they took part in (1) a laboratory session in which they performed tasks with inhibitory components, and (2) a follow-up week in which they provided health behavior reports and used designated dental supplies. No Training participants took part only in the session and follow-up week. As expected, laboratory performance was improved for Strong- relative to No Training participants, with performance for Weak Training participants falling in between. Also as expected, Strong Training participants used more floss in the follow-up week than did the No Training participants, with floss for Weak Training participants falling between. Contrary to expectation, Strong Training participants used less toothpaste and reported having brushed less than the No Training participants. In addition, Strong Training participants evinced exaggerated -- rather than diminished -- cardiovascular responses during the laboratory tasks. The performance and floss use data support the suggestion that inhibitory system strength can be increased through use. The brushing and cardiovascular findings may be interpretable in inhibitory strength terms. Adapted from the source document", "author" : [ { "dropping-particle" : "", "family" : "Hui", "given" : "Siu Kuen Azor", "non-dropping-particle" : "", "parse-names" : false, "suffix" : "" }, { "dropping-particle" : "", "family" : "Wright", "given" : "Rex A.", "non-dropping-particle" : "", "parse-names" : false, "suffix" : "" }, { "dropping-particle" : "", "family" : "Stewart", "given" : "Christopher C.", "non-dropping-particle" : "", "parse-names" : false, "suffix" : "" }, { "dropping-particle" : "", "family" : "Simmons", "given" : "Angel", "non-dropping-particle" : "", "parse-names" : false, "suffix" : "" }, { "dropping-particle" : "", "family" : "Eaton", "given" : "Bradley", "non-dropping-particle" : "", "parse-names" : false, "suffix" : "" }, { "dropping-particle" : "", "family" : "Nolte", "given" : "R. Nicholas", "non-dropping-particle" : "", "parse-names" : false, "suffix" : "" } ], "container-title" : "Motivation and Emotion", "id" : "ITEM-2", "issue" : "4", "issued" : { "date-parts" : [ [ "2009" ] ] }, "page" : "419-434", "title" : "Performance, cardiovascular, and health behavior effects of an inhibitory strength training intervention", "type" : "article-journal", "volume" : "33" }, "uris" : [ "http://www.mendeley.com/documents/?uuid=a0cec3e5-1ccb-3fac-8ba0-0d4fbcecd2a2" ] } ], "mendeley" : { "formattedCitation" : "(Ciarocco, Sommer, &amp; Baumeister, 2001; Hui et al., 2009)", "plainTextFormattedCitation" : "(Ciarocco, Sommer, &amp; Baumeister, 2001; Hui et al., 2009)", "previouslyFormattedCitation" : "(Ciarocco, Sommer, &amp; Baumeister, 2001; Hui et al., 2009)" }, "properties" : { "noteIndex" : 0 }, "schema" : "https://github.com/citation-style-language/schema/raw/master/csl-citation.json" }</w:instrText>
      </w:r>
      <w:r w:rsidR="00B06E70">
        <w:rPr>
          <w:sz w:val="24"/>
          <w:szCs w:val="24"/>
        </w:rPr>
        <w:fldChar w:fldCharType="separate"/>
      </w:r>
      <w:r w:rsidR="008315E1" w:rsidRPr="008315E1">
        <w:rPr>
          <w:noProof/>
          <w:sz w:val="24"/>
          <w:szCs w:val="24"/>
        </w:rPr>
        <w:t>(Ciarocco, Sommer, &amp; Baumeister, 2001; Hui et al., 2009)</w:t>
      </w:r>
      <w:r w:rsidR="00B06E70">
        <w:rPr>
          <w:sz w:val="24"/>
          <w:szCs w:val="24"/>
        </w:rPr>
        <w:fldChar w:fldCharType="end"/>
      </w:r>
      <w:r w:rsidRPr="00D05EBD">
        <w:rPr>
          <w:sz w:val="24"/>
          <w:szCs w:val="24"/>
        </w:rPr>
        <w:t>. This could indicate that exerting self-control might be aversive for people (</w:t>
      </w:r>
      <w:proofErr w:type="spellStart"/>
      <w:r w:rsidRPr="00D05EBD">
        <w:rPr>
          <w:sz w:val="24"/>
          <w:szCs w:val="24"/>
        </w:rPr>
        <w:t>Hagger</w:t>
      </w:r>
      <w:proofErr w:type="spellEnd"/>
      <w:r w:rsidRPr="00D05EBD">
        <w:rPr>
          <w:sz w:val="24"/>
          <w:szCs w:val="24"/>
        </w:rPr>
        <w:t xml:space="preserve"> et al</w:t>
      </w:r>
      <w:r w:rsidR="00DC6D67">
        <w:rPr>
          <w:sz w:val="24"/>
          <w:szCs w:val="24"/>
        </w:rPr>
        <w:t>.</w:t>
      </w:r>
      <w:r w:rsidRPr="00D05EBD">
        <w:rPr>
          <w:sz w:val="24"/>
          <w:szCs w:val="24"/>
        </w:rPr>
        <w:t xml:space="preserve">, 2010) although the positive correlations between low activated positive affect and ‘success at self-control’, and the negative correlation between low activated negative </w:t>
      </w:r>
      <w:proofErr w:type="spellStart"/>
      <w:r w:rsidRPr="00D05EBD">
        <w:rPr>
          <w:sz w:val="24"/>
          <w:szCs w:val="24"/>
        </w:rPr>
        <w:t>affect</w:t>
      </w:r>
      <w:proofErr w:type="spellEnd"/>
      <w:r w:rsidRPr="00D05EBD">
        <w:rPr>
          <w:sz w:val="24"/>
          <w:szCs w:val="24"/>
        </w:rPr>
        <w:t xml:space="preserve">, and ‘success at self-control’ contradict this. In short, there seems to be a relationship between affect and use of self-control during the working day, specifically, the present findings suggests that when participants reported exerting self-control during the day but were not very successful (they lost control) they experienced more negative feelings and less positive feelings, while when they succeeded at self-control factor, they reported more positive feelings and less negative </w:t>
      </w:r>
      <w:r w:rsidRPr="00D05EBD">
        <w:rPr>
          <w:sz w:val="24"/>
          <w:szCs w:val="24"/>
        </w:rPr>
        <w:lastRenderedPageBreak/>
        <w:t xml:space="preserve">feelings. </w:t>
      </w:r>
      <w:r w:rsidR="00A45A76">
        <w:rPr>
          <w:sz w:val="24"/>
          <w:szCs w:val="24"/>
        </w:rPr>
        <w:t xml:space="preserve">Another interpretation of these findings could be that it is the consequences of exerting self-control that are related to different affective states, in that when people succeed at self-control they experience positive affect while when they fail at self-control they experience negative </w:t>
      </w:r>
      <w:proofErr w:type="spellStart"/>
      <w:r w:rsidR="00A45A76">
        <w:rPr>
          <w:sz w:val="24"/>
          <w:szCs w:val="24"/>
        </w:rPr>
        <w:t>affect</w:t>
      </w:r>
      <w:proofErr w:type="spellEnd"/>
      <w:r w:rsidR="00A45A76">
        <w:rPr>
          <w:sz w:val="24"/>
          <w:szCs w:val="24"/>
        </w:rPr>
        <w:t>.</w:t>
      </w:r>
    </w:p>
    <w:p w:rsidR="00FB1389" w:rsidRPr="00D05EBD" w:rsidRDefault="00FB1389" w:rsidP="00AE640B">
      <w:pPr>
        <w:spacing w:line="480" w:lineRule="auto"/>
        <w:ind w:firstLine="720"/>
        <w:jc w:val="both"/>
        <w:rPr>
          <w:sz w:val="24"/>
          <w:szCs w:val="24"/>
        </w:rPr>
      </w:pPr>
      <w:r w:rsidRPr="00D05EBD">
        <w:rPr>
          <w:sz w:val="24"/>
          <w:szCs w:val="24"/>
        </w:rPr>
        <w:t xml:space="preserve">Emotional exhaustion was also related to the use of self-control, specifically to the ‘loss of control’ factor. The findings of the present study suggest that participants who used more self-control during the working day tended to report more emotional exhaustion, which could reflect low self-regulatory capacity. Research from </w:t>
      </w:r>
      <w:r w:rsidR="00B06E70">
        <w:rPr>
          <w:sz w:val="24"/>
          <w:szCs w:val="24"/>
        </w:rPr>
        <w:fldChar w:fldCharType="begin" w:fldLock="1"/>
      </w:r>
      <w:r w:rsidR="008315E1">
        <w:rPr>
          <w:sz w:val="24"/>
          <w:szCs w:val="24"/>
        </w:rPr>
        <w:instrText>ADDIN CSL_CITATION { "citationItems" : [ { "id" : "ITEM-1", "itemData" : { "DOI" : "10.1016/j.jrp.2011.10.001", "ISBN" : "0092-6566", "ISSN" : "00926566", "abstract" : "The Brief Self-Control Scale (BSCS; Tangney, Baumeister, &amp; Boone, 2004) was developed to assess dispositional self-control as it is conceptualized by contemporary theoretical perspectives; however, concerns regarding its unidimensionality and validity remain. This article addresses these concerns using three samples to define, confirm and test a multi-factor version of the BSCS. Results of Study 1 (n=909) identified two factors of the BSCS: restraint and impulsivity. Results of Study 2 (n=364) confirmed that the 2-factor structure fit the data well and performed better than 1-factor structures. Finally, results from Study 3 (n=175) demonstrated the utility of the multi-factor BSCS in predicting self-reported affective and behavioral outcomes. Implications for research and theoretical development are discussed. ?? 2011 Elsevier Inc..", "author" : [ { "dropping-particle" : "", "family" : "Maloney", "given" : "Patrick W.", "non-dropping-particle" : "", "parse-names" : false, "suffix" : "" }, { "dropping-particle" : "", "family" : "Grawitch", "given" : "Matthew J.", "non-dropping-particle" : "", "parse-names" : false, "suffix" : "" }, { "dropping-particle" : "", "family" : "Barber", "given" : "Larissa K.", "non-dropping-particle" : "", "parse-names" : false, "suffix" : "" } ], "container-title" : "Journal of Research in Personality", "id" : "ITEM-1", "issue" : "1", "issued" : { "date-parts" : [ [ "2012" ] ] }, "page" : "111-115", "title" : "The multi-factor structure of the Brief Self-Control Scale: Discriminant validity of restraint and impulsivity", "type" : "article-journal", "volume" : "46" }, "uris" : [ "http://www.mendeley.com/documents/?uuid=50892528-b47c-3024-adb1-998caade6632" ] } ], "mendeley" : { "formattedCitation" : "(Maloney et al., 2012)", "manualFormatting" : "Maloney et al. (2012)", "plainTextFormattedCitation" : "(Maloney et al., 2012)", "previouslyFormattedCitation" : "(Maloney et al., 2012)" }, "properties" : { "noteIndex" : 0 }, "schema" : "https://github.com/citation-style-language/schema/raw/master/csl-citation.json" }</w:instrText>
      </w:r>
      <w:r w:rsidR="00B06E70">
        <w:rPr>
          <w:sz w:val="24"/>
          <w:szCs w:val="24"/>
        </w:rPr>
        <w:fldChar w:fldCharType="separate"/>
      </w:r>
      <w:r w:rsidR="008315E1" w:rsidRPr="008315E1">
        <w:rPr>
          <w:noProof/>
          <w:sz w:val="24"/>
          <w:szCs w:val="24"/>
        </w:rPr>
        <w:t xml:space="preserve">Maloney et al. </w:t>
      </w:r>
      <w:r w:rsidR="008315E1">
        <w:rPr>
          <w:noProof/>
          <w:sz w:val="24"/>
          <w:szCs w:val="24"/>
        </w:rPr>
        <w:t>(</w:t>
      </w:r>
      <w:r w:rsidR="008315E1" w:rsidRPr="008315E1">
        <w:rPr>
          <w:noProof/>
          <w:sz w:val="24"/>
          <w:szCs w:val="24"/>
        </w:rPr>
        <w:t>2012)</w:t>
      </w:r>
      <w:r w:rsidR="00B06E70">
        <w:rPr>
          <w:sz w:val="24"/>
          <w:szCs w:val="24"/>
        </w:rPr>
        <w:fldChar w:fldCharType="end"/>
      </w:r>
      <w:r w:rsidRPr="00D05EBD">
        <w:rPr>
          <w:sz w:val="24"/>
          <w:szCs w:val="24"/>
        </w:rPr>
        <w:t xml:space="preserve"> supports this idea. They used the emotional exhaustion Scale from the </w:t>
      </w:r>
      <w:proofErr w:type="spellStart"/>
      <w:r w:rsidRPr="00D05EBD">
        <w:rPr>
          <w:sz w:val="24"/>
          <w:szCs w:val="24"/>
        </w:rPr>
        <w:t>Maslach</w:t>
      </w:r>
      <w:proofErr w:type="spellEnd"/>
      <w:r w:rsidRPr="00D05EBD">
        <w:rPr>
          <w:sz w:val="24"/>
          <w:szCs w:val="24"/>
        </w:rPr>
        <w:t xml:space="preserve"> Burnout Inventory (</w:t>
      </w:r>
      <w:proofErr w:type="spellStart"/>
      <w:r w:rsidRPr="00D05EBD">
        <w:rPr>
          <w:sz w:val="24"/>
          <w:szCs w:val="24"/>
        </w:rPr>
        <w:t>Maslach</w:t>
      </w:r>
      <w:proofErr w:type="spellEnd"/>
      <w:r w:rsidRPr="00D05EBD">
        <w:rPr>
          <w:sz w:val="24"/>
          <w:szCs w:val="24"/>
        </w:rPr>
        <w:t>, et al., 1996), as an affective outcome on the basis that people with high self-regulatory capacity should be less susceptible to cognitive and emotional depletion. Some researchers have even used emotional exhaustion as a subjective measure of ego-depletion (Martinez, et al., 2013). Although in study 3 it cannot be said that emotional exhaustion and use of self-control are the same, they are indeed related, showing that when one occurs the other occurs as well.</w:t>
      </w:r>
    </w:p>
    <w:p w:rsidR="00FB1389" w:rsidRPr="00D05EBD" w:rsidRDefault="00FB1389" w:rsidP="00AE640B">
      <w:pPr>
        <w:spacing w:line="480" w:lineRule="auto"/>
        <w:ind w:firstLine="720"/>
        <w:jc w:val="both"/>
        <w:rPr>
          <w:sz w:val="24"/>
          <w:szCs w:val="24"/>
        </w:rPr>
      </w:pPr>
      <w:r w:rsidRPr="00D05EBD">
        <w:rPr>
          <w:sz w:val="24"/>
          <w:szCs w:val="24"/>
        </w:rPr>
        <w:t>The last factor found to be related to the use of self-control during the working day was fatigue, as measured by the participants levels of physical and mental energy. The findings suggests that when participants failed at using self-control (as reflected on their scores on the ‘loss of control’ factor), they experienced more mental and physical fatigue, whereas when they ‘succeeded at self-control’ the opposite effect was found. These findings confirm what literature suggest in that people that exert self-control report higher levels of fatigue than people who do not exert self-control (</w:t>
      </w:r>
      <w:proofErr w:type="spellStart"/>
      <w:r w:rsidRPr="00D05EBD">
        <w:rPr>
          <w:sz w:val="24"/>
          <w:szCs w:val="24"/>
        </w:rPr>
        <w:t>Hagger</w:t>
      </w:r>
      <w:proofErr w:type="spellEnd"/>
      <w:r w:rsidRPr="00D05EBD">
        <w:rPr>
          <w:sz w:val="24"/>
          <w:szCs w:val="24"/>
        </w:rPr>
        <w:t xml:space="preserve">, et al., 2010; </w:t>
      </w:r>
      <w:proofErr w:type="spellStart"/>
      <w:r w:rsidRPr="00D05EBD">
        <w:rPr>
          <w:sz w:val="24"/>
          <w:szCs w:val="24"/>
        </w:rPr>
        <w:t>Muraven</w:t>
      </w:r>
      <w:proofErr w:type="spellEnd"/>
      <w:r w:rsidRPr="00D05EBD">
        <w:rPr>
          <w:sz w:val="24"/>
          <w:szCs w:val="24"/>
        </w:rPr>
        <w:t xml:space="preserve"> et al., 1998). </w:t>
      </w:r>
    </w:p>
    <w:p w:rsidR="00FB1389" w:rsidRPr="00D05EBD" w:rsidRDefault="00FB1389" w:rsidP="00AE640B">
      <w:pPr>
        <w:spacing w:line="480" w:lineRule="auto"/>
        <w:ind w:firstLine="720"/>
        <w:jc w:val="both"/>
        <w:rPr>
          <w:sz w:val="24"/>
          <w:szCs w:val="24"/>
        </w:rPr>
      </w:pPr>
      <w:r w:rsidRPr="00D05EBD">
        <w:rPr>
          <w:sz w:val="24"/>
          <w:szCs w:val="24"/>
        </w:rPr>
        <w:lastRenderedPageBreak/>
        <w:t>The main objective of Study 3 was to develop a new self-report measure of the use of self-control during the working day and validate it by examining the relationship between scores on this measure and the performance of the participants on the Stroop Task. Finding this relationship would work as a way of identifying people that are likely depleted of self-control resources from people that are not, to then use this classification in subsequent studies of IER. The prediction for such studies would be that people depleted in self-control would be more likely to rely on heuristics and/or automatic processes, and so identifying these people could provide evidence of how AIER manifests. To see if there was a relationship between the use of self-control during the working day and levels of self-control, participants’ scores on the questionnaire were correlated with their performances on the Stroop Task. No relationship between any of the three factors of the ‘Use of self-control during the working day’ scale and the performance in the Stroop task was found. Even though the factors associated to the use of self-control, such as emotional exhaustion, fatigue and mood suggests that the ‘Use of self-control during t</w:t>
      </w:r>
      <w:r w:rsidR="00A8119B">
        <w:rPr>
          <w:sz w:val="24"/>
          <w:szCs w:val="24"/>
        </w:rPr>
        <w:t>he working day’ scale may be</w:t>
      </w:r>
      <w:r w:rsidRPr="00D05EBD">
        <w:rPr>
          <w:sz w:val="24"/>
          <w:szCs w:val="24"/>
        </w:rPr>
        <w:t xml:space="preserve"> measuring use of self-control, the scale itself did not allow to see whether the use of self-control affected the participant’s willingness or ability to exert self-control in the Stroop task. This coul</w:t>
      </w:r>
      <w:r w:rsidR="007A1632">
        <w:rPr>
          <w:sz w:val="24"/>
          <w:szCs w:val="24"/>
        </w:rPr>
        <w:t>d have happened because</w:t>
      </w:r>
      <w:r w:rsidRPr="00D05EBD">
        <w:rPr>
          <w:sz w:val="24"/>
          <w:szCs w:val="24"/>
        </w:rPr>
        <w:t xml:space="preserve">: </w:t>
      </w:r>
      <w:proofErr w:type="spellStart"/>
      <w:r w:rsidRPr="00D05EBD">
        <w:rPr>
          <w:sz w:val="24"/>
          <w:szCs w:val="24"/>
        </w:rPr>
        <w:t>i</w:t>
      </w:r>
      <w:proofErr w:type="spellEnd"/>
      <w:r w:rsidRPr="00D05EBD">
        <w:rPr>
          <w:sz w:val="24"/>
          <w:szCs w:val="24"/>
        </w:rPr>
        <w:t>) the exertion of self-control during the day might not be associated to a willingness or ability to exert self-control but rather to a vulnerability to depletion; ii) participants were not depleted by the self-control that the</w:t>
      </w:r>
      <w:r w:rsidR="007A1632">
        <w:rPr>
          <w:sz w:val="24"/>
          <w:szCs w:val="24"/>
        </w:rPr>
        <w:t>y used during their working day;</w:t>
      </w:r>
      <w:r w:rsidRPr="00D05EBD">
        <w:rPr>
          <w:sz w:val="24"/>
          <w:szCs w:val="24"/>
        </w:rPr>
        <w:t xml:space="preserve"> iii) the Stroop Task could not</w:t>
      </w:r>
      <w:r w:rsidR="007A1632">
        <w:rPr>
          <w:sz w:val="24"/>
          <w:szCs w:val="24"/>
        </w:rPr>
        <w:t xml:space="preserve"> dete</w:t>
      </w:r>
      <w:r w:rsidR="00C61160">
        <w:rPr>
          <w:sz w:val="24"/>
          <w:szCs w:val="24"/>
        </w:rPr>
        <w:t>ct self-control depletion</w:t>
      </w:r>
      <w:r w:rsidR="00D70374">
        <w:rPr>
          <w:sz w:val="24"/>
          <w:szCs w:val="24"/>
        </w:rPr>
        <w:t xml:space="preserve"> or because</w:t>
      </w:r>
      <w:r w:rsidR="00C61160">
        <w:rPr>
          <w:sz w:val="24"/>
          <w:szCs w:val="24"/>
        </w:rPr>
        <w:t>; iv) s</w:t>
      </w:r>
      <w:r w:rsidR="007A1632">
        <w:rPr>
          <w:sz w:val="24"/>
          <w:szCs w:val="24"/>
        </w:rPr>
        <w:t xml:space="preserve">elf-control depletion is not simply a reduction or lack of self-control capacity after having engaged in a previous activity that required self-control but rather, a switch between </w:t>
      </w:r>
      <w:r w:rsidR="007A1632">
        <w:rPr>
          <w:sz w:val="24"/>
          <w:szCs w:val="24"/>
        </w:rPr>
        <w:lastRenderedPageBreak/>
        <w:t xml:space="preserve">“have to” and “want to” goals. </w:t>
      </w:r>
      <w:r w:rsidR="00D70374">
        <w:rPr>
          <w:sz w:val="24"/>
          <w:szCs w:val="24"/>
        </w:rPr>
        <w:t xml:space="preserve">In the next paragraphs, each of these explanations will be further explained. </w:t>
      </w:r>
    </w:p>
    <w:p w:rsidR="00FB1389" w:rsidRPr="00D05EBD" w:rsidRDefault="00FB1389" w:rsidP="00AE640B">
      <w:pPr>
        <w:spacing w:line="480" w:lineRule="auto"/>
        <w:ind w:firstLine="720"/>
        <w:jc w:val="both"/>
        <w:rPr>
          <w:sz w:val="24"/>
          <w:szCs w:val="24"/>
        </w:rPr>
      </w:pPr>
      <w:r w:rsidRPr="00D05EBD">
        <w:rPr>
          <w:sz w:val="24"/>
          <w:szCs w:val="24"/>
        </w:rPr>
        <w:t xml:space="preserve">With respect to the first point, classic research on vulnerability to depletion typically asks participants to complete two tasks requiring self-control in quick succession. For example, in the research conducted by </w:t>
      </w:r>
      <w:r w:rsidR="00B06E70">
        <w:rPr>
          <w:sz w:val="24"/>
          <w:szCs w:val="24"/>
        </w:rPr>
        <w:fldChar w:fldCharType="begin" w:fldLock="1"/>
      </w:r>
      <w:r w:rsidR="00617761">
        <w:rPr>
          <w:sz w:val="24"/>
          <w:szCs w:val="24"/>
        </w:rPr>
        <w:instrText>ADDIN CSL_CITATION { "citationItems" : [ { "id" : "ITEM-1", "itemData" : { "DOI" : "10.1016/S0022-1031(02)00527-9", "ISBN" : "0022-1031", "ISSN" : "00221031", "abstract" : "Research on ego-depletion suggests that the ability to self-regulate one's behavior is limited: Exerting self-control on an initial task reduces performance on a subsequent task that also requires self-control. Two experiments tested whether forming implementation intentions could prevent ego-depletion and/or offset the effects of ego-depletion. Experiment 1 found that participants who formed implementation intentions during an initial ego-depleting task subsequently showed greater persistence on an unsolvable puzzles task compared to participants who did not form implementation intentions. Experiment 2 found that among participants who had been ego-depleted during an initial task, forming implementation intentions improved subsequent performance on a Stroop task to the level exhibited by non-depleted controls. Thus, implementation intentions help to enhance people's ability to self-regulate their behavior. \u00a9 2003 Elsevier Science (USA). All rights reserved.", "author" : [ { "dropping-particle" : "", "family" : "Webb", "given" : "Thomas L.", "non-dropping-particle" : "", "parse-names" : false, "suffix" : "" }, { "dropping-particle" : "", "family" : "Sheeran", "given" : "Paschal", "non-dropping-particle" : "", "parse-names" : false, "suffix" : "" } ], "container-title" : "Journal of Experimental Social Psychology", "id" : "ITEM-1", "issue" : "3", "issued" : { "date-parts" : [ [ "2003" ] ] }, "page" : "279-286", "title" : "Can implementation intentions help to overcome ego-depletion?", "type" : "article", "volume" : "39" }, "uris" : [ "http://www.mendeley.com/documents/?uuid=bc7b26dc-04a8-34e0-9848-c9a7274a7863" ] } ], "mendeley" : { "formattedCitation" : "(Webb &amp; Sheeran, 2003)", "manualFormatting" : "Webb and Sheeran (Experiment 2, 2003)", "plainTextFormattedCitation" : "(Webb &amp; Sheeran, 2003)", "previouslyFormattedCitation" : "(Webb &amp; Sheeran, 2003)" }, "properties" : { "noteIndex" : 0 }, "schema" : "https://github.com/citation-style-language/schema/raw/master/csl-citation.json" }</w:instrText>
      </w:r>
      <w:r w:rsidR="00B06E70">
        <w:rPr>
          <w:sz w:val="24"/>
          <w:szCs w:val="24"/>
        </w:rPr>
        <w:fldChar w:fldCharType="separate"/>
      </w:r>
      <w:r w:rsidR="00617761">
        <w:rPr>
          <w:noProof/>
          <w:sz w:val="24"/>
          <w:szCs w:val="24"/>
        </w:rPr>
        <w:t>Webb and Sheeran</w:t>
      </w:r>
      <w:r w:rsidR="00617761" w:rsidRPr="00617761">
        <w:rPr>
          <w:noProof/>
          <w:sz w:val="24"/>
          <w:szCs w:val="24"/>
        </w:rPr>
        <w:t xml:space="preserve"> </w:t>
      </w:r>
      <w:r w:rsidR="00617761">
        <w:rPr>
          <w:noProof/>
          <w:sz w:val="24"/>
          <w:szCs w:val="24"/>
        </w:rPr>
        <w:t xml:space="preserve">(Experiment 2, </w:t>
      </w:r>
      <w:r w:rsidR="00617761" w:rsidRPr="00617761">
        <w:rPr>
          <w:noProof/>
          <w:sz w:val="24"/>
          <w:szCs w:val="24"/>
        </w:rPr>
        <w:t>2003)</w:t>
      </w:r>
      <w:r w:rsidR="00B06E70">
        <w:rPr>
          <w:sz w:val="24"/>
          <w:szCs w:val="24"/>
        </w:rPr>
        <w:fldChar w:fldCharType="end"/>
      </w:r>
      <w:r w:rsidRPr="00D05EBD">
        <w:rPr>
          <w:sz w:val="24"/>
          <w:szCs w:val="24"/>
        </w:rPr>
        <w:t xml:space="preserve"> looking at whether implementation intentions (if then plans) could prevent ego-depletion, participants in the ego-depletion condition were asked to count down in sevens from 1000 while standing on their weaker leg (which required self-control), and immediately after the completion of this task they were asked to complete the Stroop task, where it would be possible to observe any effects of vulnerability to depletion if the performance on the Stroop was impaired. In Study 3, participants did not move from a self-control exertion task straight into the Stroop task, instead, they answered the ‘Use of self-control during the working day’, and even if they had exerted self-control just before responding to the scale, the time wait between this exertion and the Stroop task (due to responding to the ‘Use of self-control during the working day’ scale) might have been enough for participants to overcome any effects of self-control depletion. As literature suggests periods of rest provide the opportunity for participants to recover from ego depletion </w:t>
      </w:r>
      <w:r w:rsidR="00B06E70">
        <w:rPr>
          <w:sz w:val="24"/>
          <w:szCs w:val="24"/>
        </w:rPr>
        <w:fldChar w:fldCharType="begin" w:fldLock="1"/>
      </w:r>
      <w:r w:rsidR="00617761">
        <w:rPr>
          <w:sz w:val="24"/>
          <w:szCs w:val="24"/>
        </w:rPr>
        <w:instrText>ADDIN CSL_CITATION { "citationItems" : [ { "id" : "ITEM-1", "itemData" : { "DOI" : "10.1521/jscp.2008.27.5.471", "ISBN" : "0736-7236", "ISSN" : "0736-7236", "PMID" : "33019627", "abstract" : "The Effects of Ostracism on Self\u2013Regulation in the Socially Anxious \\n-------------------------------------------------------------------------------- Author(s): Megan Oaten1, | Kipling D. Williams2, | Andrew Jones1, | Lisa Zadro3   doi: 10.1521/jscp.2008.27.5.471  Prev | Table of contents | Next      View PDF article (934 K)  View PDF with links (325 K)     Email this link    What is RSS?  Trouble viewing articles as PDF?           Journal of Social and Clinical Psychology       Print ISSN: 0736-7236   Volume: 27 | Issue: 5   Cover date: May 2008  Page(s): 471-504            Abstract text    \\nOstracism is readily detected and results in a number of negative reactions. For example, social exclusion is argued to interfere with self\u2013regulation. Some recent work found that the negative effects of ostracism are more pronounced and prolonged in socially anxious people. Based on these findings we tested whether: (1) ostracism impairs self\u2013regulation, and (2) such impairment persists longer in socially anxious people, as classified through the Fear of Negative Evaluation Scale (FNE). In Study 1, we found that relative to included participants (nonostracized controls), ostracized participants reported higher felt ostracism and ate more unhealthy but palatable biscuits at Time 1. After a 45\u2013minute delay, only ostracized participants with higher levels of social anxiety reported continued felt ostracism and excessive eating. Similarly, in Study 2, self\u2013regulation was defined as consuming an unpleasant, but healthy, beverage. We again observed a pattern of prolonged regulatory impairment only for ostracized socially anxious participants. Implications for the long\u2013term impact of the exclusion of the socially anxious are discussed, as are the limitations of relying on the FNE as the sole measure of social anxiety.   ", "author" : [ { "dropping-particle" : "", "family" : "Oaten", "given" : "Megan", "non-dropping-particle" : "", "parse-names" : false, "suffix" : "" }, { "dropping-particle" : "", "family" : "Williams", "given" : "Kipling D.", "non-dropping-particle" : "", "parse-names" : false, "suffix" : "" }, { "dropping-particle" : "", "family" : "Jones", "given" : "Andrew", "non-dropping-particle" : "", "parse-names" : false, "suffix" : "" }, { "dropping-particle" : "", "family" : "Zadro", "given" : "Lisa", "non-dropping-particle" : "", "parse-names" : false, "suffix" : "" } ], "container-title" : "Journal of Social and Clinical Psychology", "id" : "ITEM-1", "issue" : "5", "issued" : { "date-parts" : [ [ "2008" ] ] }, "page" : "471-504", "title" : "The Effects of Ostracism on Self\u2013Regulation in the Socially Anxious", "type" : "article-journal", "volume" : "27" }, "uris" : [ "http://www.mendeley.com/documents/?uuid=3953cc06-3012-4982-8cdd-1af94cad6110" ] } ], "mendeley" : { "formattedCitation" : "(Oaten, Williams, Jones, &amp; Zadro, 2008)", "plainTextFormattedCitation" : "(Oaten, Williams, Jones, &amp; Zadro, 2008)", "previouslyFormattedCitation" : "(Oaten, Williams, Jones, &amp; Zadro, 2008)" }, "properties" : { "noteIndex" : 0 }, "schema" : "https://github.com/citation-style-language/schema/raw/master/csl-citation.json" }</w:instrText>
      </w:r>
      <w:r w:rsidR="00B06E70">
        <w:rPr>
          <w:sz w:val="24"/>
          <w:szCs w:val="24"/>
        </w:rPr>
        <w:fldChar w:fldCharType="separate"/>
      </w:r>
      <w:r w:rsidR="00617761" w:rsidRPr="00617761">
        <w:rPr>
          <w:noProof/>
          <w:sz w:val="24"/>
          <w:szCs w:val="24"/>
        </w:rPr>
        <w:t>(Oaten, Williams, Jones, &amp; Zadro, 2008)</w:t>
      </w:r>
      <w:r w:rsidR="00B06E70">
        <w:rPr>
          <w:sz w:val="24"/>
          <w:szCs w:val="24"/>
        </w:rPr>
        <w:fldChar w:fldCharType="end"/>
      </w:r>
      <w:r w:rsidRPr="00D05EBD">
        <w:rPr>
          <w:sz w:val="24"/>
          <w:szCs w:val="24"/>
        </w:rPr>
        <w:t>. In the present study, any activities participants might have engaged in before completing the Stroop task, including answering the ‘Use of self-control during the working day’ scale, may have helped them to recover self-control capacity. Also, participants were not asked what time did they last exerted self-control during their worki</w:t>
      </w:r>
      <w:r w:rsidR="00387D05">
        <w:rPr>
          <w:sz w:val="24"/>
          <w:szCs w:val="24"/>
        </w:rPr>
        <w:t xml:space="preserve">ng day so it was impossible to </w:t>
      </w:r>
      <w:r w:rsidRPr="00D05EBD">
        <w:rPr>
          <w:sz w:val="24"/>
          <w:szCs w:val="24"/>
        </w:rPr>
        <w:t>know whether participants use of self-control happene</w:t>
      </w:r>
      <w:r w:rsidR="001E0B0A">
        <w:rPr>
          <w:sz w:val="24"/>
          <w:szCs w:val="24"/>
        </w:rPr>
        <w:t>d at the beginning of the day, in</w:t>
      </w:r>
      <w:r w:rsidRPr="00D05EBD">
        <w:rPr>
          <w:sz w:val="24"/>
          <w:szCs w:val="24"/>
        </w:rPr>
        <w:t xml:space="preserve"> </w:t>
      </w:r>
      <w:r w:rsidRPr="00D05EBD">
        <w:rPr>
          <w:sz w:val="24"/>
          <w:szCs w:val="24"/>
        </w:rPr>
        <w:lastRenderedPageBreak/>
        <w:t xml:space="preserve">the middle of the day, or during the whole day. If, for example, participants only exerted self-control at the beginning of their working days, this could have given them time to recover from the effects of ego-depletion. Therefore, in order to investigate whether the ‘Use of self-control during the working day’ scale is associated to people’s vulnerability to self-control depletion, a self-control task would have to be included before participants engaged in the Stroop task. If the scale of ‘Use of self-control during the working day’ is related to vulnerability to depletion, it would be expected that this scale would be related to the performance of participants on a Stroop task after having engaged in a previous self-control task.  An independent study using the ‘Use of self-control during the working day’ scale tested this idea </w:t>
      </w:r>
      <w:r w:rsidR="00B06E70">
        <w:rPr>
          <w:sz w:val="24"/>
          <w:szCs w:val="24"/>
        </w:rPr>
        <w:fldChar w:fldCharType="begin" w:fldLock="1"/>
      </w:r>
      <w:r w:rsidR="002138E2">
        <w:rPr>
          <w:sz w:val="24"/>
          <w:szCs w:val="24"/>
        </w:rPr>
        <w:instrText>ADDIN CSL_CITATION { "citationItems" : [ { "id" : "ITEM-1", "itemData" : { "author" : [ { "dropping-particle" : "", "family" : "Cole", "given" : "E. C.", "non-dropping-particle" : "", "parse-names" : false, "suffix" : "" }, { "dropping-particle" : "", "family" : "Jin Ha", "given" : "Y", "non-dropping-particle" : "", "parse-names" : false, "suffix" : "" }, { "dropping-particle" : "", "family" : "Samuel", "given" : "C. J.", "non-dropping-particle" : "", "parse-names" : false, "suffix" : "" }, { "dropping-particle" : "", "family" : "Webb", "given" : "T. L.", "non-dropping-particle" : "", "parse-names" : false, "suffix" : "" } ], "container-title" : "Unpublished undergraduate dissertation. University of Sheffield", "id" : "ITEM-1", "issued" : { "date-parts" : [ [ "2016" ] ] }, "title" : "The effect of self-control use throughout the day on the vulnerability to depletion", "type" : "article-journal" }, "uris" : [ "http://www.mendeley.com/documents/?uuid=3bad786c-f2d0-4140-90f8-6f009d92c92d" ] } ], "mendeley" : { "formattedCitation" : "(Cole, Jin Ha, Samuel, &amp; Webb, 2016)", "plainTextFormattedCitation" : "(Cole, Jin Ha, Samuel, &amp; Webb, 2016)", "previouslyFormattedCitation" : "(Cole, Jin Ha, Samuel, &amp; Webb, 2016)" }, "properties" : { "noteIndex" : 0 }, "schema" : "https://github.com/citation-style-language/schema/raw/master/csl-citation.json" }</w:instrText>
      </w:r>
      <w:r w:rsidR="00B06E70">
        <w:rPr>
          <w:sz w:val="24"/>
          <w:szCs w:val="24"/>
        </w:rPr>
        <w:fldChar w:fldCharType="separate"/>
      </w:r>
      <w:r w:rsidR="0021186E" w:rsidRPr="0021186E">
        <w:rPr>
          <w:noProof/>
          <w:sz w:val="24"/>
          <w:szCs w:val="24"/>
        </w:rPr>
        <w:t>(Cole, Jin Ha, Samuel, &amp; Webb, 2016)</w:t>
      </w:r>
      <w:r w:rsidR="00B06E70">
        <w:rPr>
          <w:sz w:val="24"/>
          <w:szCs w:val="24"/>
        </w:rPr>
        <w:fldChar w:fldCharType="end"/>
      </w:r>
      <w:r w:rsidRPr="00D05EBD">
        <w:rPr>
          <w:sz w:val="24"/>
          <w:szCs w:val="24"/>
        </w:rPr>
        <w:t>. In this study participants engaged in a letter search task that, as a first stage, required the</w:t>
      </w:r>
      <w:r w:rsidR="00387D05">
        <w:rPr>
          <w:sz w:val="24"/>
          <w:szCs w:val="24"/>
        </w:rPr>
        <w:t>m to highlight all the ‘</w:t>
      </w:r>
      <w:proofErr w:type="spellStart"/>
      <w:r w:rsidR="00387D05">
        <w:rPr>
          <w:sz w:val="24"/>
          <w:szCs w:val="24"/>
        </w:rPr>
        <w:t>e’s</w:t>
      </w:r>
      <w:proofErr w:type="spellEnd"/>
      <w:r w:rsidR="00387D05">
        <w:rPr>
          <w:sz w:val="24"/>
          <w:szCs w:val="24"/>
        </w:rPr>
        <w:t xml:space="preserve"> in a</w:t>
      </w:r>
      <w:r w:rsidRPr="00D05EBD">
        <w:rPr>
          <w:sz w:val="24"/>
          <w:szCs w:val="24"/>
        </w:rPr>
        <w:t xml:space="preserve"> passage of text, and as a second stage, it required them to highlight all the ‘</w:t>
      </w:r>
      <w:proofErr w:type="spellStart"/>
      <w:r w:rsidRPr="00D05EBD">
        <w:rPr>
          <w:sz w:val="24"/>
          <w:szCs w:val="24"/>
        </w:rPr>
        <w:t>e’s</w:t>
      </w:r>
      <w:proofErr w:type="spellEnd"/>
      <w:r w:rsidRPr="00D05EBD">
        <w:rPr>
          <w:sz w:val="24"/>
          <w:szCs w:val="24"/>
        </w:rPr>
        <w:t xml:space="preserve"> in the same passage of text but with some restrictions. Participants were instructed to only highlight the ‘</w:t>
      </w:r>
      <w:proofErr w:type="spellStart"/>
      <w:r w:rsidRPr="00D05EBD">
        <w:rPr>
          <w:sz w:val="24"/>
          <w:szCs w:val="24"/>
        </w:rPr>
        <w:t>e’s</w:t>
      </w:r>
      <w:proofErr w:type="spellEnd"/>
      <w:r w:rsidRPr="00D05EBD">
        <w:rPr>
          <w:sz w:val="24"/>
          <w:szCs w:val="24"/>
        </w:rPr>
        <w:t xml:space="preserve"> that were two letters away from another vowel (e.g. highlighting the ‘e’ in the word ‘arise’, but not in the word ‘killed’. This task has previously been used to deplete self-control resources, as people first form the habit of highlighting all ‘</w:t>
      </w:r>
      <w:proofErr w:type="spellStart"/>
      <w:r w:rsidRPr="00D05EBD">
        <w:rPr>
          <w:sz w:val="24"/>
          <w:szCs w:val="24"/>
        </w:rPr>
        <w:t>e’s</w:t>
      </w:r>
      <w:proofErr w:type="spellEnd"/>
      <w:r w:rsidRPr="00D05EBD">
        <w:rPr>
          <w:sz w:val="24"/>
          <w:szCs w:val="24"/>
        </w:rPr>
        <w:t xml:space="preserve"> they find in the text and then have to inhibit it, and breaking habits requires </w:t>
      </w:r>
      <w:r w:rsidR="00617761">
        <w:rPr>
          <w:sz w:val="24"/>
          <w:szCs w:val="24"/>
        </w:rPr>
        <w:t>self-control</w:t>
      </w:r>
      <w:r w:rsidRPr="00D05EBD">
        <w:rPr>
          <w:sz w:val="24"/>
          <w:szCs w:val="24"/>
        </w:rPr>
        <w:t xml:space="preserve"> </w:t>
      </w:r>
      <w:r w:rsidR="00B06E70">
        <w:rPr>
          <w:sz w:val="24"/>
          <w:szCs w:val="24"/>
        </w:rPr>
        <w:fldChar w:fldCharType="begin" w:fldLock="1"/>
      </w:r>
      <w:r w:rsidR="00844B08">
        <w:rPr>
          <w:sz w:val="24"/>
          <w:szCs w:val="24"/>
        </w:rPr>
        <w:instrText>ADDIN CSL_CITATION { "citationItems" : [ { "id" : "ITEM-1", "itemData" : { "DOI" : "10.1177/0146167208323981", "ISBN" : "0146-1672", "ISSN" : "0146-1672", "PMID" : "19050337", "abstract" : "Often people are faced with conflict between prosocial motivations for helping and selfish impulses that favor not helping. Three studies tested the hypothesis that self-regulation is useful for managing such motivational conflicts. In each study, depleted self-regulatory energy reduced willingness to help others. Participants who broke a habit, relative to participants who followed a habit, later reported reduced willingness to help in hypothetical scenarios (e.g., donating food or money; Studies 1 and 3). Controlling attention while watching a video, relative to watching it normally, reduced volunteering efforts to help a victim of a recent tragedy- but drinking a glucose drink undid this effect (Study 2). Depleted energy reduced helping toward strangers but it did not reduce helping toward family members (Study 3). Helping requires self-regulatory energy to manage conflict between selfish and prosocial motivations-a metabolically expensive process-and thus depleted energy reduces helping and increased energy (glucose) increases helping.", "author" : [ { "dropping-particle" : "", "family" : "Dewall", "given" : "C Nathan", "non-dropping-particle" : "", "parse-names" : false, "suffix" : "" }, { "dropping-particle" : "", "family" : "Baumeister", "given" : "Roy F", "non-dropping-particle" : "", "parse-names" : false, "suffix" : "" }, { "dropping-particle" : "", "family" : "Gailliot", "given" : "Matthew T", "non-dropping-particle" : "", "parse-names" : false, "suffix" : "" }, { "dropping-particle" : "", "family" : "Maner", "given" : "Jon K", "non-dropping-particle" : "", "parse-names" : false, "suffix" : "" } ], "container-title" : "Personality and social psychology bulletin", "id" : "ITEM-1", "issue" : "12", "issued" : { "date-parts" : [ [ "2008" ] ] }, "page" : "1653-1662", "title" : "Depletion makes the heart grow less helpful: helping as a function of self-regulatory energy and genetic relatedness.", "type" : "article-journal", "volume" : "34" }, "uris" : [ "http://www.mendeley.com/documents/?uuid=52d36d2b-0803-3daa-ae16-d117349d0040" ] }, { "id" : "ITEM-2", "itemData" : { "DOI" : "10.1037/0022-3514.74.5.1252", "ISBN" : "0022-3514 (Print)\\n0022-3514 (Linking)", "ISSN" : "0022-3514", "PMID" : "9599441", "abstract" : "Choice, active response, self-regulation, and other volition may all draw on a common inner resource. In Experiment 1, people who forced themselves to eat radishes instead of tempting chocolates subsequently quit faster on unsolvable puzzles than people who had not had to exert self-control over eating. In Experiment 2, making a meaningful personal choice to perform attitude-relevant behavior caused a similar decrement in persistence. In Experiment 3, suppressing emotion led to a subsequent drop in performance of solvable anagrams. In Experiment 4, an initial task requiring high self-regulation made people more passive (i.e., more prone to favor the passive-response option). These results suggest that the self's capacity for active volition is limited and that a range of seemingly different, unrelated acts share a common resource.", "author" : [ { "dropping-particle" : "", "family" : "Baumeister", "given" : "Roy F", "non-dropping-particle" : "", "parse-names" : false, "suffix" : "" }, { "dropping-particle" : "", "family" : "Bratslavsky", "given" : "Ellen", "non-dropping-particle" : "", "parse-names" : false, "suffix" : "" }, { "dropping-particle" : "", "family" : "Muraven", "given" : "Mark", "non-dropping-particle" : "", "parse-names" : false, "suffix" : "" }, { "dropping-particle" : "", "family" : "Tice", "given" : "Dianne M", "non-dropping-particle" : "", "parse-names" : false, "suffix" : "" } ], "container-title" : "Journal of personality and social psychology", "id" : "ITEM-2", "issue" : "5", "issued" : { "date-parts" : [ [ "1998" ] ] }, "page" : "1252-1265", "title" : "Ego depletion: is the active self a limited resource?", "type" : "article-journal", "volume" : "74" }, "uris" : [ "http://www.mendeley.com/documents/?uuid=ed613166-71ae-36a5-bae2-6f172226c53f" ] } ], "mendeley" : { "formattedCitation" : "(Baumeister et al., 1998; Dewall, Baumeister, Gailliot, &amp; Maner, 2008)", "plainTextFormattedCitation" : "(Baumeister et al., 1998; Dewall, Baumeister, Gailliot, &amp; Maner, 2008)", "previouslyFormattedCitation" : "(Roy F Baumeister et al., 1998; Dewall, Baumeister, Gailliot, &amp; Maner, 2008)" }, "properties" : { "noteIndex" : 0 }, "schema" : "https://github.com/citation-style-language/schema/raw/master/csl-citation.json" }</w:instrText>
      </w:r>
      <w:r w:rsidR="00B06E70">
        <w:rPr>
          <w:sz w:val="24"/>
          <w:szCs w:val="24"/>
        </w:rPr>
        <w:fldChar w:fldCharType="separate"/>
      </w:r>
      <w:r w:rsidR="00844B08" w:rsidRPr="00844B08">
        <w:rPr>
          <w:noProof/>
          <w:sz w:val="24"/>
          <w:szCs w:val="24"/>
        </w:rPr>
        <w:t>(Baumeister et al., 1998; Dewall, Baumeister, Gailliot, &amp; Maner, 2008)</w:t>
      </w:r>
      <w:r w:rsidR="00B06E70">
        <w:rPr>
          <w:sz w:val="24"/>
          <w:szCs w:val="24"/>
        </w:rPr>
        <w:fldChar w:fldCharType="end"/>
      </w:r>
      <w:r w:rsidR="008F31E3">
        <w:rPr>
          <w:sz w:val="24"/>
          <w:szCs w:val="24"/>
        </w:rPr>
        <w:t>. After</w:t>
      </w:r>
      <w:r w:rsidRPr="00D05EBD">
        <w:rPr>
          <w:sz w:val="24"/>
          <w:szCs w:val="24"/>
        </w:rPr>
        <w:t xml:space="preserve"> participants finished the letter search task they moved straight forward to the Stroop.  Finally participants answered the ‘Use of self-control during the working day’ scale along with other questions aimed at exploring replenishing activities that might also influence vulnerability to depletion (helping participants overcome the effects of depletion)</w:t>
      </w:r>
      <w:r w:rsidRPr="00973AEB">
        <w:rPr>
          <w:rStyle w:val="Refdenotaalpie"/>
        </w:rPr>
        <w:footnoteReference w:id="35"/>
      </w:r>
      <w:r w:rsidRPr="00D05EBD">
        <w:rPr>
          <w:sz w:val="24"/>
          <w:szCs w:val="24"/>
        </w:rPr>
        <w:t xml:space="preserve">. These questions included quality of </w:t>
      </w:r>
      <w:r w:rsidRPr="00D05EBD">
        <w:rPr>
          <w:sz w:val="24"/>
          <w:szCs w:val="24"/>
        </w:rPr>
        <w:lastRenderedPageBreak/>
        <w:t xml:space="preserve">sleep, glucose consumption, positive </w:t>
      </w:r>
      <w:proofErr w:type="spellStart"/>
      <w:r w:rsidRPr="00D05EBD">
        <w:rPr>
          <w:sz w:val="24"/>
          <w:szCs w:val="24"/>
        </w:rPr>
        <w:t>affect</w:t>
      </w:r>
      <w:proofErr w:type="spellEnd"/>
      <w:r w:rsidRPr="00D05EBD">
        <w:rPr>
          <w:sz w:val="24"/>
          <w:szCs w:val="24"/>
        </w:rPr>
        <w:t xml:space="preserve">, pleasurable activities and/or events (i.e. someone told me that they loved me today, today is my birthday or anniversary of a positive event), and motivation to perform well on the Stroop task (i.e. </w:t>
      </w:r>
      <w:r w:rsidRPr="005A3B59">
        <w:rPr>
          <w:i/>
          <w:sz w:val="24"/>
          <w:szCs w:val="24"/>
        </w:rPr>
        <w:t>I want to succeed in the following task, It is important to me to do well in this task</w:t>
      </w:r>
      <w:r w:rsidRPr="00D05EBD">
        <w:rPr>
          <w:sz w:val="24"/>
          <w:szCs w:val="24"/>
        </w:rPr>
        <w:t xml:space="preserve">), and religious beliefs. The results of Cole’s et al. study could not find an effect of the use of self-control during the working day and vulnerability to depletion, meaning that the scores participants got on the ‘Use of self-control during the working day’ scale were not related to the performance of participants on the Stroop task after being depleted of self-regulatory resources. The replenishing activities (quality of sleep, glucose consumption, positive </w:t>
      </w:r>
      <w:proofErr w:type="spellStart"/>
      <w:r w:rsidRPr="00D05EBD">
        <w:rPr>
          <w:sz w:val="24"/>
          <w:szCs w:val="24"/>
        </w:rPr>
        <w:t>affect</w:t>
      </w:r>
      <w:proofErr w:type="spellEnd"/>
      <w:r w:rsidRPr="00D05EBD">
        <w:rPr>
          <w:sz w:val="24"/>
          <w:szCs w:val="24"/>
        </w:rPr>
        <w:t xml:space="preserve">, pleasurable activities and/or positive events, and motivation) were not related to </w:t>
      </w:r>
      <w:r w:rsidR="005A3B59">
        <w:rPr>
          <w:sz w:val="24"/>
          <w:szCs w:val="24"/>
        </w:rPr>
        <w:t xml:space="preserve">the </w:t>
      </w:r>
      <w:r w:rsidRPr="00D05EBD">
        <w:rPr>
          <w:sz w:val="24"/>
          <w:szCs w:val="24"/>
        </w:rPr>
        <w:t>participants</w:t>
      </w:r>
      <w:r w:rsidR="005A3B59">
        <w:rPr>
          <w:sz w:val="24"/>
          <w:szCs w:val="24"/>
        </w:rPr>
        <w:t>’</w:t>
      </w:r>
      <w:r w:rsidRPr="00D05EBD">
        <w:rPr>
          <w:sz w:val="24"/>
          <w:szCs w:val="24"/>
        </w:rPr>
        <w:t xml:space="preserve"> performance on the Stroop either, which may indicate that they have not influenced vulnerability to depletion. The findings of Study 3 along with the findings of Cole’s et al. study (2016) could not validate the ‘Use of self-control during the wo</w:t>
      </w:r>
      <w:r w:rsidR="008F31E3">
        <w:rPr>
          <w:sz w:val="24"/>
          <w:szCs w:val="24"/>
        </w:rPr>
        <w:t>rking day’ scale as a measure of</w:t>
      </w:r>
      <w:r w:rsidRPr="00D05EBD">
        <w:rPr>
          <w:sz w:val="24"/>
          <w:szCs w:val="24"/>
        </w:rPr>
        <w:t xml:space="preserve"> vulnerability to depletion. </w:t>
      </w:r>
      <w:r w:rsidR="00143DCF">
        <w:rPr>
          <w:sz w:val="24"/>
          <w:szCs w:val="24"/>
        </w:rPr>
        <w:t xml:space="preserve">This may suggest that possible periods of recovery between the self-control exerted during the working day and the responses to the Stroop task were not responsible for not having found a self-control depletion effect of the use of self-control during the working day. </w:t>
      </w:r>
    </w:p>
    <w:p w:rsidR="00FB1389" w:rsidRPr="00D05EBD" w:rsidRDefault="00143DCF" w:rsidP="00AE640B">
      <w:pPr>
        <w:spacing w:line="480" w:lineRule="auto"/>
        <w:ind w:firstLine="720"/>
        <w:jc w:val="both"/>
        <w:rPr>
          <w:sz w:val="24"/>
          <w:szCs w:val="24"/>
        </w:rPr>
      </w:pPr>
      <w:r>
        <w:rPr>
          <w:sz w:val="24"/>
          <w:szCs w:val="24"/>
        </w:rPr>
        <w:t xml:space="preserve">Thus, the explanation may be related </w:t>
      </w:r>
      <w:r w:rsidR="00C61160">
        <w:rPr>
          <w:sz w:val="24"/>
          <w:szCs w:val="24"/>
        </w:rPr>
        <w:t>to the second point</w:t>
      </w:r>
      <w:r>
        <w:rPr>
          <w:sz w:val="24"/>
          <w:szCs w:val="24"/>
        </w:rPr>
        <w:t xml:space="preserve">: </w:t>
      </w:r>
      <w:r w:rsidR="00FB1389" w:rsidRPr="00D05EBD">
        <w:rPr>
          <w:sz w:val="24"/>
          <w:szCs w:val="24"/>
        </w:rPr>
        <w:t>participants were not depleted by the self-control they</w:t>
      </w:r>
      <w:r>
        <w:rPr>
          <w:sz w:val="24"/>
          <w:szCs w:val="24"/>
        </w:rPr>
        <w:t xml:space="preserve"> used during their working day. I</w:t>
      </w:r>
      <w:r w:rsidR="00FB1389" w:rsidRPr="00D05EBD">
        <w:rPr>
          <w:sz w:val="24"/>
          <w:szCs w:val="24"/>
        </w:rPr>
        <w:t xml:space="preserve">t could be that when people anticipate using self-control they conserve resources before reaching a depleted state </w:t>
      </w:r>
      <w:r w:rsidR="00B06E70">
        <w:rPr>
          <w:sz w:val="24"/>
          <w:szCs w:val="24"/>
        </w:rPr>
        <w:fldChar w:fldCharType="begin" w:fldLock="1"/>
      </w:r>
      <w:r w:rsidR="00E1108F">
        <w:rPr>
          <w:sz w:val="24"/>
          <w:szCs w:val="24"/>
        </w:rPr>
        <w:instrText>ADDIN CSL_CITATION { "citationItems" : [ { "id" : "ITEM-1", "itemData" : { "DOI" : "10.1037/0022-3514.91.3.524", "ISBN" : "1939-1315; 0022-3514", "ISSN" : "1939-1315", "PMID" : "16938035", "author" : [ { "dropping-particle" : "", "family" : "Muraven", "given" : "Mark", "non-dropping-particle" : "", "parse-names" : false, "suffix" : "" }, { "dropping-particle" : "", "family" : "Shmueli", "given" : "Dikla", "non-dropping-particle" : "", "parse-names" : false, "suffix" : "" }, { "dropping-particle" : "", "family" : "Burkley", "given" : "Edward", "non-dropping-particle" : "", "parse-names" : false, "suffix" : "" } ], "container-title" : "Journal of Personality and Social Psychology", "id" : "ITEM-1", "issue" : "3", "issued" : { "date-parts" : [ [ "2006" ] ] }, "page" : "524-537", "title" : "Conserving self-control strength.", "type" : "article-journal", "volume" : "91" }, "uris" : [ "http://www.mendeley.com/documents/?uuid=8d7ef968-0cab-452b-8f06-a05d024dab43" ] } ], "mendeley" : { "formattedCitation" : "(Muraven, Shmueli, &amp; Burkley, 2006)", "plainTextFormattedCitation" : "(Muraven, Shmueli, &amp; Burkley, 2006)", "previouslyFormattedCitation" : "(Muraven, Shmueli, &amp; Burkley, 2006)" }, "properties" : { "noteIndex" : 0 }, "schema" : "https://github.com/citation-style-language/schema/raw/master/csl-citation.json" }</w:instrText>
      </w:r>
      <w:r w:rsidR="00B06E70">
        <w:rPr>
          <w:sz w:val="24"/>
          <w:szCs w:val="24"/>
        </w:rPr>
        <w:fldChar w:fldCharType="separate"/>
      </w:r>
      <w:r w:rsidR="00E1108F" w:rsidRPr="00E1108F">
        <w:rPr>
          <w:noProof/>
          <w:sz w:val="24"/>
          <w:szCs w:val="24"/>
        </w:rPr>
        <w:t>(Muraven, Shmueli, &amp; Burkley, 2006)</w:t>
      </w:r>
      <w:r w:rsidR="00B06E70">
        <w:rPr>
          <w:sz w:val="24"/>
          <w:szCs w:val="24"/>
        </w:rPr>
        <w:fldChar w:fldCharType="end"/>
      </w:r>
      <w:r w:rsidR="00FB1389" w:rsidRPr="00D05EBD">
        <w:rPr>
          <w:sz w:val="24"/>
          <w:szCs w:val="24"/>
        </w:rPr>
        <w:t xml:space="preserve">. In Study 3, when people were invited to take part, they were told that after completing the questionnaire they would be directed to another webpage where they would complete a word task. Participants might have </w:t>
      </w:r>
      <w:r w:rsidR="00FB1389" w:rsidRPr="00D05EBD">
        <w:rPr>
          <w:sz w:val="24"/>
          <w:szCs w:val="24"/>
        </w:rPr>
        <w:lastRenderedPageBreak/>
        <w:t xml:space="preserve">conserved self-control resources during their working day anticipating they would be needing them during the questionnaire or word task. </w:t>
      </w:r>
      <w:r>
        <w:rPr>
          <w:sz w:val="24"/>
          <w:szCs w:val="24"/>
        </w:rPr>
        <w:t>Nevertheless, participants were not told they would have to exert any kind of self-control during the work task. In any case, o</w:t>
      </w:r>
      <w:r w:rsidR="00FB1389" w:rsidRPr="00D05EBD">
        <w:rPr>
          <w:sz w:val="24"/>
          <w:szCs w:val="24"/>
        </w:rPr>
        <w:t xml:space="preserve">ne way in which this could be controlled in future experiments would be to conceal from participants the fact that they would be asked to engage in another task. </w:t>
      </w:r>
    </w:p>
    <w:p w:rsidR="00A739C0" w:rsidRDefault="00143DCF" w:rsidP="00AE640B">
      <w:pPr>
        <w:spacing w:line="480" w:lineRule="auto"/>
        <w:ind w:firstLine="720"/>
        <w:jc w:val="both"/>
        <w:rPr>
          <w:sz w:val="24"/>
          <w:szCs w:val="24"/>
        </w:rPr>
      </w:pPr>
      <w:r>
        <w:rPr>
          <w:sz w:val="24"/>
          <w:szCs w:val="24"/>
        </w:rPr>
        <w:t xml:space="preserve">As it is unlikely that participants </w:t>
      </w:r>
      <w:r w:rsidR="00A739C0">
        <w:rPr>
          <w:sz w:val="24"/>
          <w:szCs w:val="24"/>
        </w:rPr>
        <w:t>saved</w:t>
      </w:r>
      <w:r w:rsidR="009D1A72">
        <w:rPr>
          <w:sz w:val="24"/>
          <w:szCs w:val="24"/>
        </w:rPr>
        <w:t xml:space="preserve"> self-control resources to perform well on the Stroop task an alternative explanation, s</w:t>
      </w:r>
      <w:r w:rsidR="00FB1389" w:rsidRPr="00D05EBD">
        <w:rPr>
          <w:sz w:val="24"/>
          <w:szCs w:val="24"/>
        </w:rPr>
        <w:t>till related to the second point</w:t>
      </w:r>
      <w:r w:rsidR="009D1A72">
        <w:rPr>
          <w:sz w:val="24"/>
          <w:szCs w:val="24"/>
        </w:rPr>
        <w:t xml:space="preserve">, would be </w:t>
      </w:r>
      <w:r w:rsidR="00FB1389" w:rsidRPr="00D05EBD">
        <w:rPr>
          <w:sz w:val="24"/>
          <w:szCs w:val="24"/>
        </w:rPr>
        <w:t>that participants who exerted self-control</w:t>
      </w:r>
      <w:r w:rsidR="009D1A72">
        <w:rPr>
          <w:sz w:val="24"/>
          <w:szCs w:val="24"/>
        </w:rPr>
        <w:t xml:space="preserve"> did not reached depletion because of being</w:t>
      </w:r>
      <w:r w:rsidR="00FB1389" w:rsidRPr="00D05EBD">
        <w:rPr>
          <w:sz w:val="24"/>
          <w:szCs w:val="24"/>
        </w:rPr>
        <w:t xml:space="preserve"> good at so doing and so were able to perform the Stroop task without having to draw on their self-control resources. De </w:t>
      </w:r>
      <w:proofErr w:type="spellStart"/>
      <w:r w:rsidR="00FB1389" w:rsidRPr="00D05EBD">
        <w:rPr>
          <w:sz w:val="24"/>
          <w:szCs w:val="24"/>
        </w:rPr>
        <w:t>Ridder</w:t>
      </w:r>
      <w:proofErr w:type="spellEnd"/>
      <w:r w:rsidR="00FB1389" w:rsidRPr="00D05EBD">
        <w:rPr>
          <w:sz w:val="24"/>
          <w:szCs w:val="24"/>
        </w:rPr>
        <w:t xml:space="preserve"> and colleagues (2012) found that people high in self-contro</w:t>
      </w:r>
      <w:r w:rsidR="00056B79">
        <w:rPr>
          <w:sz w:val="24"/>
          <w:szCs w:val="24"/>
        </w:rPr>
        <w:t xml:space="preserve">l are good at </w:t>
      </w:r>
      <w:proofErr w:type="spellStart"/>
      <w:r w:rsidR="00056B79">
        <w:rPr>
          <w:sz w:val="24"/>
          <w:szCs w:val="24"/>
        </w:rPr>
        <w:t>automatis</w:t>
      </w:r>
      <w:r w:rsidR="00FB1389" w:rsidRPr="00D05EBD">
        <w:rPr>
          <w:sz w:val="24"/>
          <w:szCs w:val="24"/>
        </w:rPr>
        <w:t>ing</w:t>
      </w:r>
      <w:proofErr w:type="spellEnd"/>
      <w:r w:rsidR="00FB1389" w:rsidRPr="00D05EBD">
        <w:rPr>
          <w:sz w:val="24"/>
          <w:szCs w:val="24"/>
        </w:rPr>
        <w:t xml:space="preserve"> their behaviour. In a meta-analysis they conducted on how self-control relates to behaviour they found that the biggest effect size corresponded to controlled versus automatic behaviours. They found that the effect size of trait self-control on controlled behaviours (both desired and undesired) was small, but that the effect of trait self-control on automatic behaviours was medium to large, suggesting that people high in se</w:t>
      </w:r>
      <w:r w:rsidR="00056B79">
        <w:rPr>
          <w:sz w:val="24"/>
          <w:szCs w:val="24"/>
        </w:rPr>
        <w:t xml:space="preserve">lf-control are good at </w:t>
      </w:r>
      <w:proofErr w:type="spellStart"/>
      <w:r w:rsidR="00056B79">
        <w:rPr>
          <w:sz w:val="24"/>
          <w:szCs w:val="24"/>
        </w:rPr>
        <w:t>automatis</w:t>
      </w:r>
      <w:r w:rsidR="00FB1389" w:rsidRPr="00D05EBD">
        <w:rPr>
          <w:sz w:val="24"/>
          <w:szCs w:val="24"/>
        </w:rPr>
        <w:t>ing</w:t>
      </w:r>
      <w:proofErr w:type="spellEnd"/>
      <w:r w:rsidR="00FB1389" w:rsidRPr="00D05EBD">
        <w:rPr>
          <w:sz w:val="24"/>
          <w:szCs w:val="24"/>
        </w:rPr>
        <w:t xml:space="preserve"> their behaviour (regardless of whether it is desired or undesired). It is possible, therefore, that people that reported having used more self-control during their working day might have also been good at self-control, which would make them good candidates to </w:t>
      </w:r>
      <w:proofErr w:type="spellStart"/>
      <w:r w:rsidR="00FB1389" w:rsidRPr="00D05EBD">
        <w:rPr>
          <w:sz w:val="24"/>
          <w:szCs w:val="24"/>
        </w:rPr>
        <w:t>automatise</w:t>
      </w:r>
      <w:proofErr w:type="spellEnd"/>
      <w:r w:rsidR="00FB1389" w:rsidRPr="00D05EBD">
        <w:rPr>
          <w:sz w:val="24"/>
          <w:szCs w:val="24"/>
        </w:rPr>
        <w:t xml:space="preserve"> their responses on the Stroop Task. Related to this idea, people may also habitually encounter the same tasks that require self-control in their jobs, this constant ‘training’ on self-control could help people to develop well-learn</w:t>
      </w:r>
      <w:r w:rsidR="008F31E3">
        <w:rPr>
          <w:sz w:val="24"/>
          <w:szCs w:val="24"/>
        </w:rPr>
        <w:t>ed</w:t>
      </w:r>
      <w:r w:rsidR="00FB1389" w:rsidRPr="00D05EBD">
        <w:rPr>
          <w:sz w:val="24"/>
          <w:szCs w:val="24"/>
        </w:rPr>
        <w:t xml:space="preserve"> skills in particular activities in their jobs requiring self-control. For example, hea</w:t>
      </w:r>
      <w:r w:rsidR="00CE4675">
        <w:rPr>
          <w:sz w:val="24"/>
          <w:szCs w:val="24"/>
        </w:rPr>
        <w:t>l</w:t>
      </w:r>
      <w:r w:rsidR="00FB1389" w:rsidRPr="00D05EBD">
        <w:rPr>
          <w:sz w:val="24"/>
          <w:szCs w:val="24"/>
        </w:rPr>
        <w:t xml:space="preserve">th care personal might constantly have to </w:t>
      </w:r>
      <w:r w:rsidR="00FB1389" w:rsidRPr="00D05EBD">
        <w:rPr>
          <w:sz w:val="24"/>
          <w:szCs w:val="24"/>
        </w:rPr>
        <w:lastRenderedPageBreak/>
        <w:t>control their emotions to talk about delicate topics with their patients and this constant use of self-control might work as a kind of training, making them less vulnerable to ego-depletion effects. Research suggests that training in self-control improves self-control capacity which reduces self-control depletion (</w:t>
      </w:r>
      <w:proofErr w:type="spellStart"/>
      <w:r w:rsidR="00FB1389" w:rsidRPr="00D05EBD">
        <w:rPr>
          <w:sz w:val="24"/>
          <w:szCs w:val="24"/>
        </w:rPr>
        <w:t>Hagger</w:t>
      </w:r>
      <w:proofErr w:type="spellEnd"/>
      <w:r w:rsidR="00FB1389" w:rsidRPr="00D05EBD">
        <w:rPr>
          <w:sz w:val="24"/>
          <w:szCs w:val="24"/>
        </w:rPr>
        <w:t>, et al.</w:t>
      </w:r>
      <w:r w:rsidR="00D56690">
        <w:rPr>
          <w:sz w:val="24"/>
          <w:szCs w:val="24"/>
        </w:rPr>
        <w:t>,</w:t>
      </w:r>
      <w:r w:rsidR="00FB1389" w:rsidRPr="00D05EBD">
        <w:rPr>
          <w:sz w:val="24"/>
          <w:szCs w:val="24"/>
        </w:rPr>
        <w:t xml:space="preserve"> 2010). In Study 3, </w:t>
      </w:r>
      <w:r w:rsidR="00136B7F">
        <w:rPr>
          <w:sz w:val="24"/>
          <w:szCs w:val="24"/>
        </w:rPr>
        <w:t xml:space="preserve">it is likely that </w:t>
      </w:r>
      <w:r w:rsidR="00FB1389" w:rsidRPr="00D05EBD">
        <w:rPr>
          <w:sz w:val="24"/>
          <w:szCs w:val="24"/>
        </w:rPr>
        <w:t xml:space="preserve">participants might have been good at self-control during their working day as the activities they face are likely to repeat constantly. Thus, they may still have exerted self-control during their day but this exertion might not have </w:t>
      </w:r>
      <w:r w:rsidR="00CE4675" w:rsidRPr="00D05EBD">
        <w:rPr>
          <w:sz w:val="24"/>
          <w:szCs w:val="24"/>
        </w:rPr>
        <w:t>led them</w:t>
      </w:r>
      <w:r w:rsidR="00FB1389" w:rsidRPr="00D05EBD">
        <w:rPr>
          <w:sz w:val="24"/>
          <w:szCs w:val="24"/>
        </w:rPr>
        <w:t xml:space="preserve"> to be depleted of self-control resources.</w:t>
      </w:r>
      <w:r w:rsidR="00A739C0">
        <w:rPr>
          <w:sz w:val="24"/>
          <w:szCs w:val="24"/>
        </w:rPr>
        <w:t xml:space="preserve"> The Self-control during the working day questionnaire should then include measures of self-control ability as well as it should include further questions that explore unexpected situations that people face during their working days and that require self-control. Unexpected situations </w:t>
      </w:r>
      <w:r w:rsidR="00F13ACB">
        <w:rPr>
          <w:sz w:val="24"/>
          <w:szCs w:val="24"/>
        </w:rPr>
        <w:t>would be expected to be situations for which people have had not been able to train for before (are not part of their daily work activities) and thus for which they may not be good at or may not have been in contact frequently enough to become good at self-control in those particular situations. These kind of situations may offer a more adequate context in which to explore self-control depletion during the working day.</w:t>
      </w:r>
    </w:p>
    <w:p w:rsidR="00FB1389" w:rsidRDefault="00FB1389" w:rsidP="00AE640B">
      <w:pPr>
        <w:spacing w:line="480" w:lineRule="auto"/>
        <w:ind w:firstLine="720"/>
        <w:jc w:val="both"/>
        <w:rPr>
          <w:sz w:val="24"/>
          <w:szCs w:val="24"/>
        </w:rPr>
      </w:pPr>
      <w:r w:rsidRPr="00D05EBD">
        <w:rPr>
          <w:sz w:val="24"/>
          <w:szCs w:val="24"/>
        </w:rPr>
        <w:t>In rel</w:t>
      </w:r>
      <w:r w:rsidR="00C61160">
        <w:rPr>
          <w:sz w:val="24"/>
          <w:szCs w:val="24"/>
        </w:rPr>
        <w:t>ation to the third point</w:t>
      </w:r>
      <w:r w:rsidRPr="00D05EBD">
        <w:rPr>
          <w:sz w:val="24"/>
          <w:szCs w:val="24"/>
        </w:rPr>
        <w:t xml:space="preserve"> (the Stroop task could not detect self-control depletion) it is possible that people depleted of self-regulatory resources can still exert self-control, especially if they are offer</w:t>
      </w:r>
      <w:r w:rsidR="00CE4675">
        <w:rPr>
          <w:sz w:val="24"/>
          <w:szCs w:val="24"/>
        </w:rPr>
        <w:t>ed some sort of incentive (e.g.</w:t>
      </w:r>
      <w:r w:rsidRPr="00D05EBD">
        <w:rPr>
          <w:sz w:val="24"/>
          <w:szCs w:val="24"/>
        </w:rPr>
        <w:t xml:space="preserve"> money), are particularly motivated to do well, believe that their willpower is unlimited, or are exposed to a novel task </w:t>
      </w:r>
      <w:r w:rsidR="00B06E70">
        <w:rPr>
          <w:sz w:val="24"/>
          <w:szCs w:val="24"/>
        </w:rPr>
        <w:fldChar w:fldCharType="begin" w:fldLock="1"/>
      </w:r>
      <w:r w:rsidR="00844B08">
        <w:rPr>
          <w:sz w:val="24"/>
          <w:szCs w:val="24"/>
        </w:rPr>
        <w:instrText>ADDIN CSL_CITATION { "citationItems" : [ { "id" : "ITEM-1", "itemData" : { "DOI" : "10.1111/j.1751-9004.2007.00001.x", "ISBN" : "1751-9004", "ISSN" : "1751-9004", "PMID" : "25149821", "abstract" : "Motivation is underappreciated in self-regulation theories (as is true in social personality psychology at large). This paper reviews the role of motivation in the context of the strength, or limited-resource, model of self-control in several domains. Sacrificing one desire in order to pursue another is more difficult when the incipient response is strongly motivated, a notion that highlights the struggle between urges and restraints. A reduction in ego resources can be temporarily overcome by strong motivation \u2013 nevertheless, ego depletion is not solely a loss of motivation: Recent experiments indicate that regulatory resources are rooted in physical energy stores. Motivational conflicts, especially the clash between selfish motives and behaviors that promote social acceptance, set the stage for the necessity of self-regulation and the circumstances in which ego depletion is most likely.", "author" : [ { "dropping-particle" : "", "family" : "Baumeister", "given" : "Roy F", "non-dropping-particle" : "", "parse-names" : false, "suffix" : "" }, { "dropping-particle" : "", "family" : "Vohs", "given" : "Kathleen D", "non-dropping-particle" : "", "parse-names" : false, "suffix" : "" } ], "container-title" : "Social and Personality Psychology Compass", "id" : "ITEM-1", "issue" : "1", "issued" : { "date-parts" : [ [ "2007" ] ] }, "page" : "115-128", "title" : "Self-Regulation, Ego Depletion, and Motivation", "type" : "article-journal", "volume" : "1" }, "uris" : [ "http://www.mendeley.com/documents/?uuid=3f2fdeac-8a8d-4c8a-969f-03500a08f8f7" ] }, { "id" : "ITEM-2", "itemData" : { "DOI" : "10.1177/0956797610384745", "ISBN" : "0956-7976", "ISSN" : "0956-7976", "PMID" : "20876879", "author" : [ { "dropping-particle" : "", "family" : "Job", "given" : "V.", "non-dropping-particle" : "", "parse-names" : false, "suffix" : "" }, { "dropping-particle" : "", "family" : "Dweck", "given" : "C. S.", "non-dropping-particle" : "", "parse-names" : false, "suffix" : "" }, { "dropping-particle" : "", "family" : "Walton", "given" : "G. M.", "non-dropping-particle" : "", "parse-names" : false, "suffix" : "" } ], "container-title" : "Psychological Science", "id" : "ITEM-2", "issue" : "11", "issued" : { "date-parts" : [ [ "2010" ] ] }, "page" : "1686-1693", "title" : "Ego Depletion--Is It All in Your Head?: Implicit Theories About Willpower Affect Self-Regulation", "type" : "article-journal", "volume" : "21" }, "uris" : [ "http://www.mendeley.com/documents/?uuid=3b2ff4f5-c186-4d3e-8d44-1edcef2ca7ad" ] }, { "id" : "ITEM-3", "itemData" : { "DOI" : "10.1177/0146167203253209", "ISBN" : "0146167201", "ISSN" : "01461672", "PMID" : "15257789", "abstract" : "At the global level of the Big Five, Extraversion and Neuroticism are the strongest predictors of life satisfaction. However, Extraversion and Neuroticism are multifaceted constructs that combine more specific traits. This article examined the contribution of facets of Extraversion and Neuroticism to life satisfaction in four studies. The depression facet of Neuroticism and the positive emotions/cheerfulness facet of Extraversion were the strongest and most consistent predictors of life satisfaction. These two facets often accounted for more variance in life satisfaction than Neuroticism and Extraversion. The findings suggest that measures of depression and positive emotions/cheerfulness are necessary and sufficient to predict life satisfaction from personality traits. The results also lead to a more refined understanding of the specific personality traits that influence life satisfaction: Depression is more important than anxiety or anger and a cheerful temperament is more important than being active or sociable.", "author" : [ { "dropping-particle" : "", "family" : "Muraven", "given" : "Mark", "non-dropping-particle" : "", "parse-names" : false, "suffix" : "" }, { "dropping-particle" : "", "family" : "Slessareva", "given" : "Elisaveta", "non-dropping-particle" : "", "parse-names" : false, "suffix" : "" } ], "container-title" : "Personality and Social Psychology Bulletin", "id" : "ITEM-3", "issue" : "7", "issued" : { "date-parts" : [ [ "2003" ] ] }, "page" : "894-906", "title" : "Mechanisms of Self-Control Failure: Motivation and Limited Resources", "type" : "article-journal", "volume" : "29" }, "uris" : [ "http://www.mendeley.com/documents/?uuid=b7f4e008-bbd8-45c4-b805-e2eddf2417b6" ] } ], "mendeley" : { "formattedCitation" : "(Baumeister &amp; Vohs, 2007; Job, Dweck, &amp; Walton, 2010; Muraven &amp; Slessareva, 2003)", "plainTextFormattedCitation" : "(Baumeister &amp; Vohs, 2007; Job, Dweck, &amp; Walton, 2010; Muraven &amp; Slessareva, 2003)", "previouslyFormattedCitation" : "(Roy F Baumeister &amp; Vohs, 2007; Job, Dweck, &amp; Walton, 2010; Muraven &amp; Slessareva, 2003)" }, "properties" : { "noteIndex" : 0 }, "schema" : "https://github.com/citation-style-language/schema/raw/master/csl-citation.json" }</w:instrText>
      </w:r>
      <w:r w:rsidR="00B06E70">
        <w:rPr>
          <w:sz w:val="24"/>
          <w:szCs w:val="24"/>
        </w:rPr>
        <w:fldChar w:fldCharType="separate"/>
      </w:r>
      <w:r w:rsidR="00844B08" w:rsidRPr="00844B08">
        <w:rPr>
          <w:noProof/>
          <w:sz w:val="24"/>
          <w:szCs w:val="24"/>
        </w:rPr>
        <w:t>(Baumeister &amp; Vohs, 2007; Job, Dweck, &amp; Walton, 2010; Muraven &amp; Slessareva, 2003)</w:t>
      </w:r>
      <w:r w:rsidR="00B06E70">
        <w:rPr>
          <w:sz w:val="24"/>
          <w:szCs w:val="24"/>
        </w:rPr>
        <w:fldChar w:fldCharType="end"/>
      </w:r>
      <w:r w:rsidRPr="00D05EBD">
        <w:rPr>
          <w:sz w:val="24"/>
          <w:szCs w:val="24"/>
        </w:rPr>
        <w:t xml:space="preserve">. In Study 3, participants might have experienced the Stroop Task as a novel situation or might have been motivated to perform well. As </w:t>
      </w:r>
      <w:proofErr w:type="spellStart"/>
      <w:r w:rsidRPr="00D05EBD">
        <w:rPr>
          <w:rFonts w:cs="Bembo"/>
          <w:sz w:val="24"/>
          <w:szCs w:val="24"/>
        </w:rPr>
        <w:lastRenderedPageBreak/>
        <w:t>Baumeister</w:t>
      </w:r>
      <w:proofErr w:type="spellEnd"/>
      <w:r w:rsidRPr="00D05EBD">
        <w:rPr>
          <w:rFonts w:cs="Bembo"/>
          <w:sz w:val="24"/>
          <w:szCs w:val="24"/>
        </w:rPr>
        <w:t xml:space="preserve"> and </w:t>
      </w:r>
      <w:proofErr w:type="spellStart"/>
      <w:r w:rsidRPr="00D05EBD">
        <w:rPr>
          <w:rFonts w:cs="Bembo"/>
          <w:sz w:val="24"/>
          <w:szCs w:val="24"/>
        </w:rPr>
        <w:t>Vohs</w:t>
      </w:r>
      <w:proofErr w:type="spellEnd"/>
      <w:r w:rsidRPr="00D05EBD">
        <w:rPr>
          <w:rFonts w:cs="Bembo"/>
          <w:sz w:val="24"/>
          <w:szCs w:val="24"/>
        </w:rPr>
        <w:t xml:space="preserve"> say (p. 115, 2007) “A reduction in ego resources can be temporarily overcome by strong motivation”. Study 3 did not ask participants how motivated they were to perform well in the Stroop task but the research conducted by Cole and colleagues (2016) did, finding no relationship between motivation to perform well on the Stroop and participants’ scores on the Stroop task. Also, neither Study 3 nor Cole’s et al. (2016) study offered participant’s any kind of incentive (e.g. money, food, a little price). </w:t>
      </w:r>
      <w:r w:rsidRPr="00D05EBD">
        <w:rPr>
          <w:sz w:val="24"/>
          <w:szCs w:val="24"/>
        </w:rPr>
        <w:t xml:space="preserve">There might have been other things that might have prevented participants from experiencing depletion that Study 3 did not control for and that have been associated to people overcoming self-depletion, like watching people’s favourite TV series, smoking or praying </w:t>
      </w:r>
      <w:r w:rsidR="00B06E70">
        <w:rPr>
          <w:sz w:val="24"/>
          <w:szCs w:val="24"/>
        </w:rPr>
        <w:fldChar w:fldCharType="begin" w:fldLock="1"/>
      </w:r>
      <w:r w:rsidR="00010706">
        <w:rPr>
          <w:sz w:val="24"/>
          <w:szCs w:val="24"/>
        </w:rPr>
        <w:instrText>ADDIN CSL_CITATION { "citationItems" : [ { "id" : "ITEM-1", "itemData" : { "DOI" : "10.1016/j.tics.2013.12.009", "ISBN" : "1879-307X (Electronic) 1364-6613 (Linking)", "ISSN" : "13646613", "PMID" : "24439530", "abstract" : "Self-control refers to the mental processes that allow people to override thoughts and emotions, thus enabling behavior to vary adaptively from moment to moment. Dominating contemporary research on this topic is the viewpoint that self-control relies upon a limited resource, such that engaging in acts of restraint depletes this inner capacity and undermines subsequent attempts at control (i.e., ego depletion). Noting theoretical and empirical problems with this view, here we advance a competing model that develops a non-resource-based account of self-control. We suggest that apparent regulatory failures reflect the motivated switching of task priorities as people strive to strike an optimal balance between engaging cognitive labor to pursue 'have-to' goals versus preferring cognitive leisure in the pursuit of 'want-to' goals. ?? 2013 Elsevier Ltd.", "author" : [ { "dropping-particle" : "", "family" : "Inzlicht", "given" : "Michael", "non-dropping-particle" : "", "parse-names" : false, "suffix" : "" }, { "dropping-particle" : "", "family" : "Schmeichel", "given" : "Brandon J.", "non-dropping-particle" : "", "parse-names" : false, "suffix" : "" }, { "dropping-particle" : "", "family" : "Macrae", "given" : "C. Neil", "non-dropping-particle" : "", "parse-names" : false, "suffix" : "" } ], "container-title" : "Trends in Cognitive Sciences", "id" : "ITEM-1", "issue" : "3", "issued" : { "date-parts" : [ [ "2014" ] ] }, "page" : "127-133", "title" : "Why self-control seems (but may not be) limited", "type" : "article", "volume" : "18" }, "uris" : [ "http://www.mendeley.com/documents/?uuid=ffcfa5bc-9198-3ca1-8ef2-d34c4e5be68e" ] } ], "mendeley" : { "formattedCitation" : "(Inzlicht, Schmeichel, &amp; Macrae, 2014)", "plainTextFormattedCitation" : "(Inzlicht, Schmeichel, &amp; Macrae, 2014)", "previouslyFormattedCitation" : "(Inzlicht, Schmeichel, &amp; Macrae, 2014)" }, "properties" : { "noteIndex" : 0 }, "schema" : "https://github.com/citation-style-language/schema/raw/master/csl-citation.json" }</w:instrText>
      </w:r>
      <w:r w:rsidR="00B06E70">
        <w:rPr>
          <w:sz w:val="24"/>
          <w:szCs w:val="24"/>
        </w:rPr>
        <w:fldChar w:fldCharType="separate"/>
      </w:r>
      <w:r w:rsidR="00E1108F" w:rsidRPr="00E1108F">
        <w:rPr>
          <w:noProof/>
          <w:sz w:val="24"/>
          <w:szCs w:val="24"/>
        </w:rPr>
        <w:t>(Inzl</w:t>
      </w:r>
      <w:r w:rsidR="00522BC7">
        <w:rPr>
          <w:noProof/>
          <w:sz w:val="24"/>
          <w:szCs w:val="24"/>
        </w:rPr>
        <w:t>icht, Schmeichel, &amp; Macrae, 2013</w:t>
      </w:r>
      <w:r w:rsidR="00E1108F" w:rsidRPr="00E1108F">
        <w:rPr>
          <w:noProof/>
          <w:sz w:val="24"/>
          <w:szCs w:val="24"/>
        </w:rPr>
        <w:t>)</w:t>
      </w:r>
      <w:r w:rsidR="00B06E70">
        <w:rPr>
          <w:sz w:val="24"/>
          <w:szCs w:val="24"/>
        </w:rPr>
        <w:fldChar w:fldCharType="end"/>
      </w:r>
      <w:r w:rsidRPr="00D05EBD">
        <w:rPr>
          <w:sz w:val="24"/>
          <w:szCs w:val="24"/>
        </w:rPr>
        <w:t xml:space="preserve">. Nevertheless, Cole’s et al. (2016) study controlled for pleasurable activities or events and for religious faith, finding no effect between these and participants performance on the Stroop task. Thus, it is unlikely that replenishing activities such as pleasurable activities, motivation to perform well and religious beliefs have helped participants overcome any depletion effects from having used self-control during their working days. </w:t>
      </w:r>
    </w:p>
    <w:p w:rsidR="00C61160" w:rsidRDefault="00C61160" w:rsidP="00AE640B">
      <w:pPr>
        <w:spacing w:line="480" w:lineRule="auto"/>
        <w:ind w:firstLine="720"/>
        <w:jc w:val="both"/>
        <w:rPr>
          <w:sz w:val="24"/>
          <w:szCs w:val="24"/>
        </w:rPr>
      </w:pPr>
      <w:r>
        <w:rPr>
          <w:sz w:val="24"/>
          <w:szCs w:val="24"/>
        </w:rPr>
        <w:t xml:space="preserve">The last point suggests that the reason why it was not possible to see an effect of the exertion of self-control depletion caused by exerting self-control during the working day and the participants performance on the Stroop task, </w:t>
      </w:r>
      <w:r w:rsidR="00E615FD">
        <w:rPr>
          <w:sz w:val="24"/>
          <w:szCs w:val="24"/>
        </w:rPr>
        <w:t>is because</w:t>
      </w:r>
      <w:r>
        <w:rPr>
          <w:sz w:val="24"/>
          <w:szCs w:val="24"/>
        </w:rPr>
        <w:t xml:space="preserve"> self-control depletion may not</w:t>
      </w:r>
      <w:r w:rsidR="00812732">
        <w:rPr>
          <w:sz w:val="24"/>
          <w:szCs w:val="24"/>
        </w:rPr>
        <w:t xml:space="preserve"> simply</w:t>
      </w:r>
      <w:r>
        <w:rPr>
          <w:sz w:val="24"/>
          <w:szCs w:val="24"/>
        </w:rPr>
        <w:t xml:space="preserve"> be a lack of self-control resources due to a previous exertion of self-cont</w:t>
      </w:r>
      <w:r w:rsidR="00812732">
        <w:rPr>
          <w:sz w:val="24"/>
          <w:szCs w:val="24"/>
        </w:rPr>
        <w:t xml:space="preserve">rol, </w:t>
      </w:r>
      <w:r>
        <w:rPr>
          <w:sz w:val="24"/>
          <w:szCs w:val="24"/>
        </w:rPr>
        <w:t xml:space="preserve">but </w:t>
      </w:r>
      <w:r w:rsidR="00E615FD">
        <w:rPr>
          <w:sz w:val="24"/>
          <w:szCs w:val="24"/>
        </w:rPr>
        <w:t xml:space="preserve">rather </w:t>
      </w:r>
      <w:r>
        <w:rPr>
          <w:sz w:val="24"/>
          <w:szCs w:val="24"/>
        </w:rPr>
        <w:t xml:space="preserve">a change in balance between “have to” and “want to” goals. </w:t>
      </w:r>
      <w:r w:rsidR="00E77EA2">
        <w:rPr>
          <w:sz w:val="24"/>
          <w:szCs w:val="24"/>
        </w:rPr>
        <w:t xml:space="preserve">This idea was proposed by </w:t>
      </w:r>
      <w:proofErr w:type="spellStart"/>
      <w:r w:rsidR="00E77EA2" w:rsidRPr="00E615FD">
        <w:rPr>
          <w:sz w:val="24"/>
          <w:szCs w:val="24"/>
        </w:rPr>
        <w:t>Inzlicht</w:t>
      </w:r>
      <w:proofErr w:type="spellEnd"/>
      <w:r w:rsidR="00E77EA2" w:rsidRPr="00E615FD">
        <w:rPr>
          <w:sz w:val="24"/>
          <w:szCs w:val="24"/>
        </w:rPr>
        <w:t xml:space="preserve">, </w:t>
      </w:r>
      <w:r w:rsidR="00522BC7" w:rsidRPr="00E615FD">
        <w:rPr>
          <w:sz w:val="24"/>
          <w:szCs w:val="24"/>
        </w:rPr>
        <w:t>et al.</w:t>
      </w:r>
      <w:r w:rsidR="00E77EA2" w:rsidRPr="00E615FD">
        <w:rPr>
          <w:sz w:val="24"/>
          <w:szCs w:val="24"/>
        </w:rPr>
        <w:t xml:space="preserve"> (2013)</w:t>
      </w:r>
      <w:r w:rsidR="00E77EA2">
        <w:rPr>
          <w:sz w:val="24"/>
          <w:szCs w:val="24"/>
        </w:rPr>
        <w:t>. Given the big debate in social psychology s</w:t>
      </w:r>
      <w:r w:rsidR="00B61E3F">
        <w:rPr>
          <w:sz w:val="24"/>
          <w:szCs w:val="24"/>
        </w:rPr>
        <w:t>urrounding ego-de</w:t>
      </w:r>
      <w:r w:rsidR="00E615FD">
        <w:rPr>
          <w:sz w:val="24"/>
          <w:szCs w:val="24"/>
        </w:rPr>
        <w:t>pletion (e.g. Is self-control really limited, D</w:t>
      </w:r>
      <w:r w:rsidR="00E77EA2">
        <w:rPr>
          <w:sz w:val="24"/>
          <w:szCs w:val="24"/>
        </w:rPr>
        <w:t xml:space="preserve">oes the effect of ego-depletion really exists?), </w:t>
      </w:r>
      <w:proofErr w:type="spellStart"/>
      <w:r w:rsidR="00E77EA2">
        <w:rPr>
          <w:sz w:val="24"/>
          <w:szCs w:val="24"/>
        </w:rPr>
        <w:t>Inzlicht</w:t>
      </w:r>
      <w:proofErr w:type="spellEnd"/>
      <w:r w:rsidR="00E77EA2">
        <w:rPr>
          <w:sz w:val="24"/>
          <w:szCs w:val="24"/>
        </w:rPr>
        <w:t xml:space="preserve"> and colleagues reformulated </w:t>
      </w:r>
      <w:r w:rsidR="005F2A65">
        <w:rPr>
          <w:sz w:val="24"/>
          <w:szCs w:val="24"/>
        </w:rPr>
        <w:t>the concept of self-</w:t>
      </w:r>
      <w:r w:rsidR="005F2A65">
        <w:rPr>
          <w:sz w:val="24"/>
          <w:szCs w:val="24"/>
        </w:rPr>
        <w:lastRenderedPageBreak/>
        <w:t xml:space="preserve">control from </w:t>
      </w:r>
      <w:r w:rsidR="001623AB">
        <w:rPr>
          <w:sz w:val="24"/>
          <w:szCs w:val="24"/>
        </w:rPr>
        <w:t xml:space="preserve">a resource dependant </w:t>
      </w:r>
      <w:r w:rsidR="005F2A65">
        <w:rPr>
          <w:sz w:val="24"/>
          <w:szCs w:val="24"/>
        </w:rPr>
        <w:t xml:space="preserve">to a </w:t>
      </w:r>
      <w:r w:rsidR="00E77EA2">
        <w:rPr>
          <w:sz w:val="24"/>
          <w:szCs w:val="24"/>
        </w:rPr>
        <w:t xml:space="preserve">non-resource </w:t>
      </w:r>
      <w:r w:rsidR="005F2A65">
        <w:rPr>
          <w:sz w:val="24"/>
          <w:szCs w:val="24"/>
        </w:rPr>
        <w:t xml:space="preserve">dependant mental process and explained how this reformulation can </w:t>
      </w:r>
      <w:r w:rsidR="002B1614">
        <w:rPr>
          <w:sz w:val="24"/>
          <w:szCs w:val="24"/>
        </w:rPr>
        <w:t>account</w:t>
      </w:r>
      <w:r w:rsidR="00E77EA2">
        <w:rPr>
          <w:sz w:val="24"/>
          <w:szCs w:val="24"/>
        </w:rPr>
        <w:t xml:space="preserve"> </w:t>
      </w:r>
      <w:r w:rsidR="005F2A65">
        <w:rPr>
          <w:sz w:val="24"/>
          <w:szCs w:val="24"/>
        </w:rPr>
        <w:t>for</w:t>
      </w:r>
      <w:r w:rsidR="00E77EA2">
        <w:rPr>
          <w:sz w:val="24"/>
          <w:szCs w:val="24"/>
        </w:rPr>
        <w:t xml:space="preserve"> the apparent limits of self-control.</w:t>
      </w:r>
      <w:r w:rsidR="001623AB">
        <w:rPr>
          <w:sz w:val="24"/>
          <w:szCs w:val="24"/>
        </w:rPr>
        <w:t xml:space="preserve"> </w:t>
      </w:r>
      <w:r w:rsidR="00E77EA2">
        <w:rPr>
          <w:sz w:val="24"/>
          <w:szCs w:val="24"/>
        </w:rPr>
        <w:t xml:space="preserve"> </w:t>
      </w:r>
      <w:r w:rsidR="00E64FD1">
        <w:rPr>
          <w:sz w:val="24"/>
          <w:szCs w:val="24"/>
        </w:rPr>
        <w:t xml:space="preserve">According to </w:t>
      </w:r>
      <w:proofErr w:type="spellStart"/>
      <w:r w:rsidR="00E64FD1">
        <w:rPr>
          <w:sz w:val="24"/>
          <w:szCs w:val="24"/>
        </w:rPr>
        <w:t>Inzlicht</w:t>
      </w:r>
      <w:proofErr w:type="spellEnd"/>
      <w:r w:rsidR="00E64FD1">
        <w:rPr>
          <w:sz w:val="24"/>
          <w:szCs w:val="24"/>
        </w:rPr>
        <w:t xml:space="preserve"> and colleagues, the effect ego-depletion is not caused by </w:t>
      </w:r>
      <w:r w:rsidR="003656B6">
        <w:rPr>
          <w:sz w:val="24"/>
          <w:szCs w:val="24"/>
        </w:rPr>
        <w:t xml:space="preserve">exhausting self-regulatory resources but by </w:t>
      </w:r>
      <w:r w:rsidR="004C7037">
        <w:rPr>
          <w:sz w:val="24"/>
          <w:szCs w:val="24"/>
        </w:rPr>
        <w:t xml:space="preserve">a motivated </w:t>
      </w:r>
      <w:r w:rsidR="003656B6">
        <w:rPr>
          <w:sz w:val="24"/>
          <w:szCs w:val="24"/>
        </w:rPr>
        <w:t>switching between goals people have to do</w:t>
      </w:r>
      <w:r w:rsidR="00E615FD">
        <w:rPr>
          <w:sz w:val="24"/>
          <w:szCs w:val="24"/>
        </w:rPr>
        <w:t xml:space="preserve"> (m</w:t>
      </w:r>
      <w:r w:rsidR="00487EA3">
        <w:rPr>
          <w:sz w:val="24"/>
          <w:szCs w:val="24"/>
        </w:rPr>
        <w:t xml:space="preserve">eaning, they feel obliged to do out of a sense of duty, </w:t>
      </w:r>
      <w:r w:rsidR="003656B6">
        <w:rPr>
          <w:sz w:val="24"/>
          <w:szCs w:val="24"/>
        </w:rPr>
        <w:t>for example, finish</w:t>
      </w:r>
      <w:r w:rsidR="00E615FD">
        <w:rPr>
          <w:sz w:val="24"/>
          <w:szCs w:val="24"/>
        </w:rPr>
        <w:t>ing</w:t>
      </w:r>
      <w:r w:rsidR="00487EA3">
        <w:rPr>
          <w:sz w:val="24"/>
          <w:szCs w:val="24"/>
        </w:rPr>
        <w:t xml:space="preserve"> writing a research paper)</w:t>
      </w:r>
      <w:r w:rsidR="003656B6">
        <w:rPr>
          <w:sz w:val="24"/>
          <w:szCs w:val="24"/>
        </w:rPr>
        <w:t xml:space="preserve"> and goals people want to do</w:t>
      </w:r>
      <w:r w:rsidR="00487EA3">
        <w:rPr>
          <w:sz w:val="24"/>
          <w:szCs w:val="24"/>
        </w:rPr>
        <w:t xml:space="preserve"> (things people search for in order to obtain some sort of gratification</w:t>
      </w:r>
      <w:r w:rsidR="003656B6">
        <w:rPr>
          <w:sz w:val="24"/>
          <w:szCs w:val="24"/>
        </w:rPr>
        <w:t>, for example, going to the pub</w:t>
      </w:r>
      <w:r w:rsidR="00487EA3">
        <w:rPr>
          <w:sz w:val="24"/>
          <w:szCs w:val="24"/>
        </w:rPr>
        <w:t>)</w:t>
      </w:r>
      <w:r w:rsidR="003656B6">
        <w:rPr>
          <w:sz w:val="24"/>
          <w:szCs w:val="24"/>
        </w:rPr>
        <w:t>. They explain that it is likely that the effects of ego-depletion found in resear</w:t>
      </w:r>
      <w:r w:rsidR="00B61E3F">
        <w:rPr>
          <w:sz w:val="24"/>
          <w:szCs w:val="24"/>
        </w:rPr>
        <w:t>ch are due to people changing from the ‘have to’ to</w:t>
      </w:r>
      <w:r w:rsidR="003656B6">
        <w:rPr>
          <w:sz w:val="24"/>
          <w:szCs w:val="24"/>
        </w:rPr>
        <w:t xml:space="preserve"> ‘the want’ to goal. Thus, when a person cannot control himself/herself on a task (</w:t>
      </w:r>
      <w:r w:rsidR="00B61E3F">
        <w:rPr>
          <w:sz w:val="24"/>
          <w:szCs w:val="24"/>
        </w:rPr>
        <w:t xml:space="preserve">e.g. </w:t>
      </w:r>
      <w:r w:rsidR="003656B6">
        <w:rPr>
          <w:sz w:val="24"/>
          <w:szCs w:val="24"/>
        </w:rPr>
        <w:t>inhibiting reading the words of the Stroop ta</w:t>
      </w:r>
      <w:r w:rsidR="00B61E3F">
        <w:rPr>
          <w:sz w:val="24"/>
          <w:szCs w:val="24"/>
        </w:rPr>
        <w:t>sk</w:t>
      </w:r>
      <w:r w:rsidR="003656B6">
        <w:rPr>
          <w:sz w:val="24"/>
          <w:szCs w:val="24"/>
        </w:rPr>
        <w:t>) it is not because they cannot actually control themselves but because they have decided they do not want to, meaning that they have switched from “I have to name the colours</w:t>
      </w:r>
      <w:r w:rsidR="00487EA3">
        <w:rPr>
          <w:sz w:val="24"/>
          <w:szCs w:val="24"/>
        </w:rPr>
        <w:t xml:space="preserve"> because the experimenter is asking me to do it</w:t>
      </w:r>
      <w:r w:rsidR="003656B6">
        <w:rPr>
          <w:sz w:val="24"/>
          <w:szCs w:val="24"/>
        </w:rPr>
        <w:t>” to “I do</w:t>
      </w:r>
      <w:r w:rsidR="00487EA3">
        <w:rPr>
          <w:sz w:val="24"/>
          <w:szCs w:val="24"/>
        </w:rPr>
        <w:t xml:space="preserve"> not</w:t>
      </w:r>
      <w:r w:rsidR="003656B6">
        <w:rPr>
          <w:sz w:val="24"/>
          <w:szCs w:val="24"/>
        </w:rPr>
        <w:t xml:space="preserve"> want to name the colours</w:t>
      </w:r>
      <w:r w:rsidR="00487EA3">
        <w:rPr>
          <w:sz w:val="24"/>
          <w:szCs w:val="24"/>
        </w:rPr>
        <w:t xml:space="preserve"> because this is more gratifying for me right now</w:t>
      </w:r>
      <w:r w:rsidR="003656B6">
        <w:rPr>
          <w:sz w:val="24"/>
          <w:szCs w:val="24"/>
        </w:rPr>
        <w:t xml:space="preserve">”. </w:t>
      </w:r>
      <w:r w:rsidR="00B61E3F">
        <w:rPr>
          <w:sz w:val="24"/>
          <w:szCs w:val="24"/>
        </w:rPr>
        <w:t>In the typical research about ego depletion, where there is a first self-control task aimed at depleting self-regulatory resources, immediately followed by a second self-regulatory task where this lack of self</w:t>
      </w:r>
      <w:r w:rsidR="00487EA3">
        <w:rPr>
          <w:sz w:val="24"/>
          <w:szCs w:val="24"/>
        </w:rPr>
        <w:t>-control resources should show,</w:t>
      </w:r>
      <w:r w:rsidR="00B61E3F">
        <w:rPr>
          <w:sz w:val="24"/>
          <w:szCs w:val="24"/>
        </w:rPr>
        <w:t xml:space="preserve"> according to </w:t>
      </w:r>
      <w:proofErr w:type="spellStart"/>
      <w:r w:rsidR="004C7037">
        <w:rPr>
          <w:sz w:val="24"/>
          <w:szCs w:val="24"/>
        </w:rPr>
        <w:t>Inzlicht</w:t>
      </w:r>
      <w:proofErr w:type="spellEnd"/>
      <w:r w:rsidR="004C7037">
        <w:rPr>
          <w:sz w:val="24"/>
          <w:szCs w:val="24"/>
        </w:rPr>
        <w:t xml:space="preserve"> and colleagues model</w:t>
      </w:r>
      <w:r w:rsidR="00487EA3">
        <w:rPr>
          <w:sz w:val="24"/>
          <w:szCs w:val="24"/>
        </w:rPr>
        <w:t>, the effect of ego-depletion would be due to people having less motivation to engage in have to tasks and more motivation to engage in want to tasks. Thus,</w:t>
      </w:r>
      <w:r w:rsidR="004C7037">
        <w:rPr>
          <w:sz w:val="24"/>
          <w:szCs w:val="24"/>
        </w:rPr>
        <w:t xml:space="preserve"> it </w:t>
      </w:r>
      <w:r w:rsidR="00B61E3F">
        <w:rPr>
          <w:sz w:val="24"/>
          <w:szCs w:val="24"/>
        </w:rPr>
        <w:t>would be</w:t>
      </w:r>
      <w:r w:rsidR="004C7037">
        <w:rPr>
          <w:sz w:val="24"/>
          <w:szCs w:val="24"/>
        </w:rPr>
        <w:t xml:space="preserve"> important to explore how motivated people are</w:t>
      </w:r>
      <w:r w:rsidR="0052041A">
        <w:rPr>
          <w:sz w:val="24"/>
          <w:szCs w:val="24"/>
        </w:rPr>
        <w:t xml:space="preserve"> at engaging in both, the</w:t>
      </w:r>
      <w:r w:rsidR="004C7037">
        <w:rPr>
          <w:sz w:val="24"/>
          <w:szCs w:val="24"/>
        </w:rPr>
        <w:t xml:space="preserve"> first self-control task and the subsequent self-control task. If any effects of depletion were to be observed on the latter task, this </w:t>
      </w:r>
      <w:r w:rsidR="0052041A">
        <w:rPr>
          <w:sz w:val="24"/>
          <w:szCs w:val="24"/>
        </w:rPr>
        <w:t>could then</w:t>
      </w:r>
      <w:r w:rsidR="004C7037">
        <w:rPr>
          <w:sz w:val="24"/>
          <w:szCs w:val="24"/>
        </w:rPr>
        <w:t xml:space="preserve"> mean that people were not motivated to engage in the second task (</w:t>
      </w:r>
      <w:r w:rsidR="00487EA3">
        <w:rPr>
          <w:sz w:val="24"/>
          <w:szCs w:val="24"/>
        </w:rPr>
        <w:t>probably because in the first self-control task they acted in accordance to “have to” goals and in the second task the switched to “want to” goals</w:t>
      </w:r>
      <w:r w:rsidR="004C7037">
        <w:rPr>
          <w:sz w:val="24"/>
          <w:szCs w:val="24"/>
        </w:rPr>
        <w:t xml:space="preserve">). </w:t>
      </w:r>
      <w:r w:rsidR="0052041A">
        <w:rPr>
          <w:sz w:val="24"/>
          <w:szCs w:val="24"/>
        </w:rPr>
        <w:t>Finding such a switch in motivation</w:t>
      </w:r>
      <w:r w:rsidR="004C7037">
        <w:rPr>
          <w:sz w:val="24"/>
          <w:szCs w:val="24"/>
        </w:rPr>
        <w:t xml:space="preserve"> </w:t>
      </w:r>
      <w:r w:rsidR="004C7037">
        <w:rPr>
          <w:sz w:val="24"/>
          <w:szCs w:val="24"/>
        </w:rPr>
        <w:lastRenderedPageBreak/>
        <w:t>could also explain research that has not found</w:t>
      </w:r>
      <w:r w:rsidR="0052041A">
        <w:rPr>
          <w:sz w:val="24"/>
          <w:szCs w:val="24"/>
        </w:rPr>
        <w:t xml:space="preserve"> an ego-depletion effect, in the</w:t>
      </w:r>
      <w:r w:rsidR="004C7037">
        <w:rPr>
          <w:sz w:val="24"/>
          <w:szCs w:val="24"/>
        </w:rPr>
        <w:t>s</w:t>
      </w:r>
      <w:r w:rsidR="0052041A">
        <w:rPr>
          <w:sz w:val="24"/>
          <w:szCs w:val="24"/>
        </w:rPr>
        <w:t>e</w:t>
      </w:r>
      <w:r w:rsidR="004C7037">
        <w:rPr>
          <w:sz w:val="24"/>
          <w:szCs w:val="24"/>
        </w:rPr>
        <w:t xml:space="preserve"> cases one plausible explanation according to </w:t>
      </w:r>
      <w:proofErr w:type="spellStart"/>
      <w:r w:rsidR="004C7037">
        <w:rPr>
          <w:sz w:val="24"/>
          <w:szCs w:val="24"/>
        </w:rPr>
        <w:t>Inzlicht</w:t>
      </w:r>
      <w:proofErr w:type="spellEnd"/>
      <w:r w:rsidR="00487EA3">
        <w:rPr>
          <w:sz w:val="24"/>
          <w:szCs w:val="24"/>
        </w:rPr>
        <w:t xml:space="preserve"> and colleagues </w:t>
      </w:r>
      <w:r w:rsidR="004C7037">
        <w:rPr>
          <w:sz w:val="24"/>
          <w:szCs w:val="24"/>
        </w:rPr>
        <w:t xml:space="preserve"> model would be that the nature of the goal to perfo</w:t>
      </w:r>
      <w:r w:rsidR="00487EA3">
        <w:rPr>
          <w:sz w:val="24"/>
          <w:szCs w:val="24"/>
        </w:rPr>
        <w:t>rm the first self-control task</w:t>
      </w:r>
      <w:r w:rsidR="004C7037">
        <w:rPr>
          <w:sz w:val="24"/>
          <w:szCs w:val="24"/>
        </w:rPr>
        <w:t xml:space="preserve"> was</w:t>
      </w:r>
      <w:r w:rsidR="00487EA3">
        <w:rPr>
          <w:sz w:val="24"/>
          <w:szCs w:val="24"/>
        </w:rPr>
        <w:t xml:space="preserve"> probably experienced</w:t>
      </w:r>
      <w:r w:rsidR="004C7037">
        <w:rPr>
          <w:sz w:val="24"/>
          <w:szCs w:val="24"/>
        </w:rPr>
        <w:t xml:space="preserve"> </w:t>
      </w:r>
      <w:r w:rsidR="00487EA3">
        <w:rPr>
          <w:sz w:val="24"/>
          <w:szCs w:val="24"/>
        </w:rPr>
        <w:t xml:space="preserve">as </w:t>
      </w:r>
      <w:r w:rsidR="004C7037">
        <w:rPr>
          <w:sz w:val="24"/>
          <w:szCs w:val="24"/>
        </w:rPr>
        <w:t xml:space="preserve">a “want to” goal, </w:t>
      </w:r>
      <w:r w:rsidR="00A9592D">
        <w:rPr>
          <w:sz w:val="24"/>
          <w:szCs w:val="24"/>
        </w:rPr>
        <w:t>instead</w:t>
      </w:r>
      <w:r w:rsidR="004C7037">
        <w:rPr>
          <w:sz w:val="24"/>
          <w:szCs w:val="24"/>
        </w:rPr>
        <w:t xml:space="preserve"> of a</w:t>
      </w:r>
      <w:r w:rsidR="00487EA3">
        <w:rPr>
          <w:sz w:val="24"/>
          <w:szCs w:val="24"/>
        </w:rPr>
        <w:t>s a</w:t>
      </w:r>
      <w:r w:rsidR="004C7037">
        <w:rPr>
          <w:sz w:val="24"/>
          <w:szCs w:val="24"/>
        </w:rPr>
        <w:t xml:space="preserve"> “have to”</w:t>
      </w:r>
      <w:r w:rsidR="00487EA3">
        <w:rPr>
          <w:sz w:val="24"/>
          <w:szCs w:val="24"/>
        </w:rPr>
        <w:t xml:space="preserve"> by the participants</w:t>
      </w:r>
      <w:r w:rsidR="004C7037">
        <w:rPr>
          <w:sz w:val="24"/>
          <w:szCs w:val="24"/>
        </w:rPr>
        <w:t xml:space="preserve">. </w:t>
      </w:r>
    </w:p>
    <w:p w:rsidR="00B93386" w:rsidRDefault="004C7037" w:rsidP="00B93386">
      <w:pPr>
        <w:spacing w:line="480" w:lineRule="auto"/>
        <w:ind w:firstLine="720"/>
        <w:jc w:val="both"/>
        <w:rPr>
          <w:sz w:val="24"/>
          <w:szCs w:val="24"/>
        </w:rPr>
      </w:pPr>
      <w:r>
        <w:rPr>
          <w:sz w:val="24"/>
          <w:szCs w:val="24"/>
        </w:rPr>
        <w:t>In the present study,</w:t>
      </w:r>
      <w:r w:rsidR="00A9592D">
        <w:rPr>
          <w:sz w:val="24"/>
          <w:szCs w:val="24"/>
        </w:rPr>
        <w:t xml:space="preserve"> motivation to perform well on the Stroop </w:t>
      </w:r>
      <w:r w:rsidR="00B93386">
        <w:rPr>
          <w:sz w:val="24"/>
          <w:szCs w:val="24"/>
        </w:rPr>
        <w:t>task</w:t>
      </w:r>
      <w:r w:rsidR="00B15DB3">
        <w:rPr>
          <w:sz w:val="24"/>
          <w:szCs w:val="24"/>
        </w:rPr>
        <w:t xml:space="preserve"> was not measured, but Cole et al.</w:t>
      </w:r>
      <w:r w:rsidR="00A9592D">
        <w:rPr>
          <w:sz w:val="24"/>
          <w:szCs w:val="24"/>
        </w:rPr>
        <w:t xml:space="preserve"> </w:t>
      </w:r>
      <w:r w:rsidR="00503A8A">
        <w:rPr>
          <w:sz w:val="24"/>
          <w:szCs w:val="24"/>
        </w:rPr>
        <w:t xml:space="preserve">(2016) </w:t>
      </w:r>
      <w:r w:rsidR="00A9592D">
        <w:rPr>
          <w:sz w:val="24"/>
          <w:szCs w:val="24"/>
        </w:rPr>
        <w:t xml:space="preserve">study did measure </w:t>
      </w:r>
      <w:r w:rsidR="00B93386">
        <w:rPr>
          <w:sz w:val="24"/>
          <w:szCs w:val="24"/>
        </w:rPr>
        <w:t xml:space="preserve">it and still did not find an effect of use of self-control during the working day and self-control depletion. </w:t>
      </w:r>
      <w:r w:rsidR="00B15DB3">
        <w:rPr>
          <w:sz w:val="24"/>
          <w:szCs w:val="24"/>
        </w:rPr>
        <w:t>Nevertheless</w:t>
      </w:r>
      <w:r w:rsidR="00B93386">
        <w:rPr>
          <w:sz w:val="24"/>
          <w:szCs w:val="24"/>
        </w:rPr>
        <w:t xml:space="preserve">, neither study (Study 3 nor Cole’s) explored </w:t>
      </w:r>
      <w:r w:rsidR="00503A8A">
        <w:rPr>
          <w:sz w:val="24"/>
          <w:szCs w:val="24"/>
        </w:rPr>
        <w:t>“</w:t>
      </w:r>
      <w:r w:rsidR="00B93386">
        <w:rPr>
          <w:sz w:val="24"/>
          <w:szCs w:val="24"/>
        </w:rPr>
        <w:t>wanting to</w:t>
      </w:r>
      <w:r w:rsidR="00503A8A">
        <w:rPr>
          <w:sz w:val="24"/>
          <w:szCs w:val="24"/>
        </w:rPr>
        <w:t>”</w:t>
      </w:r>
      <w:r w:rsidR="00B93386">
        <w:rPr>
          <w:sz w:val="24"/>
          <w:szCs w:val="24"/>
        </w:rPr>
        <w:t xml:space="preserve"> versus </w:t>
      </w:r>
      <w:r w:rsidR="00503A8A">
        <w:rPr>
          <w:sz w:val="24"/>
          <w:szCs w:val="24"/>
        </w:rPr>
        <w:t>“</w:t>
      </w:r>
      <w:r w:rsidR="00B93386">
        <w:rPr>
          <w:sz w:val="24"/>
          <w:szCs w:val="24"/>
        </w:rPr>
        <w:t>having to</w:t>
      </w:r>
      <w:r w:rsidR="00503A8A">
        <w:rPr>
          <w:sz w:val="24"/>
          <w:szCs w:val="24"/>
        </w:rPr>
        <w:t>”</w:t>
      </w:r>
      <w:r w:rsidR="00B93386">
        <w:rPr>
          <w:sz w:val="24"/>
          <w:szCs w:val="24"/>
        </w:rPr>
        <w:t xml:space="preserve"> goals of participants </w:t>
      </w:r>
      <w:r w:rsidR="00B15DB3">
        <w:rPr>
          <w:sz w:val="24"/>
          <w:szCs w:val="24"/>
        </w:rPr>
        <w:t>during their working day</w:t>
      </w:r>
      <w:r w:rsidR="00B93386">
        <w:rPr>
          <w:sz w:val="24"/>
          <w:szCs w:val="24"/>
        </w:rPr>
        <w:t>. I</w:t>
      </w:r>
      <w:r w:rsidR="00B15DB3">
        <w:rPr>
          <w:sz w:val="24"/>
          <w:szCs w:val="24"/>
        </w:rPr>
        <w:t>f participants, for example, liked their jobs or</w:t>
      </w:r>
      <w:r w:rsidR="00B93386">
        <w:rPr>
          <w:sz w:val="24"/>
          <w:szCs w:val="24"/>
        </w:rPr>
        <w:t xml:space="preserve"> had lots of incentives to do their jobs (for example, monetary incentives, a good work environment), it is likely that this was what may have prevented observing a </w:t>
      </w:r>
      <w:r w:rsidR="00503A8A">
        <w:rPr>
          <w:sz w:val="24"/>
          <w:szCs w:val="24"/>
        </w:rPr>
        <w:t>depletion effect on the Stroop, as participants would not have needed to switch to a “want to” goal during the Stroop as they were carrying out their work activities under the perspective of “want to” goal as well.</w:t>
      </w:r>
    </w:p>
    <w:p w:rsidR="00812732" w:rsidRDefault="00B93386" w:rsidP="00AE640B">
      <w:pPr>
        <w:spacing w:line="480" w:lineRule="auto"/>
        <w:ind w:firstLine="720"/>
        <w:jc w:val="both"/>
        <w:rPr>
          <w:sz w:val="24"/>
          <w:szCs w:val="24"/>
        </w:rPr>
      </w:pPr>
      <w:r>
        <w:rPr>
          <w:sz w:val="24"/>
          <w:szCs w:val="24"/>
        </w:rPr>
        <w:t>It is also</w:t>
      </w:r>
      <w:r w:rsidR="00812732">
        <w:rPr>
          <w:sz w:val="24"/>
          <w:szCs w:val="24"/>
        </w:rPr>
        <w:t xml:space="preserve"> worth mentioning that the limited strength model has been controversial, as the effect that researchers claim to exist, might (or is likely to)</w:t>
      </w:r>
      <w:r w:rsidR="00B15DB3">
        <w:rPr>
          <w:sz w:val="24"/>
          <w:szCs w:val="24"/>
        </w:rPr>
        <w:t xml:space="preserve"> be</w:t>
      </w:r>
      <w:r w:rsidR="00812732">
        <w:rPr>
          <w:sz w:val="24"/>
          <w:szCs w:val="24"/>
        </w:rPr>
        <w:t xml:space="preserve"> inflated, overestimated because it includes studies with small effects. For example, </w:t>
      </w:r>
      <w:r w:rsidR="00812732" w:rsidRPr="00503A8A">
        <w:rPr>
          <w:sz w:val="24"/>
          <w:szCs w:val="24"/>
        </w:rPr>
        <w:t>Carter and McCullough (2014)</w:t>
      </w:r>
      <w:r w:rsidR="00812732">
        <w:rPr>
          <w:sz w:val="24"/>
          <w:szCs w:val="24"/>
        </w:rPr>
        <w:t xml:space="preserve"> applied methods for correcting for small study effects (such as publication bias) finding very strong signals of publication bias and that the depletion effect was actually no different from zero.  </w:t>
      </w:r>
    </w:p>
    <w:p w:rsidR="00AB6B5F" w:rsidRPr="00D05EBD" w:rsidRDefault="00B93386" w:rsidP="003F1A74">
      <w:pPr>
        <w:spacing w:line="480" w:lineRule="auto"/>
        <w:ind w:firstLine="720"/>
        <w:jc w:val="both"/>
        <w:rPr>
          <w:sz w:val="24"/>
          <w:szCs w:val="24"/>
        </w:rPr>
      </w:pPr>
      <w:r>
        <w:rPr>
          <w:sz w:val="24"/>
          <w:szCs w:val="24"/>
        </w:rPr>
        <w:t xml:space="preserve">Following </w:t>
      </w:r>
      <w:r w:rsidR="00A8119B">
        <w:rPr>
          <w:sz w:val="24"/>
          <w:szCs w:val="24"/>
        </w:rPr>
        <w:t xml:space="preserve">the previous four explanations of why the new measure of self-control during the working day questionnaire could not predict an effect of self-control depletion (as observed on the scores of participants on the Stroop task) and </w:t>
      </w:r>
      <w:r>
        <w:rPr>
          <w:sz w:val="24"/>
          <w:szCs w:val="24"/>
        </w:rPr>
        <w:t xml:space="preserve">the </w:t>
      </w:r>
      <w:r>
        <w:rPr>
          <w:sz w:val="24"/>
          <w:szCs w:val="24"/>
        </w:rPr>
        <w:lastRenderedPageBreak/>
        <w:t xml:space="preserve">controversy surrounding </w:t>
      </w:r>
      <w:r w:rsidR="00A8119B">
        <w:rPr>
          <w:sz w:val="24"/>
          <w:szCs w:val="24"/>
        </w:rPr>
        <w:t xml:space="preserve">research on </w:t>
      </w:r>
      <w:r>
        <w:rPr>
          <w:sz w:val="24"/>
          <w:szCs w:val="24"/>
        </w:rPr>
        <w:t>ego-depletion</w:t>
      </w:r>
      <w:r w:rsidR="00A8119B">
        <w:rPr>
          <w:sz w:val="24"/>
          <w:szCs w:val="24"/>
        </w:rPr>
        <w:t xml:space="preserve">, </w:t>
      </w:r>
      <w:r>
        <w:rPr>
          <w:sz w:val="24"/>
          <w:szCs w:val="24"/>
        </w:rPr>
        <w:t xml:space="preserve">in the present Study it is </w:t>
      </w:r>
      <w:r w:rsidR="006B026F">
        <w:rPr>
          <w:sz w:val="24"/>
          <w:szCs w:val="24"/>
        </w:rPr>
        <w:t xml:space="preserve">suggested that </w:t>
      </w:r>
      <w:r w:rsidR="00A8119B">
        <w:rPr>
          <w:sz w:val="24"/>
          <w:szCs w:val="24"/>
        </w:rPr>
        <w:t>an ego depletion effect was not observed because</w:t>
      </w:r>
      <w:r w:rsidR="00495856">
        <w:rPr>
          <w:sz w:val="24"/>
          <w:szCs w:val="24"/>
        </w:rPr>
        <w:t>:</w:t>
      </w:r>
      <w:r w:rsidR="00A8119B">
        <w:rPr>
          <w:sz w:val="24"/>
          <w:szCs w:val="24"/>
        </w:rPr>
        <w:t xml:space="preserve"> </w:t>
      </w:r>
      <w:proofErr w:type="spellStart"/>
      <w:r w:rsidR="00495856">
        <w:rPr>
          <w:sz w:val="24"/>
          <w:szCs w:val="24"/>
        </w:rPr>
        <w:t>i</w:t>
      </w:r>
      <w:proofErr w:type="spellEnd"/>
      <w:r w:rsidR="00495856">
        <w:rPr>
          <w:sz w:val="24"/>
          <w:szCs w:val="24"/>
        </w:rPr>
        <w:t xml:space="preserve">) </w:t>
      </w:r>
      <w:r w:rsidR="00A8119B">
        <w:rPr>
          <w:sz w:val="24"/>
          <w:szCs w:val="24"/>
        </w:rPr>
        <w:t>participants may</w:t>
      </w:r>
      <w:r w:rsidR="00495856">
        <w:rPr>
          <w:sz w:val="24"/>
          <w:szCs w:val="24"/>
        </w:rPr>
        <w:t xml:space="preserve"> have</w:t>
      </w:r>
      <w:r w:rsidR="00A8119B">
        <w:rPr>
          <w:sz w:val="24"/>
          <w:szCs w:val="24"/>
        </w:rPr>
        <w:t xml:space="preserve"> not be</w:t>
      </w:r>
      <w:r w:rsidR="00495856">
        <w:rPr>
          <w:sz w:val="24"/>
          <w:szCs w:val="24"/>
        </w:rPr>
        <w:t>en</w:t>
      </w:r>
      <w:r w:rsidR="00A8119B">
        <w:rPr>
          <w:sz w:val="24"/>
          <w:szCs w:val="24"/>
        </w:rPr>
        <w:t xml:space="preserve"> depleted of self-control as a consequence of their exertion of self-control during the working day </w:t>
      </w:r>
      <w:r w:rsidR="00495856">
        <w:rPr>
          <w:sz w:val="24"/>
          <w:szCs w:val="24"/>
        </w:rPr>
        <w:t xml:space="preserve">and/or ii) because there was not a motivational switch between “want to” or “have to” goals at time one (during the working day) and “want to” or “have to” goals at time two (during the Stroop task). In the former case, participants may have not reached depletion because the </w:t>
      </w:r>
      <w:r w:rsidR="00F611D6">
        <w:rPr>
          <w:sz w:val="24"/>
          <w:szCs w:val="24"/>
        </w:rPr>
        <w:t>t</w:t>
      </w:r>
      <w:r w:rsidR="00495856">
        <w:rPr>
          <w:sz w:val="24"/>
          <w:szCs w:val="24"/>
        </w:rPr>
        <w:t xml:space="preserve">asks they perform on their daily jobs are performed everyday and they do not ‘exhaust’ them anymore, also </w:t>
      </w:r>
      <w:r w:rsidR="00F611D6">
        <w:rPr>
          <w:sz w:val="24"/>
          <w:szCs w:val="24"/>
        </w:rPr>
        <w:t>it might be possible that they are good as self-control as a consequence of habitually using self-control in their jobs. In the latter case,</w:t>
      </w:r>
      <w:r w:rsidR="00495856">
        <w:rPr>
          <w:sz w:val="24"/>
          <w:szCs w:val="24"/>
        </w:rPr>
        <w:t xml:space="preserve"> </w:t>
      </w:r>
      <w:r w:rsidR="00F611D6">
        <w:rPr>
          <w:sz w:val="24"/>
          <w:szCs w:val="24"/>
        </w:rPr>
        <w:t xml:space="preserve">it may be possible that </w:t>
      </w:r>
      <w:r w:rsidR="006B026F">
        <w:rPr>
          <w:sz w:val="24"/>
          <w:szCs w:val="24"/>
        </w:rPr>
        <w:t xml:space="preserve">participants </w:t>
      </w:r>
      <w:r w:rsidR="00F611D6">
        <w:rPr>
          <w:sz w:val="24"/>
          <w:szCs w:val="24"/>
        </w:rPr>
        <w:t>have been</w:t>
      </w:r>
      <w:r w:rsidR="006B026F">
        <w:rPr>
          <w:sz w:val="24"/>
          <w:szCs w:val="24"/>
        </w:rPr>
        <w:t xml:space="preserve"> motivated to do their </w:t>
      </w:r>
      <w:r w:rsidR="00790180">
        <w:rPr>
          <w:sz w:val="24"/>
          <w:szCs w:val="24"/>
        </w:rPr>
        <w:t>correspondent</w:t>
      </w:r>
      <w:r w:rsidR="006B026F">
        <w:rPr>
          <w:sz w:val="24"/>
          <w:szCs w:val="24"/>
        </w:rPr>
        <w:t xml:space="preserve"> daily working task</w:t>
      </w:r>
      <w:r w:rsidR="00790180">
        <w:rPr>
          <w:sz w:val="24"/>
          <w:szCs w:val="24"/>
        </w:rPr>
        <w:t>s and were also mo</w:t>
      </w:r>
      <w:r w:rsidR="00F611D6">
        <w:rPr>
          <w:sz w:val="24"/>
          <w:szCs w:val="24"/>
        </w:rPr>
        <w:t>tivated to perform good on the S</w:t>
      </w:r>
      <w:r w:rsidR="00790180">
        <w:rPr>
          <w:sz w:val="24"/>
          <w:szCs w:val="24"/>
        </w:rPr>
        <w:t xml:space="preserve">troop task or </w:t>
      </w:r>
      <w:r w:rsidR="00F611D6">
        <w:rPr>
          <w:sz w:val="24"/>
          <w:szCs w:val="24"/>
        </w:rPr>
        <w:t>were not motivated to do their jobs neither to perform well on the Stroop task, but in any case there was no motivational switch between what he participants felt they had to do and what they wanted to do.</w:t>
      </w:r>
      <w:r w:rsidR="00790180">
        <w:rPr>
          <w:sz w:val="24"/>
          <w:szCs w:val="24"/>
        </w:rPr>
        <w:t xml:space="preserve"> </w:t>
      </w:r>
      <w:r>
        <w:rPr>
          <w:sz w:val="24"/>
          <w:szCs w:val="24"/>
        </w:rPr>
        <w:t>Future resea</w:t>
      </w:r>
      <w:r w:rsidR="00B15DB3">
        <w:rPr>
          <w:sz w:val="24"/>
          <w:szCs w:val="24"/>
        </w:rPr>
        <w:t>r</w:t>
      </w:r>
      <w:r>
        <w:rPr>
          <w:sz w:val="24"/>
          <w:szCs w:val="24"/>
        </w:rPr>
        <w:t xml:space="preserve">ch should </w:t>
      </w:r>
      <w:r w:rsidR="00F611D6">
        <w:rPr>
          <w:sz w:val="24"/>
          <w:szCs w:val="24"/>
        </w:rPr>
        <w:t xml:space="preserve">explore whether unexpected situations at work that require self-control are more likely to deplete people of their self-control resources. Research should also explore the motivations of </w:t>
      </w:r>
      <w:r w:rsidR="00EF52D0">
        <w:rPr>
          <w:sz w:val="24"/>
          <w:szCs w:val="24"/>
        </w:rPr>
        <w:t xml:space="preserve">people while at work and see whether they are extrinsically or intrinsically driven, and whether people that report extrinsically driven motivations on their working day would  show a depletion effect on the Stroop task (or on any other self-control task). Finding that unexpected tasks at work deplete people of their self-control resources would support the idea of self-control as a resource based phenomenon whether reports of extrinsically driven motivations during the working day would support the idea of self-control as a non-resource based phenomenon. </w:t>
      </w:r>
      <w:r w:rsidR="00FF2CA9">
        <w:rPr>
          <w:sz w:val="24"/>
          <w:szCs w:val="24"/>
        </w:rPr>
        <w:t xml:space="preserve"> </w:t>
      </w:r>
      <w:r w:rsidR="003F1A74">
        <w:rPr>
          <w:sz w:val="24"/>
          <w:szCs w:val="24"/>
        </w:rPr>
        <w:t xml:space="preserve">In any case, self-control depletion may </w:t>
      </w:r>
      <w:r w:rsidR="003F1A74">
        <w:rPr>
          <w:sz w:val="24"/>
          <w:szCs w:val="24"/>
        </w:rPr>
        <w:lastRenderedPageBreak/>
        <w:t>not be neither purely resourced based nor purely motivationally based and exploring both aspects would help researchers better understand this phenomenon.</w:t>
      </w:r>
    </w:p>
    <w:p w:rsidR="00FB1389" w:rsidRPr="00D05EBD" w:rsidRDefault="00FB1389" w:rsidP="00AE640B">
      <w:pPr>
        <w:spacing w:line="480" w:lineRule="auto"/>
        <w:ind w:firstLine="720"/>
        <w:jc w:val="both"/>
        <w:rPr>
          <w:sz w:val="24"/>
          <w:szCs w:val="24"/>
        </w:rPr>
      </w:pPr>
      <w:r w:rsidRPr="00D05EBD">
        <w:rPr>
          <w:sz w:val="24"/>
          <w:szCs w:val="24"/>
        </w:rPr>
        <w:t xml:space="preserve">To sum up, the ‘Use of self-control during the working day’ scale presented in Study 3 is probably reflecting the participant’s use of self-control during their working day as it correlates with other factors that have been associated to self-control, namely, to emotional exhaustion, fatigue and negative </w:t>
      </w:r>
      <w:proofErr w:type="spellStart"/>
      <w:r w:rsidRPr="00D05EBD">
        <w:rPr>
          <w:sz w:val="24"/>
          <w:szCs w:val="24"/>
        </w:rPr>
        <w:t>affect</w:t>
      </w:r>
      <w:proofErr w:type="spellEnd"/>
      <w:r w:rsidRPr="00D05EBD">
        <w:rPr>
          <w:sz w:val="24"/>
          <w:szCs w:val="24"/>
        </w:rPr>
        <w:t xml:space="preserve">. Nevertheless, the present new scale might </w:t>
      </w:r>
      <w:r w:rsidR="00EF52D0">
        <w:rPr>
          <w:sz w:val="24"/>
          <w:szCs w:val="24"/>
        </w:rPr>
        <w:t>not predict</w:t>
      </w:r>
      <w:r w:rsidRPr="00D05EBD">
        <w:rPr>
          <w:sz w:val="24"/>
          <w:szCs w:val="24"/>
        </w:rPr>
        <w:t xml:space="preserve"> self-control depletion nor vulnerability to self-control, as it was not possible to find a relationship between the participants’ scores on the Stroop task and the scores on the use of self-control scale which confirmed that high use of self-control during the day affected the participants use of self-control during the Stroop. This was not possible to confirm even when a self-control task was administered immediately before the Stroop task. This discussion suggests that participants might have not been depleted by their use of self-control during the working day because of being good at self-control, </w:t>
      </w:r>
      <w:r w:rsidR="00D36B3A">
        <w:rPr>
          <w:sz w:val="24"/>
          <w:szCs w:val="24"/>
        </w:rPr>
        <w:t>(</w:t>
      </w:r>
      <w:r w:rsidRPr="00D05EBD">
        <w:rPr>
          <w:sz w:val="24"/>
          <w:szCs w:val="24"/>
        </w:rPr>
        <w:t>either because the quotidian engagement in self-control tasks they encounter on daily basis may make them better at self-control</w:t>
      </w:r>
      <w:r w:rsidR="00D36B3A">
        <w:rPr>
          <w:sz w:val="24"/>
          <w:szCs w:val="24"/>
        </w:rPr>
        <w:t xml:space="preserve"> </w:t>
      </w:r>
      <w:r w:rsidRPr="00D05EBD">
        <w:rPr>
          <w:sz w:val="24"/>
          <w:szCs w:val="24"/>
        </w:rPr>
        <w:t>or simply because it may be a p</w:t>
      </w:r>
      <w:r w:rsidR="00D36B3A">
        <w:rPr>
          <w:sz w:val="24"/>
          <w:szCs w:val="24"/>
        </w:rPr>
        <w:t>ersonal characteristic of them) or because the</w:t>
      </w:r>
      <w:r w:rsidR="003F1A74">
        <w:rPr>
          <w:sz w:val="24"/>
          <w:szCs w:val="24"/>
        </w:rPr>
        <w:t>re</w:t>
      </w:r>
      <w:r w:rsidR="00D36B3A">
        <w:rPr>
          <w:sz w:val="24"/>
          <w:szCs w:val="24"/>
        </w:rPr>
        <w:t xml:space="preserve"> might have </w:t>
      </w:r>
      <w:r w:rsidR="003F1A74">
        <w:rPr>
          <w:sz w:val="24"/>
          <w:szCs w:val="24"/>
        </w:rPr>
        <w:t xml:space="preserve">not </w:t>
      </w:r>
      <w:r w:rsidR="00D36B3A">
        <w:rPr>
          <w:sz w:val="24"/>
          <w:szCs w:val="24"/>
        </w:rPr>
        <w:t xml:space="preserve">been </w:t>
      </w:r>
      <w:r w:rsidR="003F1A74">
        <w:rPr>
          <w:sz w:val="24"/>
          <w:szCs w:val="24"/>
        </w:rPr>
        <w:t>a motivational switch between the participants work tasks and the Stroop task.</w:t>
      </w:r>
    </w:p>
    <w:p w:rsidR="00FB1389" w:rsidRPr="00D05EBD" w:rsidRDefault="00FB1389" w:rsidP="00AE640B">
      <w:pPr>
        <w:spacing w:line="480" w:lineRule="auto"/>
        <w:ind w:firstLine="720"/>
        <w:jc w:val="both"/>
        <w:rPr>
          <w:rFonts w:cs="Times New Roman"/>
          <w:b/>
          <w:sz w:val="24"/>
          <w:szCs w:val="24"/>
        </w:rPr>
      </w:pPr>
      <w:r w:rsidRPr="00D05EBD">
        <w:rPr>
          <w:b/>
          <w:sz w:val="24"/>
          <w:szCs w:val="24"/>
        </w:rPr>
        <w:t>4.2.5 Concluding comment</w:t>
      </w:r>
    </w:p>
    <w:p w:rsidR="00FB1389" w:rsidRPr="00D05EBD" w:rsidRDefault="00FB1389" w:rsidP="00AE640B">
      <w:pPr>
        <w:spacing w:line="480" w:lineRule="auto"/>
        <w:ind w:firstLine="720"/>
        <w:jc w:val="both"/>
        <w:rPr>
          <w:sz w:val="24"/>
          <w:szCs w:val="24"/>
        </w:rPr>
      </w:pPr>
      <w:r w:rsidRPr="00D05EBD">
        <w:rPr>
          <w:sz w:val="24"/>
          <w:szCs w:val="24"/>
        </w:rPr>
        <w:t xml:space="preserve">The present chapter started exploring the second question of this thesis: what are the factors that facilitate or promote the use of AIER. As the literature suggests that self-control depletion makes people more vulnerable to act on automatic basis, it was hypothesised that people depleted of their self-control resources would be more likely to engage in AIER. Thus, the main purpose of the present study was to use the ‘Use of </w:t>
      </w:r>
      <w:r w:rsidRPr="00D05EBD">
        <w:rPr>
          <w:sz w:val="24"/>
          <w:szCs w:val="24"/>
        </w:rPr>
        <w:lastRenderedPageBreak/>
        <w:t xml:space="preserve">self-control during the working day’ scale to identify people that are likely ego-depleted and to then examine the relationship between self-depleted people and their use of AIER (expecting that depleted people would be more likely to engage in AIER) in a subsequent study. </w:t>
      </w:r>
      <w:r w:rsidR="00CE4675" w:rsidRPr="00D05EBD">
        <w:rPr>
          <w:sz w:val="24"/>
          <w:szCs w:val="24"/>
        </w:rPr>
        <w:t>However,</w:t>
      </w:r>
      <w:r w:rsidRPr="00D05EBD">
        <w:rPr>
          <w:sz w:val="24"/>
          <w:szCs w:val="24"/>
        </w:rPr>
        <w:t xml:space="preserve"> the new developed scale in the present chapter did not manage to reflect self-control depletion. Thus, the next study will look at other factor that has also been associated to promote the use of automatic behaviours, namely, cognitive load. Through manipulating the cognitive capacity of participants, the next study tests whether being under high cognitive load makes participants more vulnerable to use AIER strategies in comparison to being under no cognitive load. This would be done in real interactions between pairs of people and in a more natural environment (in the context of a dating event). </w:t>
      </w:r>
    </w:p>
    <w:p w:rsidR="00812464" w:rsidRDefault="00812464" w:rsidP="00AE640B">
      <w:pPr>
        <w:spacing w:line="480" w:lineRule="auto"/>
        <w:ind w:firstLine="720"/>
        <w:jc w:val="both"/>
        <w:rPr>
          <w:b/>
          <w:sz w:val="24"/>
          <w:szCs w:val="24"/>
        </w:rPr>
      </w:pPr>
    </w:p>
    <w:p w:rsidR="00812464" w:rsidRDefault="00812464" w:rsidP="00812464">
      <w:pPr>
        <w:spacing w:line="480" w:lineRule="auto"/>
        <w:ind w:firstLine="720"/>
        <w:jc w:val="center"/>
        <w:rPr>
          <w:b/>
          <w:sz w:val="72"/>
          <w:szCs w:val="72"/>
        </w:rPr>
      </w:pPr>
    </w:p>
    <w:p w:rsidR="00997860" w:rsidRDefault="00997860" w:rsidP="00812464">
      <w:pPr>
        <w:spacing w:line="480" w:lineRule="auto"/>
        <w:ind w:firstLine="720"/>
        <w:jc w:val="center"/>
        <w:rPr>
          <w:b/>
          <w:sz w:val="72"/>
          <w:szCs w:val="72"/>
        </w:rPr>
      </w:pPr>
    </w:p>
    <w:p w:rsidR="00997860" w:rsidRDefault="00997860" w:rsidP="00812464">
      <w:pPr>
        <w:spacing w:line="480" w:lineRule="auto"/>
        <w:ind w:firstLine="720"/>
        <w:jc w:val="center"/>
        <w:rPr>
          <w:b/>
          <w:sz w:val="72"/>
          <w:szCs w:val="72"/>
        </w:rPr>
      </w:pPr>
    </w:p>
    <w:p w:rsidR="00997860" w:rsidRDefault="00997860" w:rsidP="00812464">
      <w:pPr>
        <w:spacing w:line="480" w:lineRule="auto"/>
        <w:ind w:firstLine="720"/>
        <w:jc w:val="center"/>
        <w:rPr>
          <w:b/>
          <w:sz w:val="72"/>
          <w:szCs w:val="72"/>
        </w:rPr>
      </w:pPr>
    </w:p>
    <w:p w:rsidR="00FB1389" w:rsidRPr="00812464" w:rsidRDefault="00FB1389" w:rsidP="00F25F53">
      <w:pPr>
        <w:spacing w:line="480" w:lineRule="auto"/>
        <w:ind w:firstLine="720"/>
        <w:jc w:val="center"/>
        <w:rPr>
          <w:b/>
          <w:sz w:val="72"/>
          <w:szCs w:val="72"/>
        </w:rPr>
      </w:pPr>
      <w:r w:rsidRPr="00812464">
        <w:rPr>
          <w:b/>
          <w:sz w:val="72"/>
          <w:szCs w:val="72"/>
        </w:rPr>
        <w:t>C</w:t>
      </w:r>
      <w:r w:rsidR="00812464" w:rsidRPr="00812464">
        <w:rPr>
          <w:b/>
          <w:sz w:val="72"/>
          <w:szCs w:val="72"/>
        </w:rPr>
        <w:t>HAPTER</w:t>
      </w:r>
      <w:r w:rsidRPr="00812464">
        <w:rPr>
          <w:b/>
          <w:sz w:val="72"/>
          <w:szCs w:val="72"/>
        </w:rPr>
        <w:t xml:space="preserve"> 5</w:t>
      </w:r>
    </w:p>
    <w:p w:rsidR="00FB1389" w:rsidRPr="00812464" w:rsidRDefault="00FB1389" w:rsidP="00F25F53">
      <w:pPr>
        <w:spacing w:line="480" w:lineRule="auto"/>
        <w:ind w:firstLine="720"/>
        <w:jc w:val="center"/>
        <w:rPr>
          <w:b/>
          <w:sz w:val="40"/>
          <w:szCs w:val="40"/>
        </w:rPr>
      </w:pPr>
      <w:r w:rsidRPr="00812464">
        <w:rPr>
          <w:b/>
          <w:sz w:val="40"/>
          <w:szCs w:val="40"/>
        </w:rPr>
        <w:t>Are people more likely to use automatic interpersonal emotion regulation when experiencing mental load in a social context?</w:t>
      </w:r>
    </w:p>
    <w:p w:rsidR="00812464" w:rsidRDefault="00812464" w:rsidP="00812464">
      <w:pPr>
        <w:spacing w:line="480" w:lineRule="auto"/>
        <w:ind w:firstLine="720"/>
        <w:jc w:val="center"/>
        <w:rPr>
          <w:b/>
          <w:sz w:val="24"/>
          <w:szCs w:val="24"/>
        </w:rPr>
      </w:pPr>
    </w:p>
    <w:p w:rsidR="00812464" w:rsidRDefault="00812464" w:rsidP="00812464">
      <w:pPr>
        <w:spacing w:line="480" w:lineRule="auto"/>
        <w:ind w:firstLine="720"/>
        <w:jc w:val="center"/>
        <w:rPr>
          <w:b/>
          <w:sz w:val="24"/>
          <w:szCs w:val="24"/>
        </w:rPr>
      </w:pPr>
    </w:p>
    <w:p w:rsidR="00812464" w:rsidRDefault="00812464" w:rsidP="00812464">
      <w:pPr>
        <w:spacing w:line="480" w:lineRule="auto"/>
        <w:ind w:firstLine="720"/>
        <w:jc w:val="center"/>
        <w:rPr>
          <w:b/>
          <w:sz w:val="24"/>
          <w:szCs w:val="24"/>
        </w:rPr>
      </w:pPr>
    </w:p>
    <w:p w:rsidR="00812464" w:rsidRDefault="00812464" w:rsidP="00812464">
      <w:pPr>
        <w:spacing w:line="480" w:lineRule="auto"/>
        <w:ind w:firstLine="720"/>
        <w:jc w:val="center"/>
        <w:rPr>
          <w:b/>
          <w:sz w:val="24"/>
          <w:szCs w:val="24"/>
        </w:rPr>
      </w:pPr>
    </w:p>
    <w:p w:rsidR="00812464" w:rsidRDefault="00812464" w:rsidP="00812464">
      <w:pPr>
        <w:spacing w:line="480" w:lineRule="auto"/>
        <w:ind w:firstLine="720"/>
        <w:jc w:val="center"/>
        <w:rPr>
          <w:b/>
          <w:sz w:val="24"/>
          <w:szCs w:val="24"/>
        </w:rPr>
      </w:pPr>
    </w:p>
    <w:p w:rsidR="00812464" w:rsidRDefault="00812464" w:rsidP="00812464">
      <w:pPr>
        <w:spacing w:line="480" w:lineRule="auto"/>
        <w:ind w:firstLine="720"/>
        <w:jc w:val="center"/>
        <w:rPr>
          <w:b/>
          <w:sz w:val="24"/>
          <w:szCs w:val="24"/>
        </w:rPr>
      </w:pPr>
    </w:p>
    <w:p w:rsidR="00812464" w:rsidRPr="00D05EBD" w:rsidRDefault="00812464" w:rsidP="00812464">
      <w:pPr>
        <w:spacing w:line="480" w:lineRule="auto"/>
        <w:ind w:firstLine="720"/>
        <w:jc w:val="center"/>
        <w:rPr>
          <w:b/>
          <w:sz w:val="24"/>
          <w:szCs w:val="24"/>
        </w:rPr>
      </w:pPr>
    </w:p>
    <w:p w:rsidR="00812464" w:rsidRDefault="00812464" w:rsidP="00AE640B">
      <w:pPr>
        <w:spacing w:line="480" w:lineRule="auto"/>
        <w:ind w:firstLine="720"/>
        <w:jc w:val="both"/>
        <w:rPr>
          <w:sz w:val="24"/>
          <w:szCs w:val="24"/>
        </w:rPr>
      </w:pPr>
    </w:p>
    <w:p w:rsidR="00FB1389" w:rsidRPr="00D05EBD" w:rsidRDefault="00FB1389" w:rsidP="00AE640B">
      <w:pPr>
        <w:spacing w:line="480" w:lineRule="auto"/>
        <w:ind w:firstLine="720"/>
        <w:jc w:val="both"/>
        <w:rPr>
          <w:sz w:val="24"/>
          <w:szCs w:val="24"/>
        </w:rPr>
      </w:pPr>
      <w:r w:rsidRPr="00D05EBD">
        <w:rPr>
          <w:sz w:val="24"/>
          <w:szCs w:val="24"/>
        </w:rPr>
        <w:lastRenderedPageBreak/>
        <w:t>Chapter 4 presented an online self-report measure of the extent to which people exerted self-control during their working day. This measure was designed with the purpose to later be used to investigate the relationship between self-control depletion and</w:t>
      </w:r>
      <w:r w:rsidR="00813919">
        <w:rPr>
          <w:sz w:val="24"/>
          <w:szCs w:val="24"/>
        </w:rPr>
        <w:t xml:space="preserve"> the</w:t>
      </w:r>
      <w:r w:rsidRPr="00D05EBD">
        <w:rPr>
          <w:sz w:val="24"/>
          <w:szCs w:val="24"/>
        </w:rPr>
        <w:t xml:space="preserve"> use</w:t>
      </w:r>
      <w:r w:rsidR="00813919">
        <w:rPr>
          <w:sz w:val="24"/>
          <w:szCs w:val="24"/>
        </w:rPr>
        <w:t xml:space="preserve"> </w:t>
      </w:r>
      <w:r w:rsidRPr="00D05EBD">
        <w:rPr>
          <w:sz w:val="24"/>
          <w:szCs w:val="24"/>
        </w:rPr>
        <w:t xml:space="preserve">of automatic interpersonal emotion regulation (AIER) in interpersonal interactions (e.g. between romantic couples). To identify the levels of self-control of the participants, a Stroop Task was administered straight after the online questionnaire. As not having enough self-control resources affects the capacity for effortful control over dominant responses </w:t>
      </w:r>
      <w:r w:rsidR="00B06E70">
        <w:rPr>
          <w:sz w:val="24"/>
          <w:szCs w:val="24"/>
        </w:rPr>
        <w:fldChar w:fldCharType="begin" w:fldLock="1"/>
      </w:r>
      <w:r w:rsidR="00010706">
        <w:rPr>
          <w:sz w:val="24"/>
          <w:szCs w:val="24"/>
        </w:rPr>
        <w:instrText>ADDIN CSL_CITATION { "citationItems" : [ { "id" : "ITEM-1", "itemData" : { "DOI" : "10.1037/a0019486", "ISBN" : "0033-2909\\r1939-1455", "ISSN" : "0033-2909", "PMID" : "20565167", "abstract" : "According to the strength model, self-control is a finite resource that determines capacity for effortful control over dominant responses and, once expended, leads to impaired self-control task performance, known as ego depletion. A meta-analysis of 83 studies tested the effect of ego depletion on task performance and related outcomes, alternative explanations and moderators of the effect, and additional strength model hypotheses. Results revealed a significant effect of ego depletion on self-control task performance. Significant effect sizes were found for ego depletion on effort, perceived difficulty, negative affect, subjective fatigue, and blood glucose levels. Small, nonsignificant effects were found for positive affect and self-efficacy. Moderator analyses indicated minimal variation in the effect across sphere of depleting and dependent task, frequently used depleting and dependent tasks, presentation of tasks as single or separate experiments, type of dependent measure and control condition task, and source laboratory. The effect size was moderated by depleting task duration, task presentation by the same or different experimenters, intertask interim period, dependent task complexity, and use of dependent tasks in the choice and volition and cognitive spheres. Motivational incentives, training on self-control tasks, and glucose supplementation promoted better self-control in ego-depleted samples. Expecting further acts of self-control exacerbated the effect. Findings provide preliminary support for the ego-depletion effect and strength model hypotheses. Support for motivation and fatigue as alternative explanations for ego depletion indicate a need to integrate the strength model with other theories. Findings provide impetus for future investigation testing additional hypotheses and mechanisms of the ego-depletion effect.", "author" : [ { "dropping-particle" : "", "family" : "Hagger", "given" : "Martin S", "non-dropping-particle" : "", "parse-names" : false, "suffix" : "" }, { "dropping-particle" : "", "family" : "Wood", "given" : "Chantelle", "non-dropping-particle" : "", "parse-names" : false, "suffix" : "" }, { "dropping-particle" : "", "family" : "Stiff", "given" : "Chris", "non-dropping-particle" : "", "parse-names" : false, "suffix" : "" }, { "dropping-particle" : "", "family" : "Chatzisarantis", "given" : "Nikos L D", "non-dropping-particle" : "", "parse-names" : false, "suffix" : "" } ], "container-title" : "Psychological bulletin", "id" : "ITEM-1", "issue" : "4", "issued" : { "date-parts" : [ [ "2010" ] ] }, "page" : "495-525", "title" : "Ego depletion and the strength model of self-control: a meta-analysis.", "type" : "article-journal", "volume" : "136" }, "uris" : [ "http://www.mendeley.com/documents/?uuid=e3caf5e6-4d25-30b4-8d05-82b39ff0f4af" ] } ], "mendeley" : { "formattedCitation" : "(Hagger et al., 2010)", "plainTextFormattedCitation" : "(Hagger et al., 2010)", "previouslyFormattedCitation" : "(Hagger et al., 2010)" }, "properties" : { "noteIndex" : 0 }, "schema" : "https://github.com/citation-style-language/schema/raw/master/csl-citation.json" }</w:instrText>
      </w:r>
      <w:r w:rsidR="00B06E70">
        <w:rPr>
          <w:sz w:val="24"/>
          <w:szCs w:val="24"/>
        </w:rPr>
        <w:fldChar w:fldCharType="separate"/>
      </w:r>
      <w:r w:rsidR="00010706" w:rsidRPr="00010706">
        <w:rPr>
          <w:noProof/>
          <w:sz w:val="24"/>
          <w:szCs w:val="24"/>
        </w:rPr>
        <w:t>(Hagger et al., 2010)</w:t>
      </w:r>
      <w:r w:rsidR="00B06E70">
        <w:rPr>
          <w:sz w:val="24"/>
          <w:szCs w:val="24"/>
        </w:rPr>
        <w:fldChar w:fldCharType="end"/>
      </w:r>
      <w:r w:rsidRPr="00D05EBD">
        <w:rPr>
          <w:sz w:val="24"/>
          <w:szCs w:val="24"/>
        </w:rPr>
        <w:t xml:space="preserve">, rendering people more vulnerable to rely on heuristics or automatic resources </w:t>
      </w:r>
      <w:r w:rsidR="00B06E70">
        <w:rPr>
          <w:sz w:val="24"/>
          <w:szCs w:val="24"/>
        </w:rPr>
        <w:fldChar w:fldCharType="begin" w:fldLock="1"/>
      </w:r>
      <w:r w:rsidR="00010706">
        <w:rPr>
          <w:sz w:val="24"/>
          <w:szCs w:val="24"/>
        </w:rPr>
        <w:instrText>ADDIN CSL_CITATION { "citationItems" : [ { "id" : "ITEM-1", "itemData" : { "DOI" : "10.1111/j.1745-6924.2009.01116.x", "PMID" : "26158943", "abstract" : "Though human beings embody a unique ability for planned behavior, they also often act impulsively. This insight may be important for the study of self-control situations in which people are torn between their long-term goals to restrain behavior and their immediate impulses that promise hedonic fulfillment. In the present article, we outline a dual-systems perspective of impulse and self-control and suggest a framework for the prediction of self-control outcomes. This framework combines three elements that, considered jointly, may enable a more precise prediction of self-control outcomes than they do when studied in isolation: impulsive precursors of behavior, reflective precursors, and situational or dispositional boundary conditions. The theoretical and practical utility of such an approach is demonstrated by drawing on recent evidence from several domains of self-control such as eating, drinking, and sexual behavior.\u00a9 2009 Association for Psychological Science.", "author" : [ { "dropping-particle" : "", "family" : "Hofmann", "given" : "Wilhelm", "non-dropping-particle" : "", "parse-names" : false, "suffix" : "" }, { "dropping-particle" : "", "family" : "Friese", "given" : "Malte", "non-dropping-particle" : "", "parse-names" : false, "suffix" : "" }, { "dropping-particle" : "", "family" : "Strack", "given" : "Fritz", "non-dropping-particle" : "", "parse-names" : false, "suffix" : "" } ], "container-title" : "Perspectives on psychological science : a journal of the Association for Psychological Science", "id" : "ITEM-1", "issue" : "2", "issued" : { "date-parts" : [ [ "2009" ] ] }, "page" : "162-176", "title" : "Impulse and Self-Control From a Dual-Systems Perspective.", "type" : "article-journal", "volume" : "4" }, "uris" : [ "http://www.mendeley.com/documents/?uuid=12a652a2-59d6-329d-9043-6f5aca92d192" ] } ], "mendeley" : { "formattedCitation" : "(W. Hofmann et al., 2009)", "manualFormatting" : "(Hofmann et al., 2009)", "plainTextFormattedCitation" : "(W. Hofmann et al., 2009)", "previouslyFormattedCitation" : "(W. Hofmann et al., 2009)" }, "properties" : { "noteIndex" : 0 }, "schema" : "https://github.com/citation-style-language/schema/raw/master/csl-citation.json" }</w:instrText>
      </w:r>
      <w:r w:rsidR="00B06E70">
        <w:rPr>
          <w:sz w:val="24"/>
          <w:szCs w:val="24"/>
        </w:rPr>
        <w:fldChar w:fldCharType="separate"/>
      </w:r>
      <w:r w:rsidR="00010706">
        <w:rPr>
          <w:noProof/>
          <w:sz w:val="24"/>
          <w:szCs w:val="24"/>
        </w:rPr>
        <w:t>(</w:t>
      </w:r>
      <w:r w:rsidR="00045700">
        <w:rPr>
          <w:noProof/>
          <w:sz w:val="24"/>
          <w:szCs w:val="24"/>
        </w:rPr>
        <w:t>Hofmann et al.</w:t>
      </w:r>
      <w:r w:rsidR="00D56690">
        <w:rPr>
          <w:noProof/>
          <w:sz w:val="24"/>
          <w:szCs w:val="24"/>
        </w:rPr>
        <w:t>,</w:t>
      </w:r>
      <w:r w:rsidR="00010706" w:rsidRPr="00010706">
        <w:rPr>
          <w:noProof/>
          <w:sz w:val="24"/>
          <w:szCs w:val="24"/>
        </w:rPr>
        <w:t xml:space="preserve"> 2009)</w:t>
      </w:r>
      <w:r w:rsidR="00B06E70">
        <w:rPr>
          <w:sz w:val="24"/>
          <w:szCs w:val="24"/>
        </w:rPr>
        <w:fldChar w:fldCharType="end"/>
      </w:r>
      <w:r w:rsidRPr="00D05EBD">
        <w:rPr>
          <w:sz w:val="24"/>
          <w:szCs w:val="24"/>
        </w:rPr>
        <w:t xml:space="preserve">, a poor performance on the Stroop Task could indicate low levels of self control. Unfortunately, evidence of self-control depletion could not be observed. This might have happened for </w:t>
      </w:r>
      <w:r w:rsidR="00F25F53">
        <w:rPr>
          <w:sz w:val="24"/>
          <w:szCs w:val="24"/>
        </w:rPr>
        <w:t>two</w:t>
      </w:r>
      <w:r w:rsidRPr="00D05EBD">
        <w:rPr>
          <w:sz w:val="24"/>
          <w:szCs w:val="24"/>
        </w:rPr>
        <w:t xml:space="preserve"> main r</w:t>
      </w:r>
      <w:r w:rsidR="00813919">
        <w:rPr>
          <w:sz w:val="24"/>
          <w:szCs w:val="24"/>
        </w:rPr>
        <w:t>easons.</w:t>
      </w:r>
      <w:r w:rsidRPr="00D05EBD">
        <w:rPr>
          <w:sz w:val="24"/>
          <w:szCs w:val="24"/>
        </w:rPr>
        <w:t xml:space="preserve"> </w:t>
      </w:r>
      <w:r w:rsidR="00F25F53">
        <w:rPr>
          <w:sz w:val="24"/>
          <w:szCs w:val="24"/>
        </w:rPr>
        <w:t>First</w:t>
      </w:r>
      <w:r w:rsidRPr="00D05EBD">
        <w:rPr>
          <w:sz w:val="24"/>
          <w:szCs w:val="24"/>
        </w:rPr>
        <w:t xml:space="preserve">, it might have been the case that participants were not depleted by the self-control they used during their working day because of being high in trait self-control </w:t>
      </w:r>
      <w:r w:rsidR="00B06E70">
        <w:rPr>
          <w:sz w:val="24"/>
          <w:szCs w:val="24"/>
        </w:rPr>
        <w:fldChar w:fldCharType="begin" w:fldLock="1"/>
      </w:r>
      <w:r w:rsidR="00844B08">
        <w:rPr>
          <w:sz w:val="24"/>
          <w:szCs w:val="24"/>
        </w:rPr>
        <w:instrText>ADDIN CSL_CITATION { "citationItems" : [ { "id" : "ITEM-1", "itemData" : { "DOI" : "10.1111/j.1467-6494.2006.00428.x", "ISBN" : "084120957X", "ISSN" : "00223506", "PMID" : "17083666", "abstract" : "Self-regulation is a highly adaptive, distinctively human trait that enables people to override and alter their responses, including changing themselves so as to live up to social and other standards. Recent evidence indicates that self-regulation often consumes a limited resource, akin to energy or strength, thereby creating a temporary state of ego depletion. This article summarizes recent evidence indicating that regular exercises in self-regulation can produce broad improvements in self-regulation (like strengthening a muscle), making people less vulnerable to ego depletion. Furthermore, it shows that ego depletion moderates the effects of many traits on behavior, particularly such that wide differences in socially disapproved motivations produce greater differences in behavior when ego depletion weakens the customary inner restraints.", "author" : [ { "dropping-particle" : "", "family" : "Baumeister", "given" : "Roy F.", "non-dropping-particle" : "", "parse-names" : false, "suffix" : "" }, { "dropping-particle" : "", "family" : "Gailliot", "given" : "Matthew", "non-dropping-particle" : "", "parse-names" : false, "suffix" : "" }, { "dropping-particle" : "", "family" : "DeWall", "given" : "C. Nathan", "non-dropping-particle" : "", "parse-names" : false, "suffix" : "" }, { "dropping-particle" : "", "family" : "Oaten", "given" : "Megan", "non-dropping-particle" : "", "parse-names" : false, "suffix" : "" } ], "container-title" : "Journal of Personality", "id" : "ITEM-1", "issue" : "6", "issued" : { "date-parts" : [ [ "2006" ] ] }, "page" : "1773-1801", "title" : "Self-regulation and personality: How interventions increase regulatory success, and how depletion moderates the effects of traits on behavior", "type" : "article-journal", "volume" : "74" }, "uris" : [ "http://www.mendeley.com/documents/?uuid=6bc28d51-8a52-4607-85a1-8037d7fea063" ] } ], "mendeley" : { "formattedCitation" : "(Baumeister, Gailliot, DeWall, &amp; Oaten, 2006)", "plainTextFormattedCitation" : "(Baumeister, Gailliot, DeWall, &amp; Oaten, 2006)", "previouslyFormattedCitation" : "(Roy F. Baumeister, Gailliot, DeWall, &amp; Oaten, 2006)" }, "properties" : { "noteIndex" : 0 }, "schema" : "https://github.com/citation-style-language/schema/raw/master/csl-citation.json" }</w:instrText>
      </w:r>
      <w:r w:rsidR="00B06E70">
        <w:rPr>
          <w:sz w:val="24"/>
          <w:szCs w:val="24"/>
        </w:rPr>
        <w:fldChar w:fldCharType="separate"/>
      </w:r>
      <w:r w:rsidR="00844B08" w:rsidRPr="00844B08">
        <w:rPr>
          <w:noProof/>
          <w:sz w:val="24"/>
          <w:szCs w:val="24"/>
        </w:rPr>
        <w:t>(Baumeister, Gailliot, DeWall, &amp; Oaten, 2006)</w:t>
      </w:r>
      <w:r w:rsidR="00B06E70">
        <w:rPr>
          <w:sz w:val="24"/>
          <w:szCs w:val="24"/>
        </w:rPr>
        <w:fldChar w:fldCharType="end"/>
      </w:r>
      <w:r w:rsidR="00F25F53">
        <w:rPr>
          <w:sz w:val="24"/>
          <w:szCs w:val="24"/>
        </w:rPr>
        <w:t xml:space="preserve"> or because </w:t>
      </w:r>
      <w:r w:rsidRPr="00D05EBD">
        <w:rPr>
          <w:sz w:val="24"/>
          <w:szCs w:val="24"/>
        </w:rPr>
        <w:t xml:space="preserve">constantly encountering the same activities requiring </w:t>
      </w:r>
      <w:r w:rsidR="00813919">
        <w:rPr>
          <w:sz w:val="24"/>
          <w:szCs w:val="24"/>
        </w:rPr>
        <w:t xml:space="preserve">the </w:t>
      </w:r>
      <w:r w:rsidRPr="00D05EBD">
        <w:rPr>
          <w:sz w:val="24"/>
          <w:szCs w:val="24"/>
        </w:rPr>
        <w:t xml:space="preserve">use of self-control at work might have served as training for participants, attenuating the effects of depletion </w:t>
      </w:r>
      <w:r w:rsidR="00B06E70">
        <w:rPr>
          <w:sz w:val="24"/>
          <w:szCs w:val="24"/>
        </w:rPr>
        <w:fldChar w:fldCharType="begin" w:fldLock="1"/>
      </w:r>
      <w:r w:rsidR="00256755">
        <w:rPr>
          <w:sz w:val="24"/>
          <w:szCs w:val="24"/>
        </w:rPr>
        <w:instrText>ADDIN CSL_CITATION { "citationItems" : [ { "id" : "ITEM-1", "itemData" : { "DOI" : "10.1086/250095", "ISBN" : "3258059322", "ISSN" : "00157120", "PMID" : "17979356", "author" : [ { "dropping-particle" : "", "family" : "Muraven", "given" : "Mark", "non-dropping-particle" : "", "parse-names" : false, "suffix" : "" }, { "dropping-particle" : "", "family" : "Baumeister", "given" : "Roy F.", "non-dropping-particle" : "", "parse-names" : false, "suffix" : "" }, { "dropping-particle" : "", "family" : "Tice", "given" : "Dianne M", "non-dropping-particle" : "", "parse-names" : false, "suffix" : "" } ], "container-title" : "The Journal of Social Psychology", "id" : "ITEM-1", "issue" : "4", "issued" : { "date-parts" : [ [ "1999" ] ] }, "page" : "446-457", "title" : "Longitudinal Improvement of Self-Regulation Through Practice: Building Self-Control Strength Through Repeated Exercise", "type" : "article-journal", "volume" : "139" }, "uris" : [ "http://www.mendeley.com/documents/?uuid=ef610c58-fdbd-4435-a0e7-bf3efa527e12" ] } ], "mendeley" : { "formattedCitation" : "(Muraven, Baumeister, &amp; Tice, 1999)", "plainTextFormattedCitation" : "(Muraven, Baumeister, &amp; Tice, 1999)", "previouslyFormattedCitation" : "(Muraven, Baumeister, &amp; Tice, 1999)" }, "properties" : { "noteIndex" : 0 }, "schema" : "https://github.com/citation-style-language/schema/raw/master/csl-citation.json" }</w:instrText>
      </w:r>
      <w:r w:rsidR="00B06E70">
        <w:rPr>
          <w:sz w:val="24"/>
          <w:szCs w:val="24"/>
        </w:rPr>
        <w:fldChar w:fldCharType="separate"/>
      </w:r>
      <w:r w:rsidR="00256755" w:rsidRPr="00256755">
        <w:rPr>
          <w:noProof/>
          <w:sz w:val="24"/>
          <w:szCs w:val="24"/>
        </w:rPr>
        <w:t>(Muraven, Baumeister, &amp; Tice, 1999)</w:t>
      </w:r>
      <w:r w:rsidR="00B06E70">
        <w:rPr>
          <w:sz w:val="24"/>
          <w:szCs w:val="24"/>
        </w:rPr>
        <w:fldChar w:fldCharType="end"/>
      </w:r>
      <w:r w:rsidRPr="00D05EBD">
        <w:rPr>
          <w:sz w:val="24"/>
          <w:szCs w:val="24"/>
        </w:rPr>
        <w:t xml:space="preserve">. </w:t>
      </w:r>
      <w:r w:rsidR="00F25F53">
        <w:rPr>
          <w:sz w:val="24"/>
          <w:szCs w:val="24"/>
        </w:rPr>
        <w:t xml:space="preserve">Second, because </w:t>
      </w:r>
      <w:r w:rsidR="00831D5C">
        <w:rPr>
          <w:sz w:val="24"/>
          <w:szCs w:val="24"/>
        </w:rPr>
        <w:t xml:space="preserve">the </w:t>
      </w:r>
      <w:r w:rsidR="00F25F53">
        <w:rPr>
          <w:sz w:val="24"/>
          <w:szCs w:val="24"/>
        </w:rPr>
        <w:t xml:space="preserve">participants </w:t>
      </w:r>
      <w:r w:rsidR="00831D5C">
        <w:rPr>
          <w:sz w:val="24"/>
          <w:szCs w:val="24"/>
        </w:rPr>
        <w:t>motivations</w:t>
      </w:r>
      <w:r w:rsidR="00F25F53">
        <w:rPr>
          <w:sz w:val="24"/>
          <w:szCs w:val="24"/>
        </w:rPr>
        <w:t xml:space="preserve"> to perform both their daily work tasks and the Stroop task </w:t>
      </w:r>
      <w:r w:rsidR="00831D5C">
        <w:rPr>
          <w:sz w:val="24"/>
          <w:szCs w:val="24"/>
        </w:rPr>
        <w:t>may have been the same (i.e. in both cases they either wanted to or had to do both tasks or they did not want or did not have to do either task) (</w:t>
      </w:r>
      <w:proofErr w:type="spellStart"/>
      <w:r w:rsidR="00831D5C">
        <w:rPr>
          <w:sz w:val="24"/>
          <w:szCs w:val="24"/>
        </w:rPr>
        <w:t>Inzlicht</w:t>
      </w:r>
      <w:proofErr w:type="spellEnd"/>
      <w:r w:rsidR="00831D5C">
        <w:rPr>
          <w:sz w:val="24"/>
          <w:szCs w:val="24"/>
        </w:rPr>
        <w:t>, et al., 2013).</w:t>
      </w:r>
      <w:r w:rsidR="00831D5C" w:rsidRPr="00D05EBD">
        <w:rPr>
          <w:sz w:val="24"/>
          <w:szCs w:val="24"/>
        </w:rPr>
        <w:t xml:space="preserve"> </w:t>
      </w:r>
      <w:r w:rsidRPr="00D05EBD">
        <w:rPr>
          <w:sz w:val="24"/>
          <w:szCs w:val="24"/>
        </w:rPr>
        <w:t xml:space="preserve">Therefore, in the present chapter, a controlled manipulation of cognitive load, which has also been associated with the use of automatic behaviour </w:t>
      </w:r>
      <w:r w:rsidR="00B06E70">
        <w:rPr>
          <w:sz w:val="24"/>
          <w:szCs w:val="24"/>
        </w:rPr>
        <w:fldChar w:fldCharType="begin" w:fldLock="1"/>
      </w:r>
      <w:r w:rsidR="006E2983">
        <w:rPr>
          <w:sz w:val="24"/>
          <w:szCs w:val="24"/>
        </w:rPr>
        <w:instrText>ADDIN CSL_CITATION { "citationItems" : [ { "id" : "ITEM-1", "itemData" : { "DOI" : "10.1111/j.1745-6924.2009.01116.x", "PMID" : "26158943", "abstract" : "Though human beings embody a unique ability for planned behavior, they also often act impulsively. This insight may be important for the study of self-control situations in which people are torn between their long-term goals to restrain behavior and their immediate impulses that promise hedonic fulfillment. In the present article, we outline a dual-systems perspective of impulse and self-control and suggest a framework for the prediction of self-control outcomes. This framework combines three elements that, considered jointly, may enable a more precise prediction of self-control outcomes than they do when studied in isolation: impulsive precursors of behavior, reflective precursors, and situational or dispositional boundary conditions. The theoretical and practical utility of such an approach is demonstrated by drawing on recent evidence from several domains of self-control such as eating, drinking, and sexual behavior.\u00a9 2009 Association for Psychological Science.", "author" : [ { "dropping-particle" : "", "family" : "Hofmann", "given" : "Wilhelm", "non-dropping-particle" : "", "parse-names" : false, "suffix" : "" }, { "dropping-particle" : "", "family" : "Friese", "given" : "Malte", "non-dropping-particle" : "", "parse-names" : false, "suffix" : "" }, { "dropping-particle" : "", "family" : "Strack", "given" : "Fritz", "non-dropping-particle" : "", "parse-names" : false, "suffix" : "" } ], "container-title" : "Perspectives on psychological science : a journal of the Association for Psychological Science", "id" : "ITEM-1", "issue" : "2", "issued" : { "date-parts" : [ [ "2009" ] ] }, "page" : "162-176", "title" : "Impulse and Self-Control From a Dual-Systems Perspective.", "type" : "article-journal", "volume" : "4" }, "uris" : [ "http://www.mendeley.com/documents/?uuid=12a652a2-59d6-329d-9043-6f5aca92d192" ] } ], "mendeley" : { "formattedCitation" : "(W. Hofmann et al., 2009)", "plainTextFormattedCitation" : "(W. Hofmann et al., 2009)", "previouslyFormattedCitation" : "(W. Hofmann et al., 2009)" }, "properties" : { "noteIndex" : 0 }, "schema" : "https://github.com/citation-style-language/schema/raw/master/csl-citation.json" }</w:instrText>
      </w:r>
      <w:r w:rsidR="00B06E70">
        <w:rPr>
          <w:sz w:val="24"/>
          <w:szCs w:val="24"/>
        </w:rPr>
        <w:fldChar w:fldCharType="separate"/>
      </w:r>
      <w:r w:rsidR="00045700">
        <w:rPr>
          <w:noProof/>
          <w:sz w:val="24"/>
          <w:szCs w:val="24"/>
        </w:rPr>
        <w:t>(Hofmann et al.</w:t>
      </w:r>
      <w:r w:rsidR="00DC6D67">
        <w:rPr>
          <w:noProof/>
          <w:sz w:val="24"/>
          <w:szCs w:val="24"/>
        </w:rPr>
        <w:t>,</w:t>
      </w:r>
      <w:r w:rsidR="00256755" w:rsidRPr="00256755">
        <w:rPr>
          <w:noProof/>
          <w:sz w:val="24"/>
          <w:szCs w:val="24"/>
        </w:rPr>
        <w:t xml:space="preserve"> 2009)</w:t>
      </w:r>
      <w:r w:rsidR="00B06E70">
        <w:rPr>
          <w:sz w:val="24"/>
          <w:szCs w:val="24"/>
        </w:rPr>
        <w:fldChar w:fldCharType="end"/>
      </w:r>
      <w:r w:rsidRPr="00D05EBD">
        <w:rPr>
          <w:sz w:val="24"/>
          <w:szCs w:val="24"/>
        </w:rPr>
        <w:t xml:space="preserve">, was used to create a situation where participants would be more likely to use AIER during interpersonal interactions. The effects of this manipulation on the use of AIER in interpersonal interactions were studied.   </w:t>
      </w:r>
    </w:p>
    <w:p w:rsidR="00FB1389" w:rsidRPr="00D05EBD" w:rsidRDefault="00FB1389" w:rsidP="00AE640B">
      <w:pPr>
        <w:spacing w:line="480" w:lineRule="auto"/>
        <w:ind w:firstLine="720"/>
        <w:jc w:val="both"/>
        <w:rPr>
          <w:sz w:val="24"/>
          <w:szCs w:val="24"/>
        </w:rPr>
      </w:pPr>
      <w:r w:rsidRPr="00D05EBD">
        <w:rPr>
          <w:sz w:val="24"/>
          <w:szCs w:val="24"/>
        </w:rPr>
        <w:lastRenderedPageBreak/>
        <w:t xml:space="preserve">When people have to deal with several mental tasks at the same time sometimes their performance in one or more of these tasks is affected. Imagine a parent at the supermarket trying to remember the shopping list (that was mistakenly left at home) while at the same time he/she is trying to keep a conversation with his/her 9-year old who is excitedly telling him/her how the school day went. Most likely, some things from the shopping list will be forgotten; it might be also possible that this parent manages to both remember the list and to sustain the conversation with his/her child, by responding to the child in a mechanical or automatic way. This example illustrates that in some cases people under cognitive load (trying to remember the shopping list) rely more on their impulsive or automatic behaviours when engaging in self-control tasks </w:t>
      </w:r>
      <w:r w:rsidR="00B06E70">
        <w:rPr>
          <w:sz w:val="24"/>
          <w:szCs w:val="24"/>
        </w:rPr>
        <w:fldChar w:fldCharType="begin" w:fldLock="1"/>
      </w:r>
      <w:r w:rsidR="006E2983">
        <w:rPr>
          <w:sz w:val="24"/>
          <w:szCs w:val="24"/>
        </w:rPr>
        <w:instrText>ADDIN CSL_CITATION { "citationItems" : [ { "id" : "ITEM-1", "itemData" : { "DOI" : "10.1348/014466607X241540", "ISBN" : "0144-6665", "ISSN" : "0144-6665", "PMID" : "17880753", "abstract" : "Recent theories in social psychology suggest that explicitly measured attitudes are particularly valuable for the prediction of deliberate, controlled behaviour. In contrast, implicitly measured attitudes are assumed to be more important for the prediction of less controlled, more impulsive behaviour. Yet, conclusive evidence for the differential predictive validity of both measures is scarce. We hypothesized that limitations of different control resources would lead to functionally equivalent effects. In Study 1, cognitive capacity moderated the predictive validity of both explicit and implicit attitude measures in a choice task. Self-regulatory resources led to similar patterns for eating (Study 2) and drinking behaviour (Study 3). In addition to the predictive validity of implicit and explicit attitude measures, in Study 3 we more closely investigated the relative contributions of explicitly measured attitudes and general restraint standards as two distinct, but complementing constructs that are dependent on control resources.", "author" : [ { "dropping-particle" : "", "family" : "Friese", "given" : "Malte", "non-dropping-particle" : "", "parse-names" : false, "suffix" : "" }, { "dropping-particle" : "", "family" : "Hofmann", "given" : "Wilhelm", "non-dropping-particle" : "", "parse-names" : false, "suffix" : "" }, { "dropping-particle" : "", "family" : "W\u00e4nke", "given" : "Michaela", "non-dropping-particle" : "", "parse-names" : false, "suffix" : "" } ], "container-title" : "The British journal of social psychology / the British Psychological Society", "id" : "ITEM-1", "issue" : "Pt 3", "issued" : { "date-parts" : [ [ "2008" ] ] }, "page" : "397-419", "title" : "When impulses take over: moderated predictive validity of explicit and implicit attitude measures in predicting food choice and consumption behaviour.", "type" : "article-journal", "volume" : "47" }, "uris" : [ "http://www.mendeley.com/documents/?uuid=e282daee-5217-348f-a660-6d1f89ddd1d3" ] } ], "mendeley" : { "formattedCitation" : "(Friese et al., 2008)", "plainTextFormattedCitation" : "(Friese et al., 2008)", "previouslyFormattedCitation" : "(Friese et al., 2008)" }, "properties" : { "noteIndex" : 0 }, "schema" : "https://github.com/citation-style-language/schema/raw/master/csl-citation.json" }</w:instrText>
      </w:r>
      <w:r w:rsidR="00B06E70">
        <w:rPr>
          <w:sz w:val="24"/>
          <w:szCs w:val="24"/>
        </w:rPr>
        <w:fldChar w:fldCharType="separate"/>
      </w:r>
      <w:r w:rsidR="006E2983" w:rsidRPr="006E2983">
        <w:rPr>
          <w:noProof/>
          <w:sz w:val="24"/>
          <w:szCs w:val="24"/>
        </w:rPr>
        <w:t>(Friese et al., 2008)</w:t>
      </w:r>
      <w:r w:rsidR="00B06E70">
        <w:rPr>
          <w:sz w:val="24"/>
          <w:szCs w:val="24"/>
        </w:rPr>
        <w:fldChar w:fldCharType="end"/>
      </w:r>
      <w:r w:rsidRPr="00D05EBD">
        <w:rPr>
          <w:sz w:val="24"/>
          <w:szCs w:val="24"/>
        </w:rPr>
        <w:t xml:space="preserve">. On this basis, in the present chapter’s research, a cognitive load task was employed in order to observe whether people would be more likely to use AIER under high cognitive load. To manipulate cognitive load, half of participants in a speed dating event (an event where people seeking romantic relationships have a series of short conversations or dates with potential partners in order to determine whether there is mutual interest) were assigned to a high cognitive load condition (remembering an 11-digit number) while the other half was assigned to a low cognitive load condition (remembering a 1-digit number) while having 5 or 6 short dates. After each date, participants answered a questionnaire about the emotion regulation (ER) strategies that they used and experienced during their date. The distinction between use of automatic and controlled interpersonal emotion regulation (IER) was achieved by measuring variations in three features of IER that have been associated with automaticity: </w:t>
      </w:r>
      <w:proofErr w:type="spellStart"/>
      <w:r w:rsidRPr="00D05EBD">
        <w:rPr>
          <w:sz w:val="24"/>
          <w:szCs w:val="24"/>
        </w:rPr>
        <w:t>i</w:t>
      </w:r>
      <w:proofErr w:type="spellEnd"/>
      <w:r w:rsidRPr="00D05EBD">
        <w:rPr>
          <w:sz w:val="24"/>
          <w:szCs w:val="24"/>
        </w:rPr>
        <w:t xml:space="preserve">) awareness of using IER strategies, ii) effort exerted when using IER strategies and, iii) </w:t>
      </w:r>
      <w:r w:rsidRPr="00D05EBD">
        <w:rPr>
          <w:sz w:val="24"/>
          <w:szCs w:val="24"/>
        </w:rPr>
        <w:lastRenderedPageBreak/>
        <w:t xml:space="preserve">intention in using IER strategies </w:t>
      </w:r>
      <w:r w:rsidR="00B06E70">
        <w:rPr>
          <w:sz w:val="24"/>
          <w:szCs w:val="24"/>
        </w:rPr>
        <w:fldChar w:fldCharType="begin" w:fldLock="1"/>
      </w:r>
      <w:r w:rsidR="00A46B68">
        <w:rPr>
          <w:sz w:val="24"/>
          <w:szCs w:val="24"/>
        </w:rPr>
        <w:instrText>ADDIN CSL_CITATION { "citationItems" : [ { "id" : "ITEM-1", "itemData" : { "DOI" : "10.1037/0033-2909.132.2.297", "ISBN" : "0033-2909\\r1939-1455", "ISSN" : "1939-1455", "PMID" : "16536645", "abstract" : "Several theoretical views of automaticity are discussed. Most of these suggest that automaticity should be diagnosed by looking at the presence of features such as unintentional, uncontrolled/uncontrollable, goal independent, autonomous, purely stimulus driven, unconscious, efficient, and fast. Contemporary views further suggest that these features should be investigated separately. The authors examine whether features of automaticity can be disentangled on a conceptual level, because only then is the separate investigation of them worth the effort. They conclude that the conceptual analysis of features is to a large extent feasible. Not all researchers agree with this position, however. The authors show that assumptions of overlap among features are determined by the other researchers\u2019 views of automaticity and by the models they endorse for information processing in general.", "author" : [ { "dropping-particle" : "", "family" : "Moors", "given" : "Agnes", "non-dropping-particle" : "", "parse-names" : false, "suffix" : "" }, { "dropping-particle" : "", "family" : "Houwer", "given" : "Jan", "non-dropping-particle" : "De", "parse-names" : false, "suffix" : "" } ], "container-title" : "Psychological Bulletin", "id" : "ITEM-1", "issue" : "2", "issued" : { "date-parts" : [ [ "2006" ] ] }, "page" : "297-326", "title" : "Automaticity: A Theoretical and Conceptual Analysis.", "type" : "article-journal", "volume" : "132" }, "uris" : [ "http://www.mendeley.com/documents/?uuid=5d0ac652-cfad-3b38-871b-cc8cbb38615b" ] } ], "mendeley" : { "formattedCitation" : "(Moors &amp; De Houwer, 2006)", "plainTextFormattedCitation" : "(Moors &amp; De Houwer, 2006)", "previouslyFormattedCitation" : "(Moors &amp; De Houwer, 2006)" }, "properties" : { "noteIndex" : 0 }, "schema" : "https://github.com/citation-style-language/schema/raw/master/csl-citation.json" }</w:instrText>
      </w:r>
      <w:r w:rsidR="00B06E70">
        <w:rPr>
          <w:sz w:val="24"/>
          <w:szCs w:val="24"/>
        </w:rPr>
        <w:fldChar w:fldCharType="separate"/>
      </w:r>
      <w:r w:rsidR="006E2983" w:rsidRPr="006E2983">
        <w:rPr>
          <w:noProof/>
          <w:sz w:val="24"/>
          <w:szCs w:val="24"/>
        </w:rPr>
        <w:t>(Moors &amp; De Houwer, 2006)</w:t>
      </w:r>
      <w:r w:rsidR="00B06E70">
        <w:rPr>
          <w:sz w:val="24"/>
          <w:szCs w:val="24"/>
        </w:rPr>
        <w:fldChar w:fldCharType="end"/>
      </w:r>
      <w:r w:rsidRPr="00D05EBD">
        <w:rPr>
          <w:sz w:val="24"/>
          <w:szCs w:val="24"/>
        </w:rPr>
        <w:t>.</w:t>
      </w:r>
      <w:r w:rsidRPr="00973AEB">
        <w:rPr>
          <w:rStyle w:val="Refdenotaalpie"/>
        </w:rPr>
        <w:footnoteReference w:id="36"/>
      </w:r>
      <w:r w:rsidRPr="00D05EBD">
        <w:rPr>
          <w:sz w:val="24"/>
          <w:szCs w:val="24"/>
        </w:rPr>
        <w:t xml:space="preserve"> The main prediction of the present research was that participants in the high cognitive load condition, in comparison to participants in the low cognitive load condition, would use more AIER strategies as reported by themselves and by their dates. The chapter will first explain the relationship between cognitive load and automatic behaviours. Then, romantic interactions will be presented as a good scenario to observe AIER, in particular, speed dates. Later, different factors that might affect people’s use of AIER will be explained. Finally, Study 4 will then be presented.</w:t>
      </w:r>
    </w:p>
    <w:p w:rsidR="00FB1389" w:rsidRPr="002138E2" w:rsidRDefault="00FB1389" w:rsidP="00AE640B">
      <w:pPr>
        <w:spacing w:line="480" w:lineRule="auto"/>
        <w:ind w:firstLine="720"/>
        <w:jc w:val="both"/>
        <w:rPr>
          <w:b/>
          <w:sz w:val="24"/>
          <w:szCs w:val="24"/>
        </w:rPr>
      </w:pPr>
      <w:r w:rsidRPr="002138E2">
        <w:rPr>
          <w:b/>
          <w:sz w:val="24"/>
          <w:szCs w:val="24"/>
        </w:rPr>
        <w:t xml:space="preserve">5.1 Automaticity and cognitive load </w:t>
      </w:r>
    </w:p>
    <w:p w:rsidR="00FB1389" w:rsidRPr="00D05EBD" w:rsidRDefault="00FB1389" w:rsidP="00AE640B">
      <w:pPr>
        <w:spacing w:line="480" w:lineRule="auto"/>
        <w:ind w:firstLine="720"/>
        <w:jc w:val="both"/>
        <w:rPr>
          <w:sz w:val="24"/>
          <w:szCs w:val="24"/>
          <w:u w:val="single"/>
        </w:rPr>
      </w:pPr>
      <w:r w:rsidRPr="002138E2">
        <w:rPr>
          <w:sz w:val="24"/>
          <w:szCs w:val="24"/>
        </w:rPr>
        <w:t>When people’s cognitive functions (e.g. attention and memory) are demanded by a particular situation (just as the parent in the aforementioned example, trying to remember the shopping list), other tasks that</w:t>
      </w:r>
      <w:r w:rsidRPr="00D05EBD">
        <w:rPr>
          <w:sz w:val="24"/>
          <w:szCs w:val="24"/>
        </w:rPr>
        <w:t xml:space="preserve"> require cognitive resources may be affected (the parent may be incapable of sustaining a conversation with his/her kid), but in some cases it may be possible that this other task could run to completion by relying on automatic processes (the parent may manage to keep a conversation with his/her child by responding automatically or he/she might respond irritably without even being aware of doing so). Some research has suggested that behaviour relies more on impulsive precursors (automatic affective reactions, automatic approach-avoidance reactions) and less on reflective precursors (restrains and deliberate evaluations) under conditions of cognitive load </w:t>
      </w:r>
      <w:r w:rsidR="00B06E70">
        <w:rPr>
          <w:sz w:val="24"/>
          <w:szCs w:val="24"/>
        </w:rPr>
        <w:fldChar w:fldCharType="begin" w:fldLock="1"/>
      </w:r>
      <w:r w:rsidR="00261E90">
        <w:rPr>
          <w:sz w:val="24"/>
          <w:szCs w:val="24"/>
        </w:rPr>
        <w:instrText>ADDIN CSL_CITATION { "citationItems" : [ { "id" : "ITEM-1", "itemData" : { "DOI" : "10.1111/j.1745-6924.2009.01116.x", "PMID" : "26158943", "abstract" : "Though human beings embody a unique ability for planned behavior, they also often act impulsively. This insight may be important for the study of self-control situations in which people are torn between their long-term goals to restrain behavior and their immediate impulses that promise hedonic fulfillment. In the present article, we outline a dual-systems perspective of impulse and self-control and suggest a framework for the prediction of self-control outcomes. This framework combines three elements that, considered jointly, may enable a more precise prediction of self-control outcomes than they do when studied in isolation: impulsive precursors of behavior, reflective precursors, and situational or dispositional boundary conditions. The theoretical and practical utility of such an approach is demonstrated by drawing on recent evidence from several domains of self-control such as eating, drinking, and sexual behavior.\u00a9 2009 Association for Psychological Science.", "author" : [ { "dropping-particle" : "", "family" : "Hofmann", "given" : "Wilhelm", "non-dropping-particle" : "", "parse-names" : false, "suffix" : "" }, { "dropping-particle" : "", "family" : "Friese", "given" : "Malte", "non-dropping-particle" : "", "parse-names" : false, "suffix" : "" }, { "dropping-particle" : "", "family" : "Strack", "given" : "Fritz", "non-dropping-particle" : "", "parse-names" : false, "suffix" : "" } ], "container-title" : "Perspectives on psychological science : a journal of the Association for Psychological Science", "id" : "ITEM-1", "issue" : "2", "issued" : { "date-parts" : [ [ "2009" ] ] }, "page" : "162-176", "title" : "Impulse and Self-Control From a Dual-Systems Perspective.", "type" : "article-journal", "volume" : "4" }, "uris" : [ "http://www.mendeley.com/documents/?uuid=12a652a2-59d6-329d-9043-6f5aca92d192" ] } ], "mendeley" : { "formattedCitation" : "(W. Hofmann et al., 2009)", "manualFormatting" : "(Hofmann et al., 2009)", "plainTextFormattedCitation" : "(W. Hofmann et al., 2009)", "previouslyFormattedCitation" : "(W. Hofmann et al., 2009)" }, "properties" : { "noteIndex" : 0 }, "schema" : "https://github.com/citation-style-language/schema/raw/master/csl-citation.json" }</w:instrText>
      </w:r>
      <w:r w:rsidR="00B06E70">
        <w:rPr>
          <w:sz w:val="24"/>
          <w:szCs w:val="24"/>
        </w:rPr>
        <w:fldChar w:fldCharType="separate"/>
      </w:r>
      <w:r w:rsidR="00CE6FAE" w:rsidRPr="00CE6FAE">
        <w:rPr>
          <w:noProof/>
          <w:sz w:val="24"/>
          <w:szCs w:val="24"/>
        </w:rPr>
        <w:t>(Hofmann et al., 2009)</w:t>
      </w:r>
      <w:r w:rsidR="00B06E70">
        <w:rPr>
          <w:sz w:val="24"/>
          <w:szCs w:val="24"/>
        </w:rPr>
        <w:fldChar w:fldCharType="end"/>
      </w:r>
      <w:r w:rsidRPr="00D05EBD">
        <w:rPr>
          <w:sz w:val="24"/>
          <w:szCs w:val="24"/>
        </w:rPr>
        <w:t xml:space="preserve">. For example, research involving </w:t>
      </w:r>
      <w:r w:rsidRPr="00D05EBD">
        <w:rPr>
          <w:sz w:val="24"/>
          <w:szCs w:val="24"/>
        </w:rPr>
        <w:lastRenderedPageBreak/>
        <w:t xml:space="preserve">people who are trying to diet has found that when their cognitive resources are required by some other tasks, they are more likely to behave automatically, losing control on their diet restrictions and eating more </w:t>
      </w:r>
      <w:r w:rsidR="00B06E70">
        <w:rPr>
          <w:sz w:val="24"/>
          <w:szCs w:val="24"/>
        </w:rPr>
        <w:fldChar w:fldCharType="begin" w:fldLock="1"/>
      </w:r>
      <w:r w:rsidR="00261E90">
        <w:rPr>
          <w:sz w:val="24"/>
          <w:szCs w:val="24"/>
        </w:rPr>
        <w:instrText>ADDIN CSL_CITATION { "citationItems" : [ { "id" : "ITEM-1", "itemData" : { "DOI" : "10.1348/135910702169303", "ISBN" : "1359-107X", "ISSN" : "2044-8287", "PMID" : "14596713", "abstract" : "Theory. The present study examines the processes underlying the disinhibition of the eating behaviour of restrained eaters following negative emotions. Based on Herman and Polivy's (1984) Boundary Model and Wegner's Ironic Process Theory (1994), the limited capacity hypothesis is formulated, suggesting that overeating in restrained eaters results from cognitive capacity limitations. Predictions were that (1) impairment of cognitive capacity during eating will lead to overeating in restrained but not in unrestrained eaters and that (2) this difference should only emerge with food perceived to be high in calories.METHOD: The hypotheses were tested in an experiment with a 2 (restrained/unrestrained) x 2 (distraction yes/no) x 2 (perceived calories high/low) design, in which subjects consumed ice-cream in a taste test situation. Ice-cream consumption was the dependent variable.RESULTS: A second-order interaction was found: as predicted, in the high calorie condition restrained eaters ate the same amount as unrestrained eaters when not distracted, but considerably more when distracted. There was also an unexpected main effect of distraction, which indicated that restrained as well as unrestrained eaters ate more if distracted than if not distracted.DISCUSSION: The restraintxdistractionxperceived calories interaction can be explained by both the Ironic Process Theory and the Boundary Model; and the limited capacity hypothesis appears to be confirmed. The overall main effect of distraction remains puzzling. Two speculative views for the latter effect are offered.", "author" : [ { "dropping-particle" : "", "family" : "Boon", "given" : "Brigitte", "non-dropping-particle" : "", "parse-names" : false, "suffix" : "" }, { "dropping-particle" : "", "family" : "Stroebe", "given" : "Wolfgang", "non-dropping-particle" : "", "parse-names" : false, "suffix" : "" }, { "dropping-particle" : "", "family" : "Schut", "given" : "Henk", "non-dropping-particle" : "", "parse-names" : false, "suffix" : "" }, { "dropping-particle" : "", "family" : "Ijntema", "given" : "Richta", "non-dropping-particle" : "", "parse-names" : false, "suffix" : "" } ], "container-title" : "British journal of health psychology", "id" : "ITEM-1", "issue" : "1", "issued" : { "date-parts" : [ [ "2002" ] ] }, "page" : "1-10", "title" : "Ironic processes in the eating behaviour of restrained eaters.", "type" : "article-journal", "volume" : "7" }, "uris" : [ "http://www.mendeley.com/documents/?uuid=a56e8293-2a80-3848-b743-324baad5b655" ] }, { "id" : "ITEM-2", "itemData" : { "DOI" : "10.1037/0022-3514.78.4.753", "ISBN" : "0022-3514\\r1939-1315", "ISSN" : "0022-3514", "PMID" : "10794378", "abstract" : "Past research has shown that strong emotional or motivational states can cause normally restrained eaters to overeat. In this article it is argued that simple cognitive load can also disinhibit eating by restrained eaters. Two studies examined this disinhibition effect. In Study 1, restrained and unrestrained eaters were given the opportunity to consume high-calorie food while performing either a high cognitive-load or low cognitive-load task. Restrained eaters consumed more food when under high cognitive load than when under low cognitive load; unrestrained eaters showed the opposite pattern. Study 2 replicated the disinhibition effect and ruled out stress, diminished awareness of food consumption, and ironic rebound as probable mediators. Results suggest that cognitive load may disinhibit consumption by preventing restrained eaters from monitoring the dietary consequences of their eating behavior. Implications for theories of self-regulation are discussed.", "author" : [ { "dropping-particle" : "", "family" : "Ward", "given" : "Andrew", "non-dropping-particle" : "", "parse-names" : false, "suffix" : "" }, { "dropping-particle" : "", "family" : "Mann", "given" : "Traci", "non-dropping-particle" : "", "parse-names" : false, "suffix" : "" } ], "container-title" : "Journal of Personality and Social Psychology", "id" : "ITEM-2", "issue" : "4", "issued" : { "date-parts" : [ [ "2000" ] ] }, "page" : "753-63", "title" : "Don't mind if I do: disinhibited eating under cognitive load.", "type" : "article-journal", "volume" : "78" }, "uris" : [ "http://www.mendeley.com/documents/?uuid=ac9d4653-b365-3643-ac5b-b712cbe23643" ] } ], "mendeley" : { "formattedCitation" : "(Boon, Stroebe, Schut, &amp; Ijntema, 2002; Ward &amp; Mann, 2000)", "plainTextFormattedCitation" : "(Boon, Stroebe, Schut, &amp; Ijntema, 2002; Ward &amp; Mann, 2000)", "previouslyFormattedCitation" : "(Boon, Stroebe, Schut, &amp; Ijntema, 2002; Ward &amp; Mann, 2000)" }, "properties" : { "noteIndex" : 0 }, "schema" : "https://github.com/citation-style-language/schema/raw/master/csl-citation.json" }</w:instrText>
      </w:r>
      <w:r w:rsidR="00B06E70">
        <w:rPr>
          <w:sz w:val="24"/>
          <w:szCs w:val="24"/>
        </w:rPr>
        <w:fldChar w:fldCharType="separate"/>
      </w:r>
      <w:r w:rsidR="00261E90" w:rsidRPr="00973AEB">
        <w:rPr>
          <w:noProof/>
          <w:sz w:val="24"/>
          <w:szCs w:val="24"/>
        </w:rPr>
        <w:t>(Boon, Stroebe, Schut, &amp; Ijntema, 2002; Ward &amp; Mann, 2000)</w:t>
      </w:r>
      <w:r w:rsidR="00B06E70">
        <w:rPr>
          <w:sz w:val="24"/>
          <w:szCs w:val="24"/>
        </w:rPr>
        <w:fldChar w:fldCharType="end"/>
      </w:r>
      <w:r w:rsidRPr="00973AEB">
        <w:rPr>
          <w:sz w:val="24"/>
          <w:szCs w:val="24"/>
        </w:rPr>
        <w:t xml:space="preserve">. </w:t>
      </w:r>
      <w:r w:rsidRPr="00D05EBD">
        <w:rPr>
          <w:sz w:val="24"/>
          <w:szCs w:val="24"/>
        </w:rPr>
        <w:t>In a study by Boon and colleagues (2002), a radio conversation was used to distract participants while they were consuming ice-cream. The researchers found that participants who were distracted and had eating restrictions (e.g. were on a diet) consumed more ice-cream than participants who also had eating restrictions but were not distracted. Boon et al. concluded that not having full cognitive resources affects people’s attempts at controlling their behaviour. Having one’s cognitive resources demanded by a particular task may affect not only the behaviour of the person when performing another task happening concurrently, making the behaviour more automatic</w:t>
      </w:r>
      <w:r w:rsidR="00045700">
        <w:rPr>
          <w:sz w:val="24"/>
          <w:szCs w:val="24"/>
        </w:rPr>
        <w:t>,</w:t>
      </w:r>
      <w:r w:rsidRPr="00D05EBD">
        <w:rPr>
          <w:sz w:val="24"/>
          <w:szCs w:val="24"/>
        </w:rPr>
        <w:t xml:space="preserve"> but it can also affect the person’s thoughts and beliefs. For example, </w:t>
      </w:r>
      <w:r w:rsidR="00B06E70">
        <w:rPr>
          <w:sz w:val="24"/>
          <w:szCs w:val="24"/>
        </w:rPr>
        <w:fldChar w:fldCharType="begin" w:fldLock="1"/>
      </w:r>
      <w:r w:rsidR="00261E90">
        <w:rPr>
          <w:sz w:val="24"/>
          <w:szCs w:val="24"/>
        </w:rPr>
        <w:instrText>ADDIN CSL_CITATION { "citationItems" : [ { "id" : "ITEM-1", "itemData" : { "DOI" : "10.1037/0022-3514.60.4.509", "ISBN" : "0022-3514\\r1939-1315", "ISSN" : "0022-3514", "PMID" : "20090828", "abstract" : "Two studies with 182 White female college students investigated the effects of cognitive busyness on the activation and application of stereotypes. In Exp 1, not-busy Ss who were exposed to an Asian target showed evidence of stereotype activation, but busy Ss (who rehearsed an 8-digit number during their exposure) did not. In Exp 2, cognitive busyness once again inhibited the activation of stereotypes about Asians. However, when stereotype activation was allowed to occur, busy Ss (who performed a visual search task during their exposure) were more likely to apply these activated stereotypes than were not-busy Ss. Together, these findings suggest that cognitive busyness may decrease the likelihood that a particular stereotype will be activated but increase the likelihood that an activated stereotype will be applied. (PsycINFO Database Record (c) 2010 APA, all rights reserved)", "author" : [ { "dropping-particle" : "", "family" : "Gilbert", "given" : "Daniel T", "non-dropping-particle" : "", "parse-names" : false, "suffix" : "" }, { "dropping-particle" : "", "family" : "Hixon", "given" : "J Gregory", "non-dropping-particle" : "", "parse-names" : false, "suffix" : "" } ], "container-title" : "Journal of Personality and Social Psychology", "id" : "ITEM-1", "issue" : "4", "issued" : { "date-parts" : [ [ "1991" ] ] }, "page" : "509-517", "title" : "The trouble of thinking: Activation and application of stereotypic beliefs.", "type" : "article-journal", "volume" : "60" }, "uris" : [ "http://www.mendeley.com/documents/?uuid=a648db88-9e3c-304d-8831-40a52929f176" ] } ], "mendeley" : { "formattedCitation" : "(Gilbert &amp; Hixon, 1991)", "manualFormatting" : "Gilbert and Hixon (1991)", "plainTextFormattedCitation" : "(Gilbert &amp; Hixon, 1991)", "previouslyFormattedCitation" : "(Gilbert &amp; Hixon, 1991)" }, "properties" : { "noteIndex" : 0 }, "schema" : "https://github.com/citation-style-language/schema/raw/master/csl-citation.json" }</w:instrText>
      </w:r>
      <w:r w:rsidR="00B06E70">
        <w:rPr>
          <w:sz w:val="24"/>
          <w:szCs w:val="24"/>
        </w:rPr>
        <w:fldChar w:fldCharType="separate"/>
      </w:r>
      <w:r w:rsidR="00261E90" w:rsidRPr="00261E90">
        <w:rPr>
          <w:noProof/>
          <w:sz w:val="24"/>
          <w:szCs w:val="24"/>
        </w:rPr>
        <w:t>G</w:t>
      </w:r>
      <w:r w:rsidR="00261E90">
        <w:rPr>
          <w:noProof/>
          <w:sz w:val="24"/>
          <w:szCs w:val="24"/>
        </w:rPr>
        <w:t>ilbert and Hixon</w:t>
      </w:r>
      <w:r w:rsidR="00261E90" w:rsidRPr="00261E90">
        <w:rPr>
          <w:noProof/>
          <w:sz w:val="24"/>
          <w:szCs w:val="24"/>
        </w:rPr>
        <w:t xml:space="preserve"> </w:t>
      </w:r>
      <w:r w:rsidR="00261E90">
        <w:rPr>
          <w:noProof/>
          <w:sz w:val="24"/>
          <w:szCs w:val="24"/>
        </w:rPr>
        <w:t>(</w:t>
      </w:r>
      <w:r w:rsidR="00261E90" w:rsidRPr="00261E90">
        <w:rPr>
          <w:noProof/>
          <w:sz w:val="24"/>
          <w:szCs w:val="24"/>
        </w:rPr>
        <w:t>1991)</w:t>
      </w:r>
      <w:r w:rsidR="00B06E70">
        <w:rPr>
          <w:sz w:val="24"/>
          <w:szCs w:val="24"/>
        </w:rPr>
        <w:fldChar w:fldCharType="end"/>
      </w:r>
      <w:r w:rsidRPr="00D05EBD">
        <w:rPr>
          <w:sz w:val="24"/>
          <w:szCs w:val="24"/>
        </w:rPr>
        <w:t xml:space="preserve"> found that race stereotypes were more likely to be activated under high cognitive load. In their experiment, they asked their participants to rehearse an 8-digit number while watching a video of an Asian woman showing cards with words participants had to complete. The researchers found that participants who were cognitively busy completed the words with more Asian stereotypical words than participants who were not cognitively busy, thus having the Asian stereotype activated. Later, in a subsequent task, participants were asked to listen to the same Asian woman in a video describing a typical day in her life and to form an impression of her. Again, some participants were subjected to a cognitive load condition (counting letters on screen) while others were only instructed to normally watch the video of the Asian woman. Gilbert and </w:t>
      </w:r>
      <w:proofErr w:type="spellStart"/>
      <w:r w:rsidRPr="00D05EBD">
        <w:rPr>
          <w:sz w:val="24"/>
          <w:szCs w:val="24"/>
        </w:rPr>
        <w:t>Hixon</w:t>
      </w:r>
      <w:proofErr w:type="spellEnd"/>
      <w:r w:rsidRPr="00D05EBD">
        <w:rPr>
          <w:sz w:val="24"/>
          <w:szCs w:val="24"/>
        </w:rPr>
        <w:t xml:space="preserve"> found that participants who were under cognitive load applied stereotypical responses in the impression they formed of the Asian woman. The </w:t>
      </w:r>
      <w:r w:rsidRPr="00D05EBD">
        <w:rPr>
          <w:sz w:val="24"/>
          <w:szCs w:val="24"/>
        </w:rPr>
        <w:lastRenderedPageBreak/>
        <w:t>researchers suggest that being cognitively busy affects people’s awareness of their behaviour, making them, in this case, more prone to behave according to their stereotypical beliefs, as the automatic feature of stereotypes helps to ease the burden of information processing. These research examples illustrate that cognitive load tasks have a toll on people’s awareness, attention, and control over different kinds of behaviours and/or thoughts. It seems that when something is already requiring people’s self-control (e.g. controlling one’s eating behaviour during dieting, as in the case of Boon et al.</w:t>
      </w:r>
      <w:r w:rsidR="00DC6D67">
        <w:rPr>
          <w:sz w:val="24"/>
          <w:szCs w:val="24"/>
        </w:rPr>
        <w:t>,</w:t>
      </w:r>
      <w:r w:rsidRPr="00D05EBD">
        <w:rPr>
          <w:sz w:val="24"/>
          <w:szCs w:val="24"/>
        </w:rPr>
        <w:t xml:space="preserve"> 2002), and therefore the person’s cognitive resources, a simultaneous demand of cognitive resources, affects the former behaviour (controlling food consumption), making it happen in a more automatic fashion. </w:t>
      </w:r>
      <w:r w:rsidRPr="00D05EBD">
        <w:rPr>
          <w:sz w:val="24"/>
          <w:szCs w:val="24"/>
          <w:u w:val="single"/>
        </w:rPr>
        <w:t xml:space="preserve"> </w:t>
      </w:r>
    </w:p>
    <w:p w:rsidR="00FB1389" w:rsidRPr="00D05EBD" w:rsidRDefault="00FB1389" w:rsidP="00AE640B">
      <w:pPr>
        <w:spacing w:line="480" w:lineRule="auto"/>
        <w:ind w:firstLine="720"/>
        <w:jc w:val="both"/>
        <w:rPr>
          <w:sz w:val="24"/>
          <w:szCs w:val="24"/>
        </w:rPr>
      </w:pPr>
      <w:r w:rsidRPr="00D05EBD">
        <w:rPr>
          <w:sz w:val="24"/>
          <w:szCs w:val="24"/>
        </w:rPr>
        <w:t xml:space="preserve">In order to elicit automaticity, in the present chapter it is reasoned that the IER strategies participants engage in while having short duration dates, would likely be affected by a cognitive load task provided by the experimenter, by making the IER strategies occur in a more automatic and less controlled way. Based on Gilbert and </w:t>
      </w:r>
      <w:proofErr w:type="spellStart"/>
      <w:r w:rsidRPr="00D05EBD">
        <w:rPr>
          <w:sz w:val="24"/>
          <w:szCs w:val="24"/>
        </w:rPr>
        <w:t>Hixon’s</w:t>
      </w:r>
      <w:proofErr w:type="spellEnd"/>
      <w:r w:rsidRPr="00D05EBD">
        <w:rPr>
          <w:sz w:val="24"/>
          <w:szCs w:val="24"/>
        </w:rPr>
        <w:t xml:space="preserve"> (1991) research, in the present chapter, the 8-digit retention task will be used to place cognitive load on participants while having their dates (more detail on this task will be provided in the method section). </w:t>
      </w:r>
    </w:p>
    <w:p w:rsidR="00FB1389" w:rsidRPr="00D05EBD" w:rsidRDefault="00FB1389" w:rsidP="00AE640B">
      <w:pPr>
        <w:spacing w:line="480" w:lineRule="auto"/>
        <w:ind w:firstLine="720"/>
        <w:jc w:val="both"/>
        <w:rPr>
          <w:b/>
          <w:sz w:val="24"/>
          <w:szCs w:val="24"/>
        </w:rPr>
      </w:pPr>
      <w:r w:rsidRPr="00D05EBD">
        <w:rPr>
          <w:b/>
          <w:sz w:val="24"/>
          <w:szCs w:val="24"/>
        </w:rPr>
        <w:t>5.2 Interpersonal emotion regulation in romantic interactions</w:t>
      </w:r>
    </w:p>
    <w:p w:rsidR="00FB1389" w:rsidRPr="00D05EBD" w:rsidRDefault="00FB1389" w:rsidP="00555F94">
      <w:pPr>
        <w:spacing w:line="480" w:lineRule="auto"/>
        <w:ind w:firstLine="720"/>
        <w:jc w:val="both"/>
        <w:rPr>
          <w:i/>
          <w:sz w:val="24"/>
          <w:szCs w:val="24"/>
        </w:rPr>
      </w:pPr>
      <w:r w:rsidRPr="00D05EBD">
        <w:rPr>
          <w:sz w:val="24"/>
          <w:szCs w:val="24"/>
        </w:rPr>
        <w:t>The previous chapters have explored different interpersonal contexts where AIER may happen. For example, close relationships and relationships with acquaintances (Chapter 2) and, hypothetical encounters with strangers and romantic ex-partners (Chapter 3)</w:t>
      </w:r>
      <w:r w:rsidRPr="00D05EBD">
        <w:rPr>
          <w:i/>
          <w:sz w:val="24"/>
          <w:szCs w:val="24"/>
        </w:rPr>
        <w:t xml:space="preserve">. </w:t>
      </w:r>
      <w:r w:rsidRPr="00D05EBD">
        <w:rPr>
          <w:sz w:val="24"/>
          <w:szCs w:val="24"/>
        </w:rPr>
        <w:t xml:space="preserve">One context that offers a good opportunity to observe IER is romantic interactions. Research studies of romantic interactions have found evidence of different </w:t>
      </w:r>
      <w:r w:rsidRPr="00D05EBD">
        <w:rPr>
          <w:sz w:val="24"/>
          <w:szCs w:val="24"/>
        </w:rPr>
        <w:lastRenderedPageBreak/>
        <w:t xml:space="preserve">IER strategies occurring, such as flattery and silent treatment </w:t>
      </w:r>
      <w:r w:rsidR="00B06E70">
        <w:rPr>
          <w:sz w:val="24"/>
          <w:szCs w:val="24"/>
        </w:rPr>
        <w:fldChar w:fldCharType="begin" w:fldLock="1"/>
      </w:r>
      <w:r w:rsidR="00A22502">
        <w:rPr>
          <w:sz w:val="24"/>
          <w:szCs w:val="24"/>
        </w:rPr>
        <w:instrText>ADDIN CSL_CITATION { "citationItems" : [ { "id" : "ITEM-1", "itemData" : { "DOI" : "10.1111/j.1467-6494.1992.tb00981.x", "ISBN" : "0022-3506 (Print)\\r0022-3506 (Linking)", "ISSN" : "0022-3506", "PMID" : "1635051", "abstract" : "This research had three basic goals: (a) to identify manipulation tactics used in close relationships; (b) to document empirically the degree of generality and specificity of tactical deployment across relationship types (mates, friends, parents); and (c) to identify links between five major personality dimensions and the usage of manipulation tactics. Twelve manipulation tactics were identified through separate factor analyses of two instruments based on different data sources: Charm, Reason, Coercion, Silent Treatment, Debasement, and Regression (replicating Buss et al., 1987), and Responsibility Invocation, Reciprocity, Monetary Reward, Pleasure Induction, Social Comparison, and Hardball (an amalgam of threats, lies, and violence). The Big Five personality factors were assessed through three separate data sources: self-report, spouse report, and two independent interviewers. Personality factors showed coherent links with tactics, including Surgency (Coercion, Responsibility, Invocation), Desurgency (Debasement), Agreeableness (Pleasure Induction), Disagreeableness (Coercion), Conscientiousness (Reason), Emotional Instability (Regression), and Intellect-Openness (Reason). Discussion focuses on the consequences of the five personality factors for social interaction in close relationships.", "author" : [ { "dropping-particle" : "", "family" : "Buss", "given" : "David M", "non-dropping-particle" : "", "parse-names" : false, "suffix" : "" } ], "container-title" : "Journal of personality", "id" : "ITEM-1", "issue" : "2", "issued" : { "date-parts" : [ [ "1992" ] ] }, "page" : "477-499", "title" : "Manipulation in close relationships: five personality factors in interactional context.", "type" : "article-journal", "volume" : "60" }, "uris" : [ "http://www.mendeley.com/documents/?uuid=5447f3e5-31f7-3a28-9ee7-3efdeeb5920e" ] } ], "mendeley" : { "formattedCitation" : "(Buss, 1992)", "plainTextFormattedCitation" : "(Buss, 1992)", "previouslyFormattedCitation" : "(Buss, 1992)" }, "properties" : { "noteIndex" : 0 }, "schema" : "https://github.com/citation-style-language/schema/raw/master/csl-citation.json" }</w:instrText>
      </w:r>
      <w:r w:rsidR="00B06E70">
        <w:rPr>
          <w:sz w:val="24"/>
          <w:szCs w:val="24"/>
        </w:rPr>
        <w:fldChar w:fldCharType="separate"/>
      </w:r>
      <w:r w:rsidR="00A22502" w:rsidRPr="00A22502">
        <w:rPr>
          <w:noProof/>
          <w:sz w:val="24"/>
          <w:szCs w:val="24"/>
        </w:rPr>
        <w:t>(Buss, 1992)</w:t>
      </w:r>
      <w:r w:rsidR="00B06E70">
        <w:rPr>
          <w:sz w:val="24"/>
          <w:szCs w:val="24"/>
        </w:rPr>
        <w:fldChar w:fldCharType="end"/>
      </w:r>
      <w:r w:rsidRPr="00D05EBD">
        <w:rPr>
          <w:sz w:val="24"/>
          <w:szCs w:val="24"/>
        </w:rPr>
        <w:t xml:space="preserve">, guilt </w:t>
      </w:r>
      <w:r w:rsidR="00B06E70">
        <w:rPr>
          <w:sz w:val="24"/>
          <w:szCs w:val="24"/>
        </w:rPr>
        <w:fldChar w:fldCharType="begin" w:fldLock="1"/>
      </w:r>
      <w:r w:rsidR="009A61C7">
        <w:rPr>
          <w:sz w:val="24"/>
          <w:szCs w:val="24"/>
        </w:rPr>
        <w:instrText>ADDIN CSL_CITATION { "citationItems" : [ { "id" : "ITEM-1", "itemData" : { "DOI" : "10.1111/j.1468-2958.1991.tb00527.x", "ISBN" : "1468-2958", "ISSN" : "0360-3989", "abstract" : "Communication plays an important role in eliciting and shaping people's emotions. Yet surprisingly little empirical or conceptual work has explored how social interaction encourages or discourages various emotions. This article summarizes a series of four studies which examined how people, in conversations, go about generating one emotion\u2014that of guilt\u2014in others. In the first study, a typology of 12 guilt moves was inductively devised. The most common ways of making another feel guilty were: reminding the other of his or her obligation to a relationship, listing sacrifices one has made for the other, reminding the other of his or her role responsibilities, comparing the other to someone else, and questioning the other. The primary reason for using guilt in conversations was persuasion. In the second study, the typology's generalizability was confirmed. Findings also revealed that the likelihood of using guilt in conversations increases with greater relationship intimacy and that people believe others are more likely to use guilt than themselves. The 12 techniques for guilt elicitation were examined in the third study for their independence and dimensionality via multidimensional scaling. The results suggest three underlying dimensions (self-nonself, acquiescence-restrictiveness, and commission-omission) and six potential clusters. The final study conceptualized guilt elicitation and sensitivity as individual differences. A brief, multifactor scale of individuals\u2019 tendency to use guilt, to use it with ease, and to be susceptible to guilt moves was developed. The three dimensions correlated significantly with a number of communication-focused personality variables.", "author" : [ { "dropping-particle" : "", "family" : "Vangelisti", "given" : "Anita L", "non-dropping-particle" : "", "parse-names" : false, "suffix" : "" }, { "dropping-particle" : "", "family" : "Daly", "given" : "John A", "non-dropping-particle" : "", "parse-names" : false, "suffix" : "" }, { "dropping-particle" : "", "family" : "Rudnick", "given" : "Janine", "non-dropping-particle" : "", "parse-names" : false, "suffix" : "" } ], "container-title" : "Human communication research", "id" : "ITEM-1", "issue" : "1", "issued" : { "date-parts" : [ [ "1991" ] ] }, "page" : "3-39", "title" : "Making people feel guilty in conversations", "type" : "article-journal", "volume" : "18" }, "uris" : [ "http://www.mendeley.com/documents/?uuid=87813a28-d3ac-3702-9d5e-1f556fdf7f9a" ] } ], "mendeley" : { "formattedCitation" : "(Vangelisti et al., 1991)", "plainTextFormattedCitation" : "(Vangelisti et al., 1991)", "previouslyFormattedCitation" : "(Vangelisti et al., 1991)" }, "properties" : { "noteIndex" : 0 }, "schema" : "https://github.com/citation-style-language/schema/raw/master/csl-citation.json" }</w:instrText>
      </w:r>
      <w:r w:rsidR="00B06E70">
        <w:rPr>
          <w:sz w:val="24"/>
          <w:szCs w:val="24"/>
        </w:rPr>
        <w:fldChar w:fldCharType="separate"/>
      </w:r>
      <w:r w:rsidR="00A22502" w:rsidRPr="00A22502">
        <w:rPr>
          <w:noProof/>
          <w:sz w:val="24"/>
          <w:szCs w:val="24"/>
        </w:rPr>
        <w:t>(Vangelisti et al., 1991)</w:t>
      </w:r>
      <w:r w:rsidR="00B06E70">
        <w:rPr>
          <w:sz w:val="24"/>
          <w:szCs w:val="24"/>
        </w:rPr>
        <w:fldChar w:fldCharType="end"/>
      </w:r>
      <w:r w:rsidRPr="00D05EBD">
        <w:rPr>
          <w:sz w:val="24"/>
          <w:szCs w:val="24"/>
        </w:rPr>
        <w:t>, criticism (</w:t>
      </w:r>
      <w:proofErr w:type="spellStart"/>
      <w:r w:rsidRPr="00D05EBD">
        <w:rPr>
          <w:sz w:val="24"/>
          <w:szCs w:val="24"/>
        </w:rPr>
        <w:t>Gottman</w:t>
      </w:r>
      <w:proofErr w:type="spellEnd"/>
      <w:r w:rsidRPr="00D05EBD">
        <w:rPr>
          <w:sz w:val="24"/>
          <w:szCs w:val="24"/>
        </w:rPr>
        <w:t xml:space="preserve">, 1994), to name some examples. </w:t>
      </w:r>
      <w:r w:rsidR="00555F94">
        <w:rPr>
          <w:sz w:val="24"/>
          <w:szCs w:val="24"/>
        </w:rPr>
        <w:t>Therefore, i</w:t>
      </w:r>
      <w:r w:rsidRPr="00D05EBD">
        <w:rPr>
          <w:sz w:val="24"/>
          <w:szCs w:val="24"/>
        </w:rPr>
        <w:t>n romantic interaction</w:t>
      </w:r>
      <w:r w:rsidR="00555F94">
        <w:rPr>
          <w:sz w:val="24"/>
          <w:szCs w:val="24"/>
        </w:rPr>
        <w:t xml:space="preserve">s, both </w:t>
      </w:r>
      <w:r w:rsidRPr="00D05EBD">
        <w:rPr>
          <w:sz w:val="24"/>
          <w:szCs w:val="24"/>
        </w:rPr>
        <w:t>improving and worsening IER strategies</w:t>
      </w:r>
      <w:r w:rsidR="00555F94">
        <w:rPr>
          <w:sz w:val="24"/>
          <w:szCs w:val="24"/>
        </w:rPr>
        <w:t xml:space="preserve"> may occur. C</w:t>
      </w:r>
      <w:r w:rsidRPr="00D05EBD">
        <w:rPr>
          <w:sz w:val="24"/>
          <w:szCs w:val="24"/>
        </w:rPr>
        <w:t xml:space="preserve">ouples engage in behaviours aimed at improving the emotions of someone else to create and maintain a bond and strengthen a relationship </w:t>
      </w:r>
      <w:r w:rsidR="00B06E70">
        <w:rPr>
          <w:sz w:val="24"/>
          <w:szCs w:val="24"/>
        </w:rPr>
        <w:fldChar w:fldCharType="begin" w:fldLock="1"/>
      </w:r>
      <w:r w:rsidR="009A61C7">
        <w:rPr>
          <w:sz w:val="24"/>
          <w:szCs w:val="24"/>
        </w:rPr>
        <w:instrText>ADDIN CSL_CITATION { "citationItems" : [ { "id" : "ITEM-1", "itemData" : { "DOI" : "10.1037/a0028723", "ISBN" : "1939-1315", "ISSN" : "1939-1315", "PMID" : "22642482", "abstract" : "This multimethod series of studies merges the literatures on gratitude and risk regulation to test a new process model of gratitude and relationship maintenance. We develop a measure of appreciation in relationships and use cross-sectional, daily experience, observational, and longitudinal methods to test our model. Across studies, we show that people who feel more appreciated by their romantic partners report being more appreciative of their partners. In turn, people who are more appreciative of their partners report being more responsive to their partners' needs (Study 1), and are more committed and more likely to remain in their relationships over time (Study 2). Appreciative partners are also rated by outside observers as relatively more responsive and committed during dyadic interactions in the laboratory, and these behavioral displays are one way in which appreciation is transmitted from one partner to the other (Study 3). These findings provide evidence that gratitude is important for the successful maintenance of intimate bonds.", "author" : [ { "dropping-particle" : "", "family" : "Gordon", "given" : "Amie M", "non-dropping-particle" : "", "parse-names" : false, "suffix" : "" }, { "dropping-particle" : "", "family" : "Impett", "given" : "Emily A", "non-dropping-particle" : "", "parse-names" : false, "suffix" : "" }, { "dropping-particle" : "", "family" : "Kogan", "given" : "Aleksandr", "non-dropping-particle" : "", "parse-names" : false, "suffix" : "" }, { "dropping-particle" : "", "family" : "Oveis", "given" : "Christopher", "non-dropping-particle" : "", "parse-names" : false, "suffix" : "" }, { "dropping-particle" : "", "family" : "Keltner", "given" : "Dacher", "non-dropping-particle" : "", "parse-names" : false, "suffix" : "" } ], "container-title" : "Journal of Personality and Social Psychology", "id" : "ITEM-1", "issue" : "2", "issued" : { "date-parts" : [ [ "2012" ] ] }, "page" : "257-74", "title" : "To have and to hold: gratitude promotes relationship maintenance in intimate bonds.", "type" : "article-journal", "volume" : "103" }, "uris" : [ "http://www.mendeley.com/documents/?uuid=63a1cba0-e18b-33f5-a5c9-c7ee9b2676a6" ] } ], "mendeley" : { "formattedCitation" : "(Gordon, Impett, Kogan, Oveis, &amp; Keltner, 2012)", "plainTextFormattedCitation" : "(Gordon, Impett, Kogan, Oveis, &amp; Keltner, 2012)", "previouslyFormattedCitation" : "(Gordon, Impett, Kogan, Oveis, &amp; Keltner, 2012)" }, "properties" : { "noteIndex" : 0 }, "schema" : "https://github.com/citation-style-language/schema/raw/master/csl-citation.json" }</w:instrText>
      </w:r>
      <w:r w:rsidR="00B06E70">
        <w:rPr>
          <w:sz w:val="24"/>
          <w:szCs w:val="24"/>
        </w:rPr>
        <w:fldChar w:fldCharType="separate"/>
      </w:r>
      <w:r w:rsidR="009A61C7" w:rsidRPr="009A61C7">
        <w:rPr>
          <w:noProof/>
          <w:sz w:val="24"/>
          <w:szCs w:val="24"/>
        </w:rPr>
        <w:t>(Gordon, Impett, Kogan, Oveis, &amp; Keltner, 2012)</w:t>
      </w:r>
      <w:r w:rsidR="00B06E70">
        <w:rPr>
          <w:sz w:val="24"/>
          <w:szCs w:val="24"/>
        </w:rPr>
        <w:fldChar w:fldCharType="end"/>
      </w:r>
      <w:r w:rsidRPr="00D05EBD">
        <w:rPr>
          <w:sz w:val="24"/>
          <w:szCs w:val="24"/>
        </w:rPr>
        <w:t>. But couples can also engage in behaviours that worsen the emotions of others and deteriorate the relationship and/or bond, especially when the levels of satisfaction in the relationship are low</w:t>
      </w:r>
      <w:r w:rsidR="009A61C7">
        <w:rPr>
          <w:sz w:val="24"/>
          <w:szCs w:val="24"/>
        </w:rPr>
        <w:t xml:space="preserve"> </w:t>
      </w:r>
      <w:r w:rsidR="00B06E70">
        <w:rPr>
          <w:sz w:val="24"/>
          <w:szCs w:val="24"/>
        </w:rPr>
        <w:fldChar w:fldCharType="begin" w:fldLock="1"/>
      </w:r>
      <w:r w:rsidR="0063762E">
        <w:rPr>
          <w:sz w:val="24"/>
          <w:szCs w:val="24"/>
        </w:rPr>
        <w:instrText>ADDIN CSL_CITATION { "citationItems" : [ { "id" : "ITEM-1", "itemData" : { "DOI" : "10.1037/0893-3200.14.1.42", "ISBN" : "0893-3200, 0893-3200", "ISSN" : "0893-3200", "PMID" : "10740681", "abstract" : "A longitudinal study with 95 newlywed couples examined the power of the Oral History Interview to predict stable marital relationships and divorce. A principal-components analysis of the interview with the couples (Time 1) identified a latent variable, perceived marital bond, that was significant in predicting which couples would remain married or divorce within the first 5 years of their marriage. A discriminant function analysis of the newlywed oral history data predicted, with 87.4% accuracy, those couples whose marriages remained intact or broke up at the Time 2 data collection point. The oral history data predicted with 81% accuracy those couples who remained married or divorced at the Time 3 data collection point. This study offers support for causal linkages between perceptual biases and selective attention on the path of marriage.", "author" : [ { "dropping-particle" : "", "family" : "Carr\u00e8re", "given" : "S", "non-dropping-particle" : "", "parse-names" : false, "suffix" : "" }, { "dropping-particle" : "", "family" : "Buehlman", "given" : "K T", "non-dropping-particle" : "", "parse-names" : false, "suffix" : "" }, { "dropping-particle" : "", "family" : "Gottman", "given" : "J M", "non-dropping-particle" : "", "parse-names" : false, "suffix" : "" }, { "dropping-particle" : "", "family" : "Coan", "given" : "J a", "non-dropping-particle" : "", "parse-names" : false, "suffix" : "" }, { "dropping-particle" : "", "family" : "Ruckstuhl", "given" : "L", "non-dropping-particle" : "", "parse-names" : false, "suffix" : "" } ], "container-title" : "Journal of family psychology", "id" : "ITEM-1", "issue" : "1", "issued" : { "date-parts" : [ [ "2000" ] ] }, "page" : "42-58", "title" : "Predicting marital stability and divorce in newlywed couples.", "type" : "article-journal", "volume" : "14" }, "uris" : [ "http://www.mendeley.com/documents/?uuid=c4326c80-5c52-4755-806a-3546c8d30771" ] } ], "mendeley" : { "formattedCitation" : "(Carr\u00e8re, Buehlman, Gottman, Coan, &amp; Ruckstuhl, 2000)", "plainTextFormattedCitation" : "(Carr\u00e8re, Buehlman, Gottman, Coan, &amp; Ruckstuhl, 2000)", "previouslyFormattedCitation" : "(Carr\u00e8re, Buehlman, Gottman, Coan, &amp; Ruckstuhl, 2000)" }, "properties" : { "noteIndex" : 0 }, "schema" : "https://github.com/citation-style-language/schema/raw/master/csl-citation.json" }</w:instrText>
      </w:r>
      <w:r w:rsidR="00B06E70">
        <w:rPr>
          <w:sz w:val="24"/>
          <w:szCs w:val="24"/>
        </w:rPr>
        <w:fldChar w:fldCharType="separate"/>
      </w:r>
      <w:r w:rsidR="009A61C7" w:rsidRPr="009A61C7">
        <w:rPr>
          <w:noProof/>
          <w:sz w:val="24"/>
          <w:szCs w:val="24"/>
        </w:rPr>
        <w:t>(Carrère, Buehlman, Gottman, Coan, &amp; Ruckstuhl, 2000)</w:t>
      </w:r>
      <w:r w:rsidR="00B06E70">
        <w:rPr>
          <w:sz w:val="24"/>
          <w:szCs w:val="24"/>
        </w:rPr>
        <w:fldChar w:fldCharType="end"/>
      </w:r>
      <w:r w:rsidRPr="00D05EBD">
        <w:rPr>
          <w:sz w:val="24"/>
          <w:szCs w:val="24"/>
        </w:rPr>
        <w:t>.</w:t>
      </w:r>
    </w:p>
    <w:p w:rsidR="00FB1389" w:rsidRPr="00D05EBD" w:rsidRDefault="00FB1389" w:rsidP="00AE640B">
      <w:pPr>
        <w:spacing w:line="480" w:lineRule="auto"/>
        <w:ind w:firstLine="720"/>
        <w:jc w:val="both"/>
        <w:rPr>
          <w:sz w:val="24"/>
          <w:szCs w:val="24"/>
        </w:rPr>
      </w:pPr>
      <w:r w:rsidRPr="00D05EBD">
        <w:rPr>
          <w:sz w:val="24"/>
          <w:szCs w:val="24"/>
        </w:rPr>
        <w:t xml:space="preserve">A novel method that has increasingly been used to study interpersonal phenomena is the use of speed dating events. Speed dating designs have been successfully used to study romantic interaction </w:t>
      </w:r>
      <w:r w:rsidR="00B06E70">
        <w:rPr>
          <w:sz w:val="24"/>
          <w:szCs w:val="24"/>
        </w:rPr>
        <w:fldChar w:fldCharType="begin" w:fldLock="1"/>
      </w:r>
      <w:r w:rsidR="0063762E">
        <w:rPr>
          <w:sz w:val="24"/>
          <w:szCs w:val="24"/>
        </w:rPr>
        <w:instrText>ADDIN CSL_CITATION { "citationItems" : [ { "id" : "ITEM-1", "itemData" : { "DOI" : "10.1111/j.1475-6811.2006.00146.x", "ISSN" : "1350-4126", "abstract" : "Research on initial romantic attraction flourished in the 1960s and 1970s but has now been partially eclipsed by research on close relationships. The authors argue that speed-dating procedures, in which participants attend an event where they experience brief \u2018\u2018dates\u2019\u2019 with a series of potential romantic partners, permit researchers to \u2018\u2018retro- fit\u2019\u2019 the advances of close relationships research to the study of initial romantic attraction. Speed-dating procedures also allow for strong tests of many fundamental attraction-related hypotheses and, via longitudinal follow-ups, could unify the fields of initial romantic attraction and close relationships. This article will help investigators conduct speed-dating studies by addressing the methodological and logistical issues they will face and by illustrating proce- dures with a description of the Northwestern Speed-Dating Study.", "author" : [ { "dropping-particle" : "", "family" : "Finkel", "given" : "Eli J", "non-dropping-particle" : "", "parse-names" : false, "suffix" : "" }, { "dropping-particle" : "", "family" : "Eastwick", "given" : "Paul W", "non-dropping-particle" : "", "parse-names" : false, "suffix" : "" }, { "dropping-particle" : "", "family" : "Matthews", "given" : "Jacob", "non-dropping-particle" : "", "parse-names" : false, "suffix" : "" } ], "container-title" : "Personal Relationships", "id" : "ITEM-1", "issued" : { "date-parts" : [ [ "2007" ] ] }, "page" : "149-166", "title" : "Speed dating as an invaluable tool for studying romantic attraction: A methological primer", "type" : "article-journal", "volume" : "14" }, "uris" : [ "http://www.mendeley.com/documents/?uuid=528da7ed-d308-33f2-a425-66be05accf28" ] } ], "mendeley" : { "formattedCitation" : "(Finkel, Eastwick, &amp; Matthews, 2007)", "plainTextFormattedCitation" : "(Finkel, Eastwick, &amp; Matthews, 2007)", "previouslyFormattedCitation" : "(Finkel, Eastwick, &amp; Matthews, 2007)" }, "properties" : { "noteIndex" : 0 }, "schema" : "https://github.com/citation-style-language/schema/raw/master/csl-citation.json" }</w:instrText>
      </w:r>
      <w:r w:rsidR="00B06E70">
        <w:rPr>
          <w:sz w:val="24"/>
          <w:szCs w:val="24"/>
        </w:rPr>
        <w:fldChar w:fldCharType="separate"/>
      </w:r>
      <w:r w:rsidR="0063762E" w:rsidRPr="0063762E">
        <w:rPr>
          <w:noProof/>
          <w:sz w:val="24"/>
          <w:szCs w:val="24"/>
        </w:rPr>
        <w:t>(Finkel, Eastwick, &amp; Matthews, 2007)</w:t>
      </w:r>
      <w:r w:rsidR="00B06E70">
        <w:rPr>
          <w:sz w:val="24"/>
          <w:szCs w:val="24"/>
        </w:rPr>
        <w:fldChar w:fldCharType="end"/>
      </w:r>
      <w:r w:rsidRPr="00D05EBD">
        <w:rPr>
          <w:sz w:val="24"/>
          <w:szCs w:val="24"/>
        </w:rPr>
        <w:t xml:space="preserve">, affective presence </w:t>
      </w:r>
      <w:r w:rsidR="00B06E70">
        <w:rPr>
          <w:sz w:val="24"/>
          <w:szCs w:val="24"/>
        </w:rPr>
        <w:fldChar w:fldCharType="begin" w:fldLock="1"/>
      </w:r>
      <w:r w:rsidR="0063762E">
        <w:rPr>
          <w:sz w:val="24"/>
          <w:szCs w:val="24"/>
        </w:rPr>
        <w:instrText>ADDIN CSL_CITATION { "citationItems" : [ { "id" : "ITEM-1", "itemData" : { "DOI" : "10.1002/per.1944", "ISSN" : "10990984", "PMID" : "25750481", "abstract" : "Recent research indicates that people consistently make others feel a certain way (e.g. happy or stressed). This individual difference has been termed affective presence, but little is known about its correlates or consequences. The present study investigated the following: (i) whether affective presence influences others' romantic interest in a person and (ii) what types of people have positive and negative affective presence. Forty volunteers took part in a speed-dating event, during which they dated six or seven opposite-sex partners. A Social Relations Model analysis confirmed that individuals prompted consistent positive emotional reactions in others. Participants were more likely to want to see dates with greater positive affective presence again in the future, and positive affective presence explained the effects of perceived responsiveness on romantic interest. Associations between positive affective presence and trait predictors, including emotion regulation, emotional expressiveness, attachment style, agreeableness and extraversion, were also observed. The findings indicate that what emotionally distinguishes one individual from another lies in part in the emotional consequences of their behaviours on others. \u00a9 2013 The Authors. European Journal of Personality published by John Wiley &amp; Sons Ltd on behalf of European Association of Personality Psychology.", "author" : [ { "dropping-particle" : "", "family" : "Berrios", "given" : "Raul", "non-dropping-particle" : "", "parse-names" : false, "suffix" : "" }, { "dropping-particle" : "", "family" : "Totterdell", "given" : "Peter", "non-dropping-particle" : "", "parse-names" : false, "suffix" : "" }, { "dropping-particle" : "", "family" : "Niven", "given" : "Karen", "non-dropping-particle" : "", "parse-names" : false, "suffix" : "" } ], "container-title" : "European Journal of Personality", "id" : "ITEM-1", "issue" : "1", "issued" : { "date-parts" : [ [ "2013" ] ] }, "page" : "72-82", "title" : "Why Do You Make Us Feel Good? Correlates and Interpersonal Consequences of Affective Presence in Speed-dating", "type" : "article-journal", "volume" : "29" }, "uris" : [ "http://www.mendeley.com/documents/?uuid=518321b5-3b13-4217-a483-d3f0625c26bb" ] } ], "mendeley" : { "formattedCitation" : "(Berrios, Totterdell, &amp; Niven, 2013)", "plainTextFormattedCitation" : "(Berrios, Totterdell, &amp; Niven, 2013)", "previouslyFormattedCitation" : "(Berrios, Totterdell, &amp; Niven, 2013)" }, "properties" : { "noteIndex" : 0 }, "schema" : "https://github.com/citation-style-language/schema/raw/master/csl-citation.json" }</w:instrText>
      </w:r>
      <w:r w:rsidR="00B06E70">
        <w:rPr>
          <w:sz w:val="24"/>
          <w:szCs w:val="24"/>
        </w:rPr>
        <w:fldChar w:fldCharType="separate"/>
      </w:r>
      <w:r w:rsidR="0063762E" w:rsidRPr="0063762E">
        <w:rPr>
          <w:noProof/>
          <w:sz w:val="24"/>
          <w:szCs w:val="24"/>
        </w:rPr>
        <w:t>(Berrios, Totterdell, &amp; Niven, 2013)</w:t>
      </w:r>
      <w:r w:rsidR="00B06E70">
        <w:rPr>
          <w:sz w:val="24"/>
          <w:szCs w:val="24"/>
        </w:rPr>
        <w:fldChar w:fldCharType="end"/>
      </w:r>
      <w:r w:rsidRPr="00D05EBD">
        <w:rPr>
          <w:sz w:val="24"/>
          <w:szCs w:val="24"/>
        </w:rPr>
        <w:t xml:space="preserve">, sex differences in romantic preferences </w:t>
      </w:r>
      <w:r w:rsidR="00B06E70">
        <w:rPr>
          <w:sz w:val="24"/>
          <w:szCs w:val="24"/>
        </w:rPr>
        <w:fldChar w:fldCharType="begin" w:fldLock="1"/>
      </w:r>
      <w:r w:rsidR="0063762E">
        <w:rPr>
          <w:sz w:val="24"/>
          <w:szCs w:val="24"/>
        </w:rPr>
        <w:instrText>ADDIN CSL_CITATION { "citationItems" : [ { "id" : "ITEM-1",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 "author" : [ { "dropping-particle" : "", "family" : "Eastwick", "given" : "Paul W", "non-dropping-particle" : "", "parse-names" : false, "suffix" : "" }, { "dropping-particle" : "", "family" : "Finkel", "given" : "Eli J.", "non-dropping-particle" : "", "parse-names" : false, "suffix" : "" } ], "container-title" : "Current Directions in Psychological Science", "id" : "ITEM-1", "issue" : "3", "issued" : { "date-parts" : [ [ "2008" ] ] }, "page" : "193-197", "title" : "Speed-Dating", "type" : "article-journal", "volume" : "17" }, "uris" : [ "http://www.mendeley.com/documents/?uuid=3dc62c2e-f15b-3d4b-9f3c-319d6cd2db7f" ] } ], "mendeley" : { "formattedCitation" : "(Eastwick &amp; Finkel, 2008)", "plainTextFormattedCitation" : "(Eastwick &amp; Finkel, 2008)", "previouslyFormattedCitation" : "(Eastwick &amp; Finkel, 2008)" }, "properties" : { "noteIndex" : 0 }, "schema" : "https://github.com/citation-style-language/schema/raw/master/csl-citation.json" }</w:instrText>
      </w:r>
      <w:r w:rsidR="00B06E70">
        <w:rPr>
          <w:sz w:val="24"/>
          <w:szCs w:val="24"/>
        </w:rPr>
        <w:fldChar w:fldCharType="separate"/>
      </w:r>
      <w:r w:rsidR="0063762E" w:rsidRPr="0063762E">
        <w:rPr>
          <w:noProof/>
          <w:sz w:val="24"/>
          <w:szCs w:val="24"/>
        </w:rPr>
        <w:t>(Eastwick &amp; Finkel, 2008)</w:t>
      </w:r>
      <w:r w:rsidR="00B06E70">
        <w:rPr>
          <w:sz w:val="24"/>
          <w:szCs w:val="24"/>
        </w:rPr>
        <w:fldChar w:fldCharType="end"/>
      </w:r>
      <w:r w:rsidRPr="00D05EBD">
        <w:rPr>
          <w:sz w:val="24"/>
          <w:szCs w:val="24"/>
        </w:rPr>
        <w:t>, to name some examples. Speed dating procedures consist of a series of short-duration dates (e.g. four minutes) where participants talk to a series of potential romantic partners. At the end of each date participants privately report whether or not they would like to see that person again. If two participants report they would like to see each other again, then there is a ‘match’ and the organiser of the event provides the couple with each other’s contact details so that they can meet in the future. Speed dating procedures pose several advantages – they allow researchers to study both members of a dyad, the observations provided come in real time, and they h</w:t>
      </w:r>
      <w:r w:rsidR="00555F94">
        <w:rPr>
          <w:sz w:val="24"/>
          <w:szCs w:val="24"/>
        </w:rPr>
        <w:t>ave good ecological</w:t>
      </w:r>
      <w:r w:rsidRPr="00D05EBD">
        <w:rPr>
          <w:sz w:val="24"/>
          <w:szCs w:val="24"/>
        </w:rPr>
        <w:t xml:space="preserve"> validity </w:t>
      </w:r>
      <w:r w:rsidR="00B06E70">
        <w:rPr>
          <w:sz w:val="24"/>
          <w:szCs w:val="24"/>
        </w:rPr>
        <w:fldChar w:fldCharType="begin" w:fldLock="1"/>
      </w:r>
      <w:r w:rsidR="0063762E">
        <w:rPr>
          <w:sz w:val="24"/>
          <w:szCs w:val="24"/>
        </w:rPr>
        <w:instrText>ADDIN CSL_CITATION { "citationItems" : [ { "id" : "ITEM-1",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 "author" : [ { "dropping-particle" : "", "family" : "Eastwick", "given" : "Paul W", "non-dropping-particle" : "", "parse-names" : false, "suffix" : "" }, { "dropping-particle" : "", "family" : "Finkel", "given" : "Eli J.", "non-dropping-particle" : "", "parse-names" : false, "suffix" : "" } ], "container-title" : "Current Directions in Psychological Science", "id" : "ITEM-1", "issue" : "3", "issued" : { "date-parts" : [ [ "2008" ] ] }, "page" : "193-197", "title" : "Speed-Dating", "type" : "article-journal", "volume" : "17" }, "uris" : [ "http://www.mendeley.com/documents/?uuid=3dc62c2e-f15b-3d4b-9f3c-319d6cd2db7f" ] } ], "mendeley" : { "formattedCitation" : "(Eastwick &amp; Finkel, 2008)", "plainTextFormattedCitation" : "(Eastwick &amp; Finkel, 2008)", "previouslyFormattedCitation" : "(Eastwick &amp; Finkel, 2008)" }, "properties" : { "noteIndex" : 0 }, "schema" : "https://github.com/citation-style-language/schema/raw/master/csl-citation.json" }</w:instrText>
      </w:r>
      <w:r w:rsidR="00B06E70">
        <w:rPr>
          <w:sz w:val="24"/>
          <w:szCs w:val="24"/>
        </w:rPr>
        <w:fldChar w:fldCharType="separate"/>
      </w:r>
      <w:r w:rsidR="0063762E" w:rsidRPr="0063762E">
        <w:rPr>
          <w:noProof/>
          <w:sz w:val="24"/>
          <w:szCs w:val="24"/>
        </w:rPr>
        <w:t>(Eastwick &amp; Finkel, 2008)</w:t>
      </w:r>
      <w:r w:rsidR="00B06E70">
        <w:rPr>
          <w:sz w:val="24"/>
          <w:szCs w:val="24"/>
        </w:rPr>
        <w:fldChar w:fldCharType="end"/>
      </w:r>
      <w:r w:rsidRPr="00D05EBD">
        <w:rPr>
          <w:sz w:val="24"/>
          <w:szCs w:val="24"/>
        </w:rPr>
        <w:t xml:space="preserve">. In the present chapter a speed dating event was chosen to investigate AIER in romantic </w:t>
      </w:r>
      <w:r w:rsidRPr="00D05EBD">
        <w:rPr>
          <w:sz w:val="24"/>
          <w:szCs w:val="24"/>
        </w:rPr>
        <w:lastRenderedPageBreak/>
        <w:t xml:space="preserve">interactions. This procedure enabled the researcher to exert some control over the experimental variables while at the same time capturing responses to interpersonal interactions outside the context of the laboratory. </w:t>
      </w:r>
    </w:p>
    <w:p w:rsidR="00FB1389" w:rsidRPr="00D05EBD" w:rsidRDefault="00FB1389" w:rsidP="00AE640B">
      <w:pPr>
        <w:spacing w:line="480" w:lineRule="auto"/>
        <w:ind w:left="720"/>
        <w:jc w:val="both"/>
        <w:rPr>
          <w:b/>
          <w:sz w:val="24"/>
          <w:szCs w:val="24"/>
        </w:rPr>
      </w:pPr>
      <w:r w:rsidRPr="00D05EBD">
        <w:rPr>
          <w:b/>
          <w:sz w:val="24"/>
          <w:szCs w:val="24"/>
        </w:rPr>
        <w:t>5.3 Factors that affect AIER</w:t>
      </w:r>
    </w:p>
    <w:p w:rsidR="00FB1389" w:rsidRPr="00D05EBD" w:rsidRDefault="00FB1389" w:rsidP="00AE640B">
      <w:pPr>
        <w:spacing w:line="480" w:lineRule="auto"/>
        <w:ind w:firstLine="720"/>
        <w:jc w:val="both"/>
        <w:rPr>
          <w:sz w:val="24"/>
          <w:szCs w:val="24"/>
        </w:rPr>
      </w:pPr>
      <w:r w:rsidRPr="00D05EBD">
        <w:rPr>
          <w:i/>
          <w:sz w:val="24"/>
          <w:szCs w:val="24"/>
        </w:rPr>
        <w:t xml:space="preserve">5.3.1. Regulatory depletion, emotional exhaustion and negative </w:t>
      </w:r>
      <w:proofErr w:type="spellStart"/>
      <w:r w:rsidRPr="00D05EBD">
        <w:rPr>
          <w:i/>
          <w:sz w:val="24"/>
          <w:szCs w:val="24"/>
        </w:rPr>
        <w:t>affect</w:t>
      </w:r>
      <w:proofErr w:type="spellEnd"/>
      <w:r w:rsidRPr="00D05EBD">
        <w:rPr>
          <w:i/>
          <w:sz w:val="24"/>
          <w:szCs w:val="24"/>
        </w:rPr>
        <w:t xml:space="preserve">. </w:t>
      </w:r>
      <w:r w:rsidRPr="00D05EBD">
        <w:rPr>
          <w:sz w:val="24"/>
          <w:szCs w:val="24"/>
        </w:rPr>
        <w:t xml:space="preserve">Several factors have been associated with the use of automatic behaviours. As mentioned in Chapter 4, being depleted of self-control resources could lead people to a state of ego-depletion (a temporary depletion of the willingness or ability to exert self-control following an initial exertion, </w:t>
      </w:r>
      <w:r w:rsidR="00B06E70">
        <w:rPr>
          <w:sz w:val="24"/>
          <w:szCs w:val="24"/>
        </w:rPr>
        <w:fldChar w:fldCharType="begin" w:fldLock="1"/>
      </w:r>
      <w:r w:rsidR="00844B08">
        <w:rPr>
          <w:sz w:val="24"/>
          <w:szCs w:val="24"/>
        </w:rPr>
        <w:instrText>ADDIN CSL_CITATION { "citationItems" : [ { "id" : "ITEM-1", "itemData" : { "DOI" : "10.1037/0022-3514.74.5.1252", "ISBN" : "0022-3514 (Print)\\n0022-3514 (Linking)", "ISSN" : "0022-3514", "PMID" : "9599441", "abstract" : "Choice, active response, self-regulation, and other volition may all draw on a common inner resource. In Experiment 1, people who forced themselves to eat radishes instead of tempting chocolates subsequently quit faster on unsolvable puzzles than people who had not had to exert self-control over eating. In Experiment 2, making a meaningful personal choice to perform attitude-relevant behavior caused a similar decrement in persistence. In Experiment 3, suppressing emotion led to a subsequent drop in performance of solvable anagrams. In Experiment 4, an initial task requiring high self-regulation made people more passive (i.e., more prone to favor the passive-response option). These results suggest that the self's capacity for active volition is limited and that a range of seemingly different, unrelated acts share a common resource.", "author" : [ { "dropping-particle" : "", "family" : "Baumeister", "given" : "Roy F", "non-dropping-particle" : "", "parse-names" : false, "suffix" : "" }, { "dropping-particle" : "", "family" : "Bratslavsky", "given" : "Ellen", "non-dropping-particle" : "", "parse-names" : false, "suffix" : "" }, { "dropping-particle" : "", "family" : "Muraven", "given" : "Mark", "non-dropping-particle" : "", "parse-names" : false, "suffix" : "" }, { "dropping-particle" : "", "family" : "Tice", "given" : "Dianne M", "non-dropping-particle" : "", "parse-names" : false, "suffix" : "" } ], "container-title" : "Journal of personality and social psychology", "id" : "ITEM-1", "issue" : "5", "issued" : { "date-parts" : [ [ "1998" ] ] }, "page" : "1252-1265", "title" : "Ego depletion: is the active self a limited resource?", "type" : "article-journal", "volume" : "74" }, "uris" : [ "http://www.mendeley.com/documents/?uuid=ed613166-71ae-36a5-bae2-6f172226c53f" ] } ], "mendeley" : { "formattedCitation" : "(Baumeister et al., 1998)", "manualFormatting" : "Baumeister et al., 1998)", "plainTextFormattedCitation" : "(Baumeister et al., 1998)", "previouslyFormattedCitation" : "(Roy F Baumeister et al., 1998)" }, "properties" : { "noteIndex" : 0 }, "schema" : "https://github.com/citation-style-language/schema/raw/master/csl-citation.json" }</w:instrText>
      </w:r>
      <w:r w:rsidR="00B06E70">
        <w:rPr>
          <w:sz w:val="24"/>
          <w:szCs w:val="24"/>
        </w:rPr>
        <w:fldChar w:fldCharType="separate"/>
      </w:r>
      <w:r w:rsidR="00D56690">
        <w:rPr>
          <w:noProof/>
          <w:sz w:val="24"/>
          <w:szCs w:val="24"/>
        </w:rPr>
        <w:t>Baumeister et al.,</w:t>
      </w:r>
      <w:r w:rsidR="0063762E" w:rsidRPr="0063762E">
        <w:rPr>
          <w:noProof/>
          <w:sz w:val="24"/>
          <w:szCs w:val="24"/>
        </w:rPr>
        <w:t xml:space="preserve"> 1998)</w:t>
      </w:r>
      <w:r w:rsidR="00B06E70">
        <w:rPr>
          <w:sz w:val="24"/>
          <w:szCs w:val="24"/>
        </w:rPr>
        <w:fldChar w:fldCharType="end"/>
      </w:r>
      <w:r w:rsidRPr="00D05EBD">
        <w:rPr>
          <w:sz w:val="24"/>
          <w:szCs w:val="24"/>
        </w:rPr>
        <w:t xml:space="preserve"> which would make them more vulnerable to act automatically. In the present research trying to regulate the emotions of people date after date might deplete participants of regulatory resources as the regulation of emotions has been shown to deplete self-regulatory resources (</w:t>
      </w:r>
      <w:proofErr w:type="spellStart"/>
      <w:r w:rsidRPr="00D05EBD">
        <w:rPr>
          <w:sz w:val="24"/>
          <w:szCs w:val="24"/>
        </w:rPr>
        <w:t>Baumeister</w:t>
      </w:r>
      <w:proofErr w:type="spellEnd"/>
      <w:r w:rsidRPr="00D05EBD">
        <w:rPr>
          <w:sz w:val="24"/>
          <w:szCs w:val="24"/>
        </w:rPr>
        <w:t xml:space="preserve"> et al., 1998). Thus, it may be possible that the participants’ use of IER becomes more automatic as the event progress. As research suggests that emotional exhaustion is also associated to ego-depletion (Martinez</w:t>
      </w:r>
      <w:r w:rsidR="0063762E">
        <w:rPr>
          <w:sz w:val="24"/>
          <w:szCs w:val="24"/>
        </w:rPr>
        <w:t xml:space="preserve"> et al.</w:t>
      </w:r>
      <w:r w:rsidRPr="00D05EBD">
        <w:rPr>
          <w:sz w:val="24"/>
          <w:szCs w:val="24"/>
        </w:rPr>
        <w:t xml:space="preserve">, 2013), it may be possible that consecutive dates and allegedly, consecutive attempts at regulating the emotions of someone else might cause emotional exhaustion in the participants making them more vulnerable to ego-depletion and consequently to engage in AIER. Another factor that is also significantly related to ego-depletion is negative </w:t>
      </w:r>
      <w:proofErr w:type="spellStart"/>
      <w:r w:rsidRPr="00D05EBD">
        <w:rPr>
          <w:sz w:val="24"/>
          <w:szCs w:val="24"/>
        </w:rPr>
        <w:t>affect</w:t>
      </w:r>
      <w:proofErr w:type="spellEnd"/>
      <w:r w:rsidRPr="00D05EBD">
        <w:rPr>
          <w:sz w:val="24"/>
          <w:szCs w:val="24"/>
        </w:rPr>
        <w:t>. Research has found that exerting self-control may induce negative affect because self-control tasks may have an aversive nature (</w:t>
      </w:r>
      <w:proofErr w:type="spellStart"/>
      <w:r w:rsidRPr="00D05EBD">
        <w:rPr>
          <w:sz w:val="24"/>
          <w:szCs w:val="24"/>
        </w:rPr>
        <w:t>Hagger</w:t>
      </w:r>
      <w:proofErr w:type="spellEnd"/>
      <w:r w:rsidRPr="00D05EBD">
        <w:rPr>
          <w:sz w:val="24"/>
          <w:szCs w:val="24"/>
        </w:rPr>
        <w:t xml:space="preserve">, et al., 2010; </w:t>
      </w:r>
      <w:r w:rsidR="00B06E70">
        <w:rPr>
          <w:sz w:val="24"/>
          <w:szCs w:val="24"/>
        </w:rPr>
        <w:fldChar w:fldCharType="begin" w:fldLock="1"/>
      </w:r>
      <w:r w:rsidR="00C1796E">
        <w:rPr>
          <w:sz w:val="24"/>
          <w:szCs w:val="24"/>
        </w:rPr>
        <w:instrText>ADDIN CSL_CITATION { "citationItems" : [ { "id" : "ITEM-1", "itemData" : { "author" : [ { "dropping-particle" : "", "family" : "Tice", "given" : "D M", "non-dropping-particle" : "", "parse-names" : false, "suffix" : "" }, { "dropping-particle" : "", "family" : "Bratslavsky", "given" : "E", "non-dropping-particle" : "", "parse-names" : false, "suffix" : "" }, { "dropping-particle" : "", "family" : "Baumeister", "given" : "R F", "non-dropping-particle" : "", "parse-names" : false, "suffix" : "" } ], "container-title" : "Journal of Personality and Social Psychology", "id" : "ITEM-1", "issue" : "1", "issued" : { "date-parts" : [ [ "2001" ] ] }, "page" : "53-67", "title" : "Emotional distress regulation takes precedence over impulse control: if you feel bad, do it!", "type" : "article-journal", "volume" : "80" }, "uris" : [ "http://www.mendeley.com/documents/?uuid=9070114b-0655-3d77-a0fb-49aba709b766" ] } ], "mendeley" : { "formattedCitation" : "(D M Tice, Bratslavsky, &amp; Baumeister, 2001)", "manualFormatting" : "Tice, Bratslavsky, &amp; Baumeister, 2001)", "plainTextFormattedCitation" : "(D M Tice, Bratslavsky, &amp; Baumeister, 2001)", "previouslyFormattedCitation" : "(D M Tice, Bratslavsky, &amp; Baumeister, 2001)" }, "properties" : { "noteIndex" : 0 }, "schema" : "https://github.com/citation-style-language/schema/raw/master/csl-citation.json" }</w:instrText>
      </w:r>
      <w:r w:rsidR="00B06E70">
        <w:rPr>
          <w:sz w:val="24"/>
          <w:szCs w:val="24"/>
        </w:rPr>
        <w:fldChar w:fldCharType="separate"/>
      </w:r>
      <w:r w:rsidR="00C1796E" w:rsidRPr="00C1796E">
        <w:rPr>
          <w:noProof/>
          <w:sz w:val="24"/>
          <w:szCs w:val="24"/>
        </w:rPr>
        <w:t>Tice, Bratslavsky, &amp; Baumeister, 2001)</w:t>
      </w:r>
      <w:r w:rsidR="00B06E70">
        <w:rPr>
          <w:sz w:val="24"/>
          <w:szCs w:val="24"/>
        </w:rPr>
        <w:fldChar w:fldCharType="end"/>
      </w:r>
      <w:r w:rsidRPr="00D05EBD">
        <w:rPr>
          <w:sz w:val="24"/>
          <w:szCs w:val="24"/>
        </w:rPr>
        <w:t xml:space="preserve"> which could reduce people’s subsequent attempts at self-control. Thus, in the present research, the emotional exhaustion and affect of the participants will be also taken into account as </w:t>
      </w:r>
      <w:r w:rsidRPr="00D05EBD">
        <w:rPr>
          <w:sz w:val="24"/>
          <w:szCs w:val="24"/>
        </w:rPr>
        <w:lastRenderedPageBreak/>
        <w:t xml:space="preserve">their dates progress and any effects of the same over the participants use of IER will be explored. </w:t>
      </w:r>
    </w:p>
    <w:p w:rsidR="00FB1389" w:rsidRPr="00D05EBD" w:rsidRDefault="00FB1389" w:rsidP="00AE640B">
      <w:pPr>
        <w:spacing w:line="480" w:lineRule="auto"/>
        <w:ind w:firstLine="720"/>
        <w:jc w:val="both"/>
        <w:rPr>
          <w:sz w:val="24"/>
          <w:szCs w:val="24"/>
        </w:rPr>
      </w:pPr>
      <w:r w:rsidRPr="00D05EBD">
        <w:rPr>
          <w:i/>
          <w:sz w:val="24"/>
          <w:szCs w:val="24"/>
        </w:rPr>
        <w:t xml:space="preserve">5.3.2 Habitual use of IER. </w:t>
      </w:r>
      <w:r w:rsidRPr="00D05EBD">
        <w:rPr>
          <w:sz w:val="24"/>
          <w:szCs w:val="24"/>
        </w:rPr>
        <w:t xml:space="preserve">Habituation in the use of IER strategies may be related to automaticity in the use of IER strategies. People who have extensively practiced a behaviour tend to learn it, and this knowledge may be accompanied by changes in attention, awareness, control, speed, and accuracy, so that performing the behaviour requires less cognitive resources (less attention and/or effort) and less awareness </w:t>
      </w:r>
      <w:r w:rsidR="00B06E70">
        <w:rPr>
          <w:sz w:val="24"/>
          <w:szCs w:val="24"/>
        </w:rPr>
        <w:fldChar w:fldCharType="begin" w:fldLock="1"/>
      </w:r>
      <w:r w:rsidR="008068AA">
        <w:rPr>
          <w:sz w:val="24"/>
          <w:szCs w:val="24"/>
        </w:rPr>
        <w:instrText>ADDIN CSL_CITATION { "citationItems" : [ { "id" : "ITEM-1", "itemData" : { "DOI" : "10.1037/0033-2909.132.2.297", "ISBN" : "0033-2909\\r1939-1455", "ISSN" : "1939-1455", "PMID" : "16536645", "abstract" : "Several theoretical views of automaticity are discussed. Most of these suggest that automaticity should be diagnosed by looking at the presence of features such as unintentional, uncontrolled/uncontrollable, goal independent, autonomous, purely stimulus driven, unconscious, efficient, and fast. Contemporary views further suggest that these features should be investigated separately. The authors examine whether features of automaticity can be disentangled on a conceptual level, because only then is the separate investigation of them worth the effort. They conclude that the conceptual analysis of features is to a large extent feasible. Not all researchers agree with this position, however. The authors show that assumptions of overlap among features are determined by the other researchers\u2019 views of automaticity and by the models they endorse for information processing in general.", "author" : [ { "dropping-particle" : "", "family" : "Moors", "given" : "Agnes", "non-dropping-particle" : "", "parse-names" : false, "suffix" : "" }, { "dropping-particle" : "", "family" : "Houwer", "given" : "Jan", "non-dropping-particle" : "De", "parse-names" : false, "suffix" : "" } ], "container-title" : "Psychological Bulletin", "id" : "ITEM-1", "issue" : "2", "issued" : { "date-parts" : [ [ "2006" ] ] }, "page" : "297-326", "title" : "Automaticity: A Theoretical and Conceptual Analysis.", "type" : "article-journal", "volume" : "132" }, "uris" : [ "http://www.mendeley.com/documents/?uuid=e4d67142-4671-42e9-a232-731c5aa24b50" ] } ], "mendeley" : { "formattedCitation" : "(Moors &amp; De Houwer, 2006)", "plainTextFormattedCitation" : "(Moors &amp; De Houwer, 2006)", "previouslyFormattedCitation" : "(Moors &amp; De Houwer, 2006)" }, "properties" : { "noteIndex" : 0 }, "schema" : "https://github.com/citation-style-language/schema/raw/master/csl-citation.json" }</w:instrText>
      </w:r>
      <w:r w:rsidR="00B06E70">
        <w:rPr>
          <w:sz w:val="24"/>
          <w:szCs w:val="24"/>
        </w:rPr>
        <w:fldChar w:fldCharType="separate"/>
      </w:r>
      <w:r w:rsidR="008068AA" w:rsidRPr="008068AA">
        <w:rPr>
          <w:noProof/>
          <w:sz w:val="24"/>
          <w:szCs w:val="24"/>
        </w:rPr>
        <w:t>(Moors &amp; De Houwer, 2006)</w:t>
      </w:r>
      <w:r w:rsidR="00B06E70">
        <w:rPr>
          <w:sz w:val="24"/>
          <w:szCs w:val="24"/>
        </w:rPr>
        <w:fldChar w:fldCharType="end"/>
      </w:r>
      <w:r w:rsidRPr="00D05EBD">
        <w:rPr>
          <w:sz w:val="24"/>
          <w:szCs w:val="24"/>
        </w:rPr>
        <w:t xml:space="preserve">. Habitual behaviours are difficult to suppress under cognitive load. For example, </w:t>
      </w:r>
      <w:r w:rsidR="00B06E70">
        <w:rPr>
          <w:sz w:val="24"/>
          <w:szCs w:val="24"/>
        </w:rPr>
        <w:fldChar w:fldCharType="begin" w:fldLock="1"/>
      </w:r>
      <w:r w:rsidR="008068AA">
        <w:rPr>
          <w:sz w:val="24"/>
          <w:szCs w:val="24"/>
        </w:rPr>
        <w:instrText>ADDIN CSL_CITATION { "citationItems" : [ { "id" : "ITEM-1", "itemData" : { "DOI" : "10.1037//0022-3514.78.1.53", "ISBN" : "0022-3514\\r1939-1315", "ISSN" : "0022-3514", "PMID" : "10653505", "abstract" : "This study tested the idea of habits as a form of goal-directed automatic behavior. Expanding on the idea that habits are mentally represented as associations between goals and actions, it was proposed that goals are capable of activating the habitual action. More specific, when habits are established (e.g., frequent cycling to the university), the very activation of the goal to act (e.g., having to attend lectures at the university) automatically evokes the habitual response (e.g., bicycle). Indeed, it was tested and confirmed that, when behavior is habitual, behavioral responses are activated automatically. In addition, the results of 3 experiments indicated that (a) the automaticity in habits is conditional on the presence of an active goal (cf. goal-dependent automaticity; J. A. Bargh, 1989), supporting the idea that habits are mentally represented as goal-action links, and (b) the formation of implementation intentions (i.e., the creation of a strong mental link between a goal and action) may simulate goal-directed automaticity in habits.", "author" : [ { "dropping-particle" : "", "family" : "Aarts", "given" : "Henk", "non-dropping-particle" : "", "parse-names" : false, "suffix" : "" }, { "dropping-particle" : "", "family" : "Dijksterhuis", "given" : "Ap", "non-dropping-particle" : "", "parse-names" : false, "suffix" : "" } ], "container-title" : "Journal of Personality and Social Psychology", "id" : "ITEM-1", "issue" : "1", "issued" : { "date-parts" : [ [ "2000" ] ] }, "page" : "53-63", "title" : "Habits as Knowledge Structures: Automaticity in Goal-Directed Behavior", "type" : "article-journal", "volume" : "78" }, "uris" : [ "http://www.mendeley.com/documents/?uuid=52c71436-a722-4ba8-a0cc-63121a0b7093" ] } ], "mendeley" : { "formattedCitation" : "(Aarts &amp; Dijksterhuis, 2000)", "manualFormatting" : "Aarts and Dijksterhuis (2000)", "plainTextFormattedCitation" : "(Aarts &amp; Dijksterhuis, 2000)", "previouslyFormattedCitation" : "(Aarts &amp; Dijksterhuis, 2000)" }, "properties" : { "noteIndex" : 0 }, "schema" : "https://github.com/citation-style-language/schema/raw/master/csl-citation.json" }</w:instrText>
      </w:r>
      <w:r w:rsidR="00B06E70">
        <w:rPr>
          <w:sz w:val="24"/>
          <w:szCs w:val="24"/>
        </w:rPr>
        <w:fldChar w:fldCharType="separate"/>
      </w:r>
      <w:r w:rsidR="008068AA" w:rsidRPr="008068AA">
        <w:rPr>
          <w:noProof/>
          <w:sz w:val="24"/>
          <w:szCs w:val="24"/>
        </w:rPr>
        <w:t>Aart</w:t>
      </w:r>
      <w:r w:rsidR="008068AA">
        <w:rPr>
          <w:noProof/>
          <w:sz w:val="24"/>
          <w:szCs w:val="24"/>
        </w:rPr>
        <w:t>s and Dijksterhuis</w:t>
      </w:r>
      <w:r w:rsidR="008068AA" w:rsidRPr="008068AA">
        <w:rPr>
          <w:noProof/>
          <w:sz w:val="24"/>
          <w:szCs w:val="24"/>
        </w:rPr>
        <w:t xml:space="preserve"> </w:t>
      </w:r>
      <w:r w:rsidR="008068AA">
        <w:rPr>
          <w:noProof/>
          <w:sz w:val="24"/>
          <w:szCs w:val="24"/>
        </w:rPr>
        <w:t>(</w:t>
      </w:r>
      <w:r w:rsidR="008068AA" w:rsidRPr="008068AA">
        <w:rPr>
          <w:noProof/>
          <w:sz w:val="24"/>
          <w:szCs w:val="24"/>
        </w:rPr>
        <w:t>2000)</w:t>
      </w:r>
      <w:r w:rsidR="00B06E70">
        <w:rPr>
          <w:sz w:val="24"/>
          <w:szCs w:val="24"/>
        </w:rPr>
        <w:fldChar w:fldCharType="end"/>
      </w:r>
      <w:r w:rsidRPr="00D05EBD">
        <w:rPr>
          <w:sz w:val="24"/>
          <w:szCs w:val="24"/>
        </w:rPr>
        <w:t xml:space="preserve"> found that people under cognitive load cannot inhibit their typical or habitual travel mode choice when a travel goal is activated. In the present research, investigating participants’ habitual use of improving and worsening IER strategies could provide some insight into the automaticity of the use of IER when people are under cognitive load. </w:t>
      </w:r>
    </w:p>
    <w:p w:rsidR="00FB1389" w:rsidRPr="00D05EBD" w:rsidRDefault="00FB1389" w:rsidP="00AE640B">
      <w:pPr>
        <w:spacing w:line="480" w:lineRule="auto"/>
        <w:ind w:firstLine="720"/>
        <w:jc w:val="both"/>
        <w:rPr>
          <w:sz w:val="24"/>
          <w:szCs w:val="24"/>
        </w:rPr>
      </w:pPr>
      <w:r w:rsidRPr="00D05EBD">
        <w:rPr>
          <w:i/>
          <w:sz w:val="24"/>
          <w:szCs w:val="24"/>
        </w:rPr>
        <w:t xml:space="preserve">5.3.3 Difficulties in regulating emotions. </w:t>
      </w:r>
      <w:r w:rsidRPr="00D05EBD">
        <w:rPr>
          <w:sz w:val="24"/>
          <w:szCs w:val="24"/>
        </w:rPr>
        <w:t xml:space="preserve">An individual difference that might affect the way people control their emotions is how good they are at emotion regulation. </w:t>
      </w:r>
      <w:r w:rsidR="00B06E70">
        <w:rPr>
          <w:sz w:val="24"/>
          <w:szCs w:val="24"/>
        </w:rPr>
        <w:fldChar w:fldCharType="begin" w:fldLock="1"/>
      </w:r>
      <w:r w:rsidR="008068AA">
        <w:rPr>
          <w:sz w:val="24"/>
          <w:szCs w:val="24"/>
        </w:rPr>
        <w:instrText>ADDIN CSL_CITATION { "citationItems" : [ { "id" : "ITEM-1", "itemData" : { "abstract" : "Given recent attention to emotion regulation as a potentially unifying function of diverse symptom presentations, there is a need for comprehensive measures that adequately assess difficulties in emo-tion regulation among adults. This paper (a) proposes an integrative conceptualization of emotion regulation as involving not just the modulation of emotional arousal, but also the awareness, under-standing, and acceptance of emotions, and the ability to act in desired ways regardless of emotional state; and (b) begins to explore the factor structure and psychometric properties of a new measure, the Difficulties in Emotion Regulation Scale (DERS). Two samples of undergraduate students completed questionnaire packets. Preliminary findings suggest that the DERS has high internal consistency, good test\u2013retest reliability, and adequate construct and predictive validity.", "author" : [ { "dropping-particle" : "", "family" : "Gratz", "given" : "K.L.;", "non-dropping-particle" : "", "parse-names" : false, "suffix" : "" }, { "dropping-particle" : "", "family" : "Roemer", "given" : "Lizabeth", "non-dropping-particle" : "", "parse-names" : false, "suffix" : "" } ], "container-title" : "Journal of Psychopathology and Behavioral Assessment", "id" : "ITEM-1", "issue" : "1", "issued" : { "date-parts" : [ [ "2004" ] ] }, "page" : "41-54", "title" : "Multidimensional assessment fo emotion regulation and dysregulation: Development, factor structure, and inittial validation of the Difficulties in Emotion Regulation Scale", "type" : "article-journal", "volume" : "26" }, "uris" : [ "http://www.mendeley.com/documents/?uuid=924998e1-51eb-3c68-b502-949d1febea7a" ] } ], "mendeley" : { "formattedCitation" : "(Gratz &amp; Roemer, 2004)", "manualFormatting" : "Gratz and Roemer (2004)", "plainTextFormattedCitation" : "(Gratz &amp; Roemer, 2004)", "previouslyFormattedCitation" : "(Gratz &amp; Roemer, 2004)" }, "properties" : { "noteIndex" : 0 }, "schema" : "https://github.com/citation-style-language/schema/raw/master/csl-citation.json" }</w:instrText>
      </w:r>
      <w:r w:rsidR="00B06E70">
        <w:rPr>
          <w:sz w:val="24"/>
          <w:szCs w:val="24"/>
        </w:rPr>
        <w:fldChar w:fldCharType="separate"/>
      </w:r>
      <w:r w:rsidR="008068AA">
        <w:rPr>
          <w:noProof/>
          <w:sz w:val="24"/>
          <w:szCs w:val="24"/>
        </w:rPr>
        <w:t>Gratz and Roemer</w:t>
      </w:r>
      <w:r w:rsidR="008068AA" w:rsidRPr="008068AA">
        <w:rPr>
          <w:noProof/>
          <w:sz w:val="24"/>
          <w:szCs w:val="24"/>
        </w:rPr>
        <w:t xml:space="preserve"> </w:t>
      </w:r>
      <w:r w:rsidR="008068AA">
        <w:rPr>
          <w:noProof/>
          <w:sz w:val="24"/>
          <w:szCs w:val="24"/>
        </w:rPr>
        <w:t>(</w:t>
      </w:r>
      <w:r w:rsidR="008068AA" w:rsidRPr="008068AA">
        <w:rPr>
          <w:noProof/>
          <w:sz w:val="24"/>
          <w:szCs w:val="24"/>
        </w:rPr>
        <w:t>2004)</w:t>
      </w:r>
      <w:r w:rsidR="00B06E70">
        <w:rPr>
          <w:sz w:val="24"/>
          <w:szCs w:val="24"/>
        </w:rPr>
        <w:fldChar w:fldCharType="end"/>
      </w:r>
      <w:r w:rsidRPr="00D05EBD">
        <w:rPr>
          <w:sz w:val="24"/>
          <w:szCs w:val="24"/>
        </w:rPr>
        <w:t xml:space="preserve"> Difficulties in Emotion Regulation Scale (DERS) assesses different aspects that comprise the difficulties people have when regulating emotions. In the present study two of these aspects will be explored, namely, difficulties at controlling impulses and lacking emotional awareness. As impulses are responses that happen without people’s control, it would be expected that people who have difficulties controlling their impulses would also be more likely</w:t>
      </w:r>
      <w:r w:rsidR="002C5C71">
        <w:rPr>
          <w:sz w:val="24"/>
          <w:szCs w:val="24"/>
        </w:rPr>
        <w:t xml:space="preserve"> to use AIER. Not being able to</w:t>
      </w:r>
      <w:r w:rsidRPr="00D05EBD">
        <w:rPr>
          <w:sz w:val="24"/>
          <w:szCs w:val="24"/>
        </w:rPr>
        <w:t xml:space="preserve"> reflect on one’s use of emotion regulation or lacking emotional awareness may also be related to people being more vulnerable to use AIER. </w:t>
      </w:r>
    </w:p>
    <w:p w:rsidR="00FB1389" w:rsidRPr="00D05EBD" w:rsidRDefault="00FB1389" w:rsidP="00AE640B">
      <w:pPr>
        <w:spacing w:line="480" w:lineRule="auto"/>
        <w:ind w:firstLine="720"/>
        <w:jc w:val="both"/>
        <w:rPr>
          <w:sz w:val="24"/>
          <w:szCs w:val="24"/>
        </w:rPr>
      </w:pPr>
      <w:r w:rsidRPr="00D05EBD">
        <w:rPr>
          <w:sz w:val="24"/>
          <w:szCs w:val="24"/>
        </w:rPr>
        <w:lastRenderedPageBreak/>
        <w:t xml:space="preserve">The aforementioned factors that could affect the person’s use of AIER were explored by measuring them in an online questionnaire that participants answered a couple of weeks before the speed dating event. </w:t>
      </w:r>
    </w:p>
    <w:p w:rsidR="00FB1389" w:rsidRPr="00D05EBD" w:rsidRDefault="00FB1389" w:rsidP="00AE640B">
      <w:pPr>
        <w:spacing w:line="480" w:lineRule="auto"/>
        <w:ind w:firstLine="720"/>
        <w:jc w:val="both"/>
        <w:rPr>
          <w:b/>
          <w:sz w:val="24"/>
          <w:szCs w:val="24"/>
        </w:rPr>
      </w:pPr>
      <w:r w:rsidRPr="00D05EBD">
        <w:rPr>
          <w:b/>
          <w:sz w:val="24"/>
          <w:szCs w:val="24"/>
        </w:rPr>
        <w:t>5.4 Study 4</w:t>
      </w:r>
    </w:p>
    <w:p w:rsidR="00FB1389" w:rsidRPr="00D05EBD" w:rsidRDefault="00FB1389" w:rsidP="00AE640B">
      <w:pPr>
        <w:spacing w:line="480" w:lineRule="auto"/>
        <w:ind w:firstLine="720"/>
        <w:jc w:val="both"/>
        <w:rPr>
          <w:color w:val="FF0000"/>
          <w:sz w:val="24"/>
          <w:szCs w:val="24"/>
          <w:u w:val="single"/>
        </w:rPr>
      </w:pPr>
      <w:r w:rsidRPr="00D05EBD">
        <w:rPr>
          <w:sz w:val="24"/>
          <w:szCs w:val="24"/>
        </w:rPr>
        <w:t xml:space="preserve">The aims of this research study were twofold. First, the present research aimed to identify people’s use of AIER during interpersonal interactions by looking at variations in the amount of awareness, effort, and intention involved in their use of IER strategies when placed under high cognitive load.  A first hypothesis predicts that: 1) </w:t>
      </w:r>
      <w:r w:rsidRPr="00D05EBD">
        <w:rPr>
          <w:i/>
          <w:sz w:val="24"/>
          <w:szCs w:val="24"/>
        </w:rPr>
        <w:t xml:space="preserve">awareness, effort, and intention in the use of IER strategies will differ between people under high cognitive load and people under low cognitive load, such that </w:t>
      </w:r>
      <w:r w:rsidR="00413370">
        <w:rPr>
          <w:i/>
          <w:sz w:val="24"/>
          <w:szCs w:val="24"/>
        </w:rPr>
        <w:t>aware</w:t>
      </w:r>
      <w:r w:rsidRPr="00D05EBD">
        <w:rPr>
          <w:i/>
          <w:sz w:val="24"/>
          <w:szCs w:val="24"/>
        </w:rPr>
        <w:t>ness, effort and intention respectively, will each be negatively related to high cognitive load.</w:t>
      </w:r>
      <w:r w:rsidRPr="00D05EBD">
        <w:rPr>
          <w:sz w:val="24"/>
          <w:szCs w:val="24"/>
        </w:rPr>
        <w:t xml:space="preserve"> As regulatory depletion (which was expected to occur the more dates participants had), emotional exhaustion and affect could also influence the participant’s use of AIER strategies, it was expected that the load condition to which participants were allocated, would interact with these factors. Specifically, the second hypothesis predicts that 2)</w:t>
      </w:r>
      <w:r w:rsidRPr="00D05EBD">
        <w:rPr>
          <w:i/>
          <w:sz w:val="24"/>
          <w:szCs w:val="24"/>
        </w:rPr>
        <w:t xml:space="preserve"> levels of awareness, intention and effort in the use of IER strategies will decrease as participants’ dates progress when participants are under high cognitive load, in contrast to participants under low cognitive load. </w:t>
      </w:r>
      <w:r w:rsidR="00413370">
        <w:rPr>
          <w:sz w:val="24"/>
          <w:szCs w:val="24"/>
        </w:rPr>
        <w:t>With respect to emotional exhaustion and affect</w:t>
      </w:r>
      <w:r w:rsidRPr="00D05EBD">
        <w:rPr>
          <w:sz w:val="24"/>
          <w:szCs w:val="24"/>
        </w:rPr>
        <w:t xml:space="preserve"> it is predicted that the</w:t>
      </w:r>
      <w:r w:rsidRPr="00D05EBD">
        <w:rPr>
          <w:i/>
          <w:sz w:val="24"/>
          <w:szCs w:val="24"/>
        </w:rPr>
        <w:t xml:space="preserve"> </w:t>
      </w:r>
      <w:r w:rsidRPr="00D05EBD">
        <w:rPr>
          <w:sz w:val="24"/>
          <w:szCs w:val="24"/>
        </w:rPr>
        <w:t>3)</w:t>
      </w:r>
      <w:r w:rsidRPr="00D05EBD">
        <w:rPr>
          <w:i/>
          <w:sz w:val="24"/>
          <w:szCs w:val="24"/>
        </w:rPr>
        <w:t xml:space="preserve"> levels of awareness, intention and effort in the use of IER strategies will be lower in participants under high cognitive load whose levels of emotional exhaustion and negative affect respectively, are high, in comparison to participants under low cognitive load, whose levels of emotional exhaustion and negative affect are not high.</w:t>
      </w:r>
      <w:r w:rsidRPr="00D05EBD">
        <w:rPr>
          <w:sz w:val="24"/>
          <w:szCs w:val="24"/>
        </w:rPr>
        <w:t xml:space="preserve"> </w:t>
      </w:r>
    </w:p>
    <w:p w:rsidR="00FB1389" w:rsidRPr="00D05EBD" w:rsidRDefault="00FB1389" w:rsidP="00AE640B">
      <w:pPr>
        <w:spacing w:line="480" w:lineRule="auto"/>
        <w:ind w:firstLine="720"/>
        <w:jc w:val="both"/>
        <w:rPr>
          <w:i/>
          <w:sz w:val="24"/>
          <w:szCs w:val="24"/>
        </w:rPr>
      </w:pPr>
      <w:r w:rsidRPr="00D05EBD">
        <w:rPr>
          <w:sz w:val="24"/>
          <w:szCs w:val="24"/>
        </w:rPr>
        <w:lastRenderedPageBreak/>
        <w:t xml:space="preserve">The second aim of this research was to explore individual differences that could be associated with the use of AIER, namely whether the habitual use of IER strategies and the participant’s difficulties in emotion regulation (specifically the difficulties at controlling impulses and lacking emotional awareness) would affect their levels of awareness, intention and effort to use IER strategies. It was expected that 4) </w:t>
      </w:r>
      <w:r w:rsidRPr="00D05EBD">
        <w:rPr>
          <w:i/>
          <w:sz w:val="24"/>
          <w:szCs w:val="24"/>
        </w:rPr>
        <w:t xml:space="preserve">an habitual use of IER strategies would be associated to less awareness, intention and effort of use of IER. </w:t>
      </w:r>
      <w:r w:rsidRPr="00D05EBD">
        <w:rPr>
          <w:sz w:val="24"/>
          <w:szCs w:val="24"/>
        </w:rPr>
        <w:t xml:space="preserve">It was also expected that 5) </w:t>
      </w:r>
      <w:r w:rsidRPr="00D05EBD">
        <w:rPr>
          <w:i/>
          <w:sz w:val="24"/>
          <w:szCs w:val="24"/>
        </w:rPr>
        <w:t xml:space="preserve">more difficulties at controlling impulses would be related to less awareness, intention and effort to use IER, </w:t>
      </w:r>
      <w:r w:rsidRPr="00D05EBD">
        <w:rPr>
          <w:sz w:val="24"/>
          <w:szCs w:val="24"/>
        </w:rPr>
        <w:t xml:space="preserve">and that 6) </w:t>
      </w:r>
      <w:r w:rsidRPr="00D05EBD">
        <w:rPr>
          <w:i/>
          <w:sz w:val="24"/>
          <w:szCs w:val="24"/>
        </w:rPr>
        <w:t xml:space="preserve">less emotional awareness would be associated to less awareness, intention and effort to use IER. </w:t>
      </w:r>
    </w:p>
    <w:p w:rsidR="00FB1389" w:rsidRPr="00D05EBD" w:rsidRDefault="00FB1389" w:rsidP="00AE640B">
      <w:pPr>
        <w:spacing w:line="480" w:lineRule="auto"/>
        <w:ind w:left="720" w:firstLine="720"/>
        <w:jc w:val="both"/>
        <w:rPr>
          <w:b/>
          <w:sz w:val="24"/>
          <w:szCs w:val="24"/>
        </w:rPr>
      </w:pPr>
      <w:r w:rsidRPr="00D05EBD">
        <w:rPr>
          <w:b/>
          <w:sz w:val="24"/>
          <w:szCs w:val="24"/>
        </w:rPr>
        <w:t>5.4.1 Method</w:t>
      </w:r>
    </w:p>
    <w:p w:rsidR="00FB1389" w:rsidRPr="00D05EBD" w:rsidRDefault="00FB1389" w:rsidP="00AE640B">
      <w:pPr>
        <w:spacing w:line="480" w:lineRule="auto"/>
        <w:ind w:left="1440" w:firstLine="720"/>
        <w:jc w:val="both"/>
        <w:rPr>
          <w:i/>
          <w:sz w:val="24"/>
          <w:szCs w:val="24"/>
        </w:rPr>
      </w:pPr>
      <w:r w:rsidRPr="00D05EBD">
        <w:rPr>
          <w:i/>
          <w:sz w:val="24"/>
          <w:szCs w:val="24"/>
        </w:rPr>
        <w:t>5.4.1.1 Participants</w:t>
      </w:r>
    </w:p>
    <w:p w:rsidR="00FB1389" w:rsidRPr="00D05EBD" w:rsidRDefault="00FB1389" w:rsidP="00AE640B">
      <w:pPr>
        <w:spacing w:line="480" w:lineRule="auto"/>
        <w:ind w:firstLine="720"/>
        <w:jc w:val="both"/>
        <w:rPr>
          <w:sz w:val="24"/>
          <w:szCs w:val="24"/>
        </w:rPr>
      </w:pPr>
      <w:r w:rsidRPr="00D05EBD">
        <w:rPr>
          <w:sz w:val="24"/>
          <w:szCs w:val="24"/>
        </w:rPr>
        <w:t xml:space="preserve">A total of 43 heterosexual participants (23 women and 20 men, Mean age = 25.26 yr, SD = 2.86) answered a pre-questionnaire previous to coming to the speed dating event. Of those 43 participants, 34 participants (17 men and 17 women, Mean age = 25.33 yr, SD = 2.85) took part in the speed dating event in exchange for a discount on a drink and the opportunity of winning £5 (there were eight prizes so £40 in total). The event was conducted as a genuine speed-dating event, therefore participants had the opportunity of obtaining a second date if they found a match. Participants were recruited via the student’s volunteer system of the University. One participant dropped out in the middle of the speed dating event. </w:t>
      </w:r>
      <w:r w:rsidR="00413370">
        <w:rPr>
          <w:sz w:val="24"/>
          <w:szCs w:val="24"/>
        </w:rPr>
        <w:t xml:space="preserve">To keep the fluency of the event and not </w:t>
      </w:r>
      <w:r w:rsidR="00413370">
        <w:rPr>
          <w:sz w:val="24"/>
          <w:szCs w:val="24"/>
        </w:rPr>
        <w:lastRenderedPageBreak/>
        <w:t>leaving one person without a date on each round a back-up (confederate) took this place.</w:t>
      </w:r>
      <w:r w:rsidR="00413370">
        <w:rPr>
          <w:rStyle w:val="Refdenotaalpie"/>
          <w:sz w:val="24"/>
          <w:szCs w:val="24"/>
        </w:rPr>
        <w:footnoteReference w:id="37"/>
      </w:r>
    </w:p>
    <w:p w:rsidR="00FB1389" w:rsidRPr="00D05EBD" w:rsidRDefault="00FB1389" w:rsidP="00AE640B">
      <w:pPr>
        <w:spacing w:line="480" w:lineRule="auto"/>
        <w:ind w:left="1440" w:firstLine="720"/>
        <w:jc w:val="both"/>
        <w:rPr>
          <w:i/>
          <w:sz w:val="24"/>
          <w:szCs w:val="24"/>
        </w:rPr>
      </w:pPr>
      <w:r w:rsidRPr="00D05EBD">
        <w:rPr>
          <w:i/>
          <w:sz w:val="24"/>
          <w:szCs w:val="24"/>
        </w:rPr>
        <w:t xml:space="preserve">5.4.1.2 Procedure </w:t>
      </w:r>
    </w:p>
    <w:p w:rsidR="00FB1389" w:rsidRPr="00D05EBD" w:rsidRDefault="00FB1389" w:rsidP="00AE640B">
      <w:pPr>
        <w:spacing w:line="480" w:lineRule="auto"/>
        <w:ind w:firstLine="720"/>
        <w:jc w:val="both"/>
        <w:rPr>
          <w:sz w:val="24"/>
          <w:szCs w:val="24"/>
        </w:rPr>
      </w:pPr>
      <w:r w:rsidRPr="00D05EBD">
        <w:rPr>
          <w:sz w:val="24"/>
          <w:szCs w:val="24"/>
        </w:rPr>
        <w:t>Participants were invited to take part in an experiment ostensibly to explore the effects of memory in interpersonal interactions. Only participants who were single, heterosexual, and fluent in English were eligible to take part. They were informed their personal contact details</w:t>
      </w:r>
      <w:r w:rsidRPr="00D05EBD">
        <w:rPr>
          <w:rStyle w:val="Refdecomentario"/>
          <w:sz w:val="24"/>
          <w:szCs w:val="24"/>
        </w:rPr>
        <w:t xml:space="preserve"> </w:t>
      </w:r>
      <w:r w:rsidRPr="00D05EBD">
        <w:rPr>
          <w:sz w:val="24"/>
          <w:szCs w:val="24"/>
        </w:rPr>
        <w:t xml:space="preserve">would be passed to their dates only in the case there was a match, which occurred if both the participant and his/her date answered yes to a question asking them whether they would like to see their date again. Once participants agreed to take part in the study, they were sent a link to the online pre-event questionnaire. The study had received ethical approval from the Research Ethics Committee in the Department of Psychology at the University of Sheffield. </w:t>
      </w:r>
    </w:p>
    <w:p w:rsidR="00FB1389" w:rsidRPr="00D05EBD" w:rsidRDefault="00FB1389" w:rsidP="00AE640B">
      <w:pPr>
        <w:spacing w:line="480" w:lineRule="auto"/>
        <w:ind w:firstLine="720"/>
        <w:jc w:val="both"/>
        <w:rPr>
          <w:sz w:val="24"/>
          <w:szCs w:val="24"/>
        </w:rPr>
      </w:pPr>
      <w:r w:rsidRPr="00D05EBD">
        <w:rPr>
          <w:sz w:val="24"/>
          <w:szCs w:val="24"/>
        </w:rPr>
        <w:t>The day previous to the event, the researcher contacted each participant to confirm their attendance. 34 participants confirmed their attendance. The researcher then created individual identification (ID) numbers that helped her distinguish women from men. Using these codes, participants were quasi-randomly allocated to one of three tables they were going to sit at during the event, and to one of two conditions (high cognitive load and low cognitive load), in a fashion that produced an equal number of participants in the control and experimental condition</w:t>
      </w:r>
      <w:r w:rsidRPr="00973AEB">
        <w:rPr>
          <w:rStyle w:val="Refdenotaalpie"/>
        </w:rPr>
        <w:footnoteReference w:id="38"/>
      </w:r>
      <w:r w:rsidRPr="00D05EBD">
        <w:rPr>
          <w:sz w:val="24"/>
          <w:szCs w:val="24"/>
        </w:rPr>
        <w:t>.</w:t>
      </w:r>
    </w:p>
    <w:p w:rsidR="00FB1389" w:rsidRPr="00D05EBD" w:rsidRDefault="00FB1389" w:rsidP="00AE640B">
      <w:pPr>
        <w:spacing w:line="480" w:lineRule="auto"/>
        <w:ind w:firstLine="720"/>
        <w:jc w:val="both"/>
        <w:rPr>
          <w:sz w:val="24"/>
          <w:szCs w:val="24"/>
        </w:rPr>
      </w:pPr>
      <w:r w:rsidRPr="00D05EBD">
        <w:rPr>
          <w:sz w:val="24"/>
          <w:szCs w:val="24"/>
        </w:rPr>
        <w:lastRenderedPageBreak/>
        <w:t xml:space="preserve">The speed dating event took place on the premises of the University’s bar. Participants were asked not to consume any alcohol during the first part of the event (the first 3 dates); during the second part of the event a few participants purchased a beer. On arrival, participants were given a tag with their ID number that they wore in a visible place. This was done to allow participants to identify themselves and their dates throughout the event. Participants were directed to their respective pre-assigned table (two tables of 12 people and one of 10 people) having a row of women sitting opposite a row of men. Thus, there were two tables with 6 participants in the control condition (3 men and 3 women) and six participants in the experimental condition (3 men and 3 women), and one table with 6 participants in the control condition (3 men and 3 woman) and 4 participants in the experimental condition (2 men and 2 women). They were asked not to talk to members of the opposite sex on their assigned table until instructed to do so by one of 5 research assistants or by the experimenter. </w:t>
      </w:r>
    </w:p>
    <w:p w:rsidR="00FB1389" w:rsidRPr="00D05EBD" w:rsidRDefault="00FB1389" w:rsidP="00AE640B">
      <w:pPr>
        <w:spacing w:line="480" w:lineRule="auto"/>
        <w:ind w:firstLine="720"/>
        <w:jc w:val="both"/>
        <w:rPr>
          <w:sz w:val="24"/>
          <w:szCs w:val="24"/>
        </w:rPr>
      </w:pPr>
      <w:r w:rsidRPr="00D05EBD">
        <w:rPr>
          <w:sz w:val="24"/>
          <w:szCs w:val="24"/>
        </w:rPr>
        <w:t>Once all participants were at their respective table, they were provided with a ‘welcome’ document which explained what was going to happen in the event. This document first welcomed participants to the event, explained to them that they should write down their ID number and the ID number of their date in a questionnaire they were going to be asked to complete after each date. They were also informed that before each date they were going to be provided with a number they would have to remember throughout their date, and that they were going to be asked to write down</w:t>
      </w:r>
      <w:r w:rsidR="00831D5C">
        <w:rPr>
          <w:sz w:val="24"/>
          <w:szCs w:val="24"/>
        </w:rPr>
        <w:t xml:space="preserve"> </w:t>
      </w:r>
      <w:r w:rsidRPr="00D05EBD">
        <w:rPr>
          <w:sz w:val="24"/>
          <w:szCs w:val="24"/>
        </w:rPr>
        <w:lastRenderedPageBreak/>
        <w:t>this number at the end of each date</w:t>
      </w:r>
      <w:r w:rsidRPr="00973AEB">
        <w:rPr>
          <w:rStyle w:val="Refdenotaalpie"/>
        </w:rPr>
        <w:footnoteReference w:id="39"/>
      </w:r>
      <w:r w:rsidRPr="00D05EBD">
        <w:rPr>
          <w:sz w:val="24"/>
          <w:szCs w:val="24"/>
        </w:rPr>
        <w:t>. Special emphasis was made at telling them that, as they were told the purpose of this study was to explore the effect of memory o</w:t>
      </w:r>
      <w:r w:rsidR="008547AE">
        <w:rPr>
          <w:sz w:val="24"/>
          <w:szCs w:val="24"/>
        </w:rPr>
        <w:t>n interpersonal interactions,</w:t>
      </w:r>
      <w:r w:rsidRPr="00D05EBD">
        <w:rPr>
          <w:sz w:val="24"/>
          <w:szCs w:val="24"/>
        </w:rPr>
        <w:t xml:space="preserve"> it was very important for them to remember this number and that in the case they did not remember the whole number at the end of their date, they should write as much as they remembered of it.  After reading the welcome document and before starting their first date, all participants answered an initial questionnaire (the pre-date questionnaire) containing a measure of mental energy</w:t>
      </w:r>
      <w:r w:rsidRPr="00973AEB">
        <w:rPr>
          <w:rStyle w:val="Refdenotaalpie"/>
        </w:rPr>
        <w:footnoteReference w:id="40"/>
      </w:r>
      <w:r w:rsidRPr="00D05EBD">
        <w:rPr>
          <w:sz w:val="24"/>
          <w:szCs w:val="24"/>
        </w:rPr>
        <w:t xml:space="preserve">, emotional exhaustion and intrinsic affect (what the participant was feeling). This questionnaire also included the manipulation of cognitive load which was based on the cognitive capacity manipulation by </w:t>
      </w:r>
      <w:r w:rsidR="00B06E70">
        <w:rPr>
          <w:sz w:val="24"/>
          <w:szCs w:val="24"/>
        </w:rPr>
        <w:fldChar w:fldCharType="begin" w:fldLock="1"/>
      </w:r>
      <w:r w:rsidR="008078FE">
        <w:rPr>
          <w:sz w:val="24"/>
          <w:szCs w:val="24"/>
        </w:rPr>
        <w:instrText>ADDIN CSL_CITATION { "citationItems" : [ { "id" : "ITEM-1", "itemData" : { "DOI" : "10.1348/014466607X241540", "ISBN" : "0144-6665", "ISSN" : "0144-6665", "PMID" : "17880753", "abstract" : "Recent theories in social psychology suggest that explicitly measured attitudes are particularly valuable for the prediction of deliberate, controlled behaviour. In contrast, implicitly measured attitudes are assumed to be more important for the prediction of less controlled, more impulsive behaviour. Yet, conclusive evidence for the differential predictive validity of both measures is scarce. We hypothesized that limitations of different control resources would lead to functionally equivalent effects. In Study 1, cognitive capacity moderated the predictive validity of both explicit and implicit attitude measures in a choice task. Self-regulatory resources led to similar patterns for eating (Study 2) and drinking behaviour (Study 3). In addition to the predictive validity of implicit and explicit attitude measures, in Study 3 we more closely investigated the relative contributions of explicitly measured attitudes and general restraint standards as two distinct, but complementing constructs that are dependent on control resources.", "author" : [ { "dropping-particle" : "", "family" : "Friese", "given" : "Malte", "non-dropping-particle" : "", "parse-names" : false, "suffix" : "" }, { "dropping-particle" : "", "family" : "Hofmann", "given" : "Wilhelm", "non-dropping-particle" : "", "parse-names" : false, "suffix" : "" }, { "dropping-particle" : "", "family" : "W\u00e4nke", "given" : "Michaela", "non-dropping-particle" : "", "parse-names" : false, "suffix" : "" } ], "container-title" : "The British journal of social psychology / the British Psychological Society", "id" : "ITEM-1", "issue" : "Pt 3", "issued" : { "date-parts" : [ [ "2008" ] ] }, "page" : "397-419", "title" : "When impulses take over: moderated predictive validity of explicit and implicit attitude measures in predicting food choice and consumption behaviour.", "type" : "article-journal", "volume" : "47" }, "uris" : [ "http://www.mendeley.com/documents/?uuid=e282daee-5217-348f-a660-6d1f89ddd1d3" ] } ], "mendeley" : { "formattedCitation" : "(Friese et al., 2008)", "manualFormatting" : "Friese et al. (2008)", "plainTextFormattedCitation" : "(Friese et al., 2008)", "previouslyFormattedCitation" : "(Friese et al., 2008)" }, "properties" : { "noteIndex" : 0 }, "schema" : "https://github.com/citation-style-language/schema/raw/master/csl-citation.json" }</w:instrText>
      </w:r>
      <w:r w:rsidR="00B06E70">
        <w:rPr>
          <w:sz w:val="24"/>
          <w:szCs w:val="24"/>
        </w:rPr>
        <w:fldChar w:fldCharType="separate"/>
      </w:r>
      <w:r w:rsidR="008078FE">
        <w:rPr>
          <w:noProof/>
          <w:sz w:val="24"/>
          <w:szCs w:val="24"/>
        </w:rPr>
        <w:t>Friese et al.</w:t>
      </w:r>
      <w:r w:rsidR="008078FE" w:rsidRPr="008078FE">
        <w:rPr>
          <w:noProof/>
          <w:sz w:val="24"/>
          <w:szCs w:val="24"/>
        </w:rPr>
        <w:t xml:space="preserve"> </w:t>
      </w:r>
      <w:r w:rsidR="008078FE">
        <w:rPr>
          <w:noProof/>
          <w:sz w:val="24"/>
          <w:szCs w:val="24"/>
        </w:rPr>
        <w:t>(</w:t>
      </w:r>
      <w:r w:rsidR="008078FE" w:rsidRPr="008078FE">
        <w:rPr>
          <w:noProof/>
          <w:sz w:val="24"/>
          <w:szCs w:val="24"/>
        </w:rPr>
        <w:t>2008)</w:t>
      </w:r>
      <w:r w:rsidR="00B06E70">
        <w:rPr>
          <w:sz w:val="24"/>
          <w:szCs w:val="24"/>
        </w:rPr>
        <w:fldChar w:fldCharType="end"/>
      </w:r>
      <w:r w:rsidRPr="00D05EBD">
        <w:rPr>
          <w:sz w:val="24"/>
          <w:szCs w:val="24"/>
        </w:rPr>
        <w:t>. Participants were allocated to either a low cognitive load or a high cognitive load condition. In the low cognitive load condition participants were asked to remember a 1-digit number during each of their dates (one different number every time). In the high cognitive load condition participants were given an 11-digit number that had the structure of an UK mobile telephone number (one different number every time</w:t>
      </w:r>
      <w:r w:rsidRPr="00973AEB">
        <w:rPr>
          <w:rStyle w:val="Refdenotaalpie"/>
        </w:rPr>
        <w:footnoteReference w:id="41"/>
      </w:r>
      <w:r w:rsidRPr="00D05EBD">
        <w:rPr>
          <w:sz w:val="24"/>
          <w:szCs w:val="24"/>
        </w:rPr>
        <w:t>). Participants in both conditions were asked to write down as much as they remembered of this number at the end of their dates and they were not aware there were two different conditions (control and experimental)</w:t>
      </w:r>
      <w:r w:rsidRPr="00973AEB">
        <w:rPr>
          <w:rStyle w:val="Refdenotaalpie"/>
        </w:rPr>
        <w:footnoteReference w:id="42"/>
      </w:r>
      <w:r w:rsidRPr="00D05EBD">
        <w:rPr>
          <w:sz w:val="24"/>
          <w:szCs w:val="24"/>
        </w:rPr>
        <w:t xml:space="preserve">. Each date lasted 4 minutes. Research assistants at each table signalled the start and end of each date. </w:t>
      </w:r>
    </w:p>
    <w:p w:rsidR="00FB1389" w:rsidRPr="00D05EBD" w:rsidRDefault="00FB1389" w:rsidP="00AE640B">
      <w:pPr>
        <w:spacing w:line="480" w:lineRule="auto"/>
        <w:ind w:firstLine="720"/>
        <w:jc w:val="both"/>
        <w:rPr>
          <w:sz w:val="24"/>
          <w:szCs w:val="24"/>
        </w:rPr>
      </w:pPr>
      <w:r w:rsidRPr="00D05EBD">
        <w:rPr>
          <w:sz w:val="24"/>
          <w:szCs w:val="24"/>
        </w:rPr>
        <w:lastRenderedPageBreak/>
        <w:t xml:space="preserve">After each date, participants received a questionnaire (the after-date questionnaire) which first asked them to recall the number that they were given on the previous questionnaire. They then answered six questions concerning their use of IER. The first three questions concerned their use of improving IER strategies: </w:t>
      </w:r>
      <w:proofErr w:type="spellStart"/>
      <w:r w:rsidRPr="00D05EBD">
        <w:rPr>
          <w:sz w:val="24"/>
          <w:szCs w:val="24"/>
        </w:rPr>
        <w:t>i</w:t>
      </w:r>
      <w:proofErr w:type="spellEnd"/>
      <w:r w:rsidRPr="00D05EBD">
        <w:rPr>
          <w:sz w:val="24"/>
          <w:szCs w:val="24"/>
        </w:rPr>
        <w:t>) the first question asked them whether they had done or said anything nice to try to make their date feel good; ii) the second question asked them whether they intended or not to do or say something nice to try to make their date feel good; iii) the third question asked them whether it was easy or not for them to say or do something nice to try to make their date feel good</w:t>
      </w:r>
      <w:r w:rsidRPr="00973AEB">
        <w:rPr>
          <w:rStyle w:val="Refdenotaalpie"/>
        </w:rPr>
        <w:footnoteReference w:id="43"/>
      </w:r>
      <w:r w:rsidRPr="00D05EBD">
        <w:rPr>
          <w:sz w:val="24"/>
          <w:szCs w:val="24"/>
        </w:rPr>
        <w:t xml:space="preserve">. The other three questions explored the participant’s use of worsening IER strategies and followed the same format as the improving IER strategies questions (these questions corresponded to the factors used in the present study to identify use of AIER strategies, namely awareness of use of IER, intention to use IER and effort exerted in using IER). Participants were also asked whether they thought their date had used worsening and improving IER strategies. The questionnaire also contained measures of intrinsic affect; extrinsic affect (how the participant’s date made them feel); mental fatigue; emotional exhaustion; and partner’s physical </w:t>
      </w:r>
      <w:r w:rsidR="00ED69B9">
        <w:rPr>
          <w:sz w:val="24"/>
          <w:szCs w:val="24"/>
        </w:rPr>
        <w:t xml:space="preserve">attractiveness and likeability (attractiveness and likeability were explored to see whether they influenced the participant willingness to go on a second date). </w:t>
      </w:r>
      <w:r w:rsidRPr="00D05EBD">
        <w:rPr>
          <w:sz w:val="24"/>
          <w:szCs w:val="24"/>
        </w:rPr>
        <w:t>A question then asked participants whether they would like to go on a second date with that person or not; and finally participants were given a number to remember throughout their next date.</w:t>
      </w:r>
      <w:r w:rsidRPr="00973AEB">
        <w:rPr>
          <w:rStyle w:val="Refdenotaalpie"/>
        </w:rPr>
        <w:footnoteReference w:id="44"/>
      </w:r>
    </w:p>
    <w:p w:rsidR="00FB1389" w:rsidRPr="00D05EBD" w:rsidRDefault="00FB1389" w:rsidP="00AE640B">
      <w:pPr>
        <w:spacing w:line="480" w:lineRule="auto"/>
        <w:ind w:firstLine="720"/>
        <w:jc w:val="both"/>
        <w:rPr>
          <w:sz w:val="24"/>
          <w:szCs w:val="24"/>
        </w:rPr>
      </w:pPr>
      <w:r w:rsidRPr="00D05EBD">
        <w:rPr>
          <w:sz w:val="24"/>
          <w:szCs w:val="24"/>
        </w:rPr>
        <w:lastRenderedPageBreak/>
        <w:t>To move to the next date, the male members of each table moved clockwise while the women remained at their seats. After the third date, participants were given a short 10-minutes break, where they could drink either a non-alcoholic or an alcoholic drink. Very few participants had an alcoholic drink. Individuals had between 5 and 6 different dates, depending on whether they belonged to a table with 10 or a 12 people. This provided a total of 97 different dates and 194 observations. At the end of the event, the participants completed a short final questionnaire (the end-of-event questionnaire), and the experimenter fully debriefed them and thanked them for their participation.</w:t>
      </w:r>
    </w:p>
    <w:p w:rsidR="00FB1389" w:rsidRPr="00D05EBD" w:rsidRDefault="00FB1389" w:rsidP="00AE640B">
      <w:pPr>
        <w:spacing w:line="480" w:lineRule="auto"/>
        <w:ind w:left="1440" w:firstLine="720"/>
        <w:jc w:val="both"/>
        <w:rPr>
          <w:i/>
          <w:sz w:val="24"/>
          <w:szCs w:val="24"/>
        </w:rPr>
      </w:pPr>
      <w:r w:rsidRPr="00D05EBD">
        <w:rPr>
          <w:i/>
          <w:sz w:val="24"/>
          <w:szCs w:val="24"/>
        </w:rPr>
        <w:t>5.4.1.3 Materials</w:t>
      </w:r>
    </w:p>
    <w:p w:rsidR="00FB1389" w:rsidRPr="00D05EBD" w:rsidRDefault="00FB1389" w:rsidP="00AE640B">
      <w:pPr>
        <w:spacing w:line="480" w:lineRule="auto"/>
        <w:ind w:firstLine="720"/>
        <w:jc w:val="both"/>
        <w:rPr>
          <w:sz w:val="24"/>
          <w:szCs w:val="24"/>
        </w:rPr>
      </w:pPr>
      <w:r w:rsidRPr="00D05EBD">
        <w:rPr>
          <w:sz w:val="24"/>
          <w:szCs w:val="24"/>
        </w:rPr>
        <w:t xml:space="preserve">Data was collected in two stages, first a couple of weeks before the speed dating event in the form of the pre-event questionnaire, then, on the day of the event in the form of the pre-date questionnaire, the series of after-date questionnaires, and the end-of-event questionnaire. </w:t>
      </w:r>
    </w:p>
    <w:p w:rsidR="00FB1389" w:rsidRPr="00D05EBD" w:rsidRDefault="00FB1389" w:rsidP="00AE640B">
      <w:pPr>
        <w:spacing w:line="480" w:lineRule="auto"/>
        <w:ind w:firstLine="720"/>
        <w:jc w:val="both"/>
        <w:rPr>
          <w:i/>
          <w:sz w:val="24"/>
          <w:szCs w:val="24"/>
        </w:rPr>
      </w:pPr>
      <w:r w:rsidRPr="00D05EBD">
        <w:rPr>
          <w:i/>
          <w:sz w:val="24"/>
          <w:szCs w:val="24"/>
        </w:rPr>
        <w:t>Stage 1: Pre-event questionnaire</w:t>
      </w:r>
      <w:r w:rsidRPr="00973AEB">
        <w:rPr>
          <w:rStyle w:val="Refdenotaalpie"/>
        </w:rPr>
        <w:footnoteReference w:id="45"/>
      </w:r>
    </w:p>
    <w:p w:rsidR="00FB1389" w:rsidRPr="00D05EBD" w:rsidRDefault="00FB1389" w:rsidP="00AE640B">
      <w:pPr>
        <w:spacing w:line="480" w:lineRule="auto"/>
        <w:ind w:firstLine="720"/>
        <w:jc w:val="both"/>
        <w:rPr>
          <w:sz w:val="24"/>
          <w:szCs w:val="24"/>
        </w:rPr>
      </w:pPr>
      <w:r w:rsidRPr="00D05EBD">
        <w:rPr>
          <w:sz w:val="24"/>
          <w:szCs w:val="24"/>
        </w:rPr>
        <w:t xml:space="preserve">The </w:t>
      </w:r>
      <w:r w:rsidRPr="00D05EBD">
        <w:rPr>
          <w:i/>
          <w:sz w:val="24"/>
          <w:szCs w:val="24"/>
        </w:rPr>
        <w:t xml:space="preserve">Self-Report Habit Index </w:t>
      </w:r>
      <w:r w:rsidRPr="00D05EBD">
        <w:rPr>
          <w:sz w:val="24"/>
          <w:szCs w:val="24"/>
        </w:rPr>
        <w:t xml:space="preserve">(SRHI, </w:t>
      </w:r>
      <w:r w:rsidR="00B06E70">
        <w:rPr>
          <w:sz w:val="24"/>
          <w:szCs w:val="24"/>
        </w:rPr>
        <w:fldChar w:fldCharType="begin" w:fldLock="1"/>
      </w:r>
      <w:r w:rsidR="008078FE">
        <w:rPr>
          <w:sz w:val="24"/>
          <w:szCs w:val="24"/>
        </w:rPr>
        <w:instrText>ADDIN CSL_CITATION { "citationItems" : [ { "id" : "ITEM-1", "itemData" : { "DOI" : "10.1111/j.1559-1816.2003.tb01951.x", "ISBN" : "0021-9029", "ISSN" : "00219029", "PMID" : "11295922", "abstract" : "We argue that habit is a psychological construct, rather than simply past behavioral frequency. In 4 studies, a 12-item index of habit strength (the Self-Report Habit Index, SRHI) was developed on the basis of features of habit; that is, a history of repetition, automaticity (lack of control and awareness, efficiency), and expressing identity. High internal and test-retest reliabilities were found. The SRHI correlated strongly with past behavioral frequency and the response frequency measure of habit (Verplanken, Aarts, van Knippenberg, &amp; van Knippenberg, 1994). The index discriminated between behaviors varying in frequency, and also between daily vs. weekly habits. The SRHI may be useful as a dependent variable, or to determine or monitor habit strength without measuring behavioral frequency. (PsycINFO Database Record (c) 2006 APA, all rights reserved) (journal abstract)", "author" : [ { "dropping-particle" : "", "family" : "Verplanken", "given" : "Bas", "non-dropping-particle" : "", "parse-names" : false, "suffix" : "" }, { "dropping-particle" : "", "family" : "Orbell", "given" : "Sheina", "non-dropping-particle" : "", "parse-names" : false, "suffix" : "" } ], "container-title" : "Journal of Applied Social Psychology", "id" : "ITEM-1", "issue" : "1313", "issued" : { "date-parts" : [ [ "2003" ] ] }, "page" : "1313-1330", "title" : "Reflections on past behavior: A self-report index of habit strength", "type" : "article-journal", "volume" : "33" }, "uris" : [ "http://www.mendeley.com/documents/?uuid=15df5f59-5a71-47d8-ab38-9c9d3ffcd5ad" ] } ], "mendeley" : { "formattedCitation" : "(Bas Verplanken &amp; Orbell, 2003)", "manualFormatting" : "(Verplanken &amp; Orbell, 2003)", "plainTextFormattedCitation" : "(Bas Verplanken &amp; Orbell, 2003)", "previouslyFormattedCitation" : "(Bas Verplanken &amp; Orbell, 2003)" }, "properties" : { "noteIndex" : 0 }, "schema" : "https://github.com/citation-style-language/schema/raw/master/csl-citation.json" }</w:instrText>
      </w:r>
      <w:r w:rsidR="00B06E70">
        <w:rPr>
          <w:sz w:val="24"/>
          <w:szCs w:val="24"/>
        </w:rPr>
        <w:fldChar w:fldCharType="separate"/>
      </w:r>
      <w:r w:rsidR="008078FE" w:rsidRPr="008078FE">
        <w:rPr>
          <w:noProof/>
          <w:sz w:val="24"/>
          <w:szCs w:val="24"/>
        </w:rPr>
        <w:t>Verplanken &amp; Orbell, 2003)</w:t>
      </w:r>
      <w:r w:rsidR="00B06E70">
        <w:rPr>
          <w:sz w:val="24"/>
          <w:szCs w:val="24"/>
        </w:rPr>
        <w:fldChar w:fldCharType="end"/>
      </w:r>
      <w:r w:rsidRPr="00D05EBD">
        <w:rPr>
          <w:sz w:val="24"/>
          <w:szCs w:val="24"/>
        </w:rPr>
        <w:t xml:space="preserve"> was used to measure the extent to which participants habitually use IER strategies</w:t>
      </w:r>
      <w:r w:rsidRPr="00D05EBD">
        <w:rPr>
          <w:i/>
          <w:sz w:val="24"/>
          <w:szCs w:val="24"/>
        </w:rPr>
        <w:t xml:space="preserve">. </w:t>
      </w:r>
      <w:r w:rsidRPr="00D05EBD">
        <w:rPr>
          <w:sz w:val="24"/>
          <w:szCs w:val="24"/>
        </w:rPr>
        <w:t xml:space="preserve">12 items assessed the extent to which people habitually make others feel better (e.g. </w:t>
      </w:r>
      <w:r w:rsidRPr="00D05EBD">
        <w:rPr>
          <w:i/>
          <w:sz w:val="24"/>
          <w:szCs w:val="24"/>
        </w:rPr>
        <w:t>Making people feel better is something I do frequently</w:t>
      </w:r>
      <w:r w:rsidRPr="00D05EBD">
        <w:rPr>
          <w:sz w:val="24"/>
          <w:szCs w:val="24"/>
        </w:rPr>
        <w:t xml:space="preserve">; α=.89) and 12 items assessed the extent to which people habitually make others feel worse (e.g. </w:t>
      </w:r>
      <w:r w:rsidRPr="00D05EBD">
        <w:rPr>
          <w:i/>
          <w:sz w:val="24"/>
          <w:szCs w:val="24"/>
        </w:rPr>
        <w:t>Making people feel bad is something I do automatically</w:t>
      </w:r>
      <w:r w:rsidRPr="00D05EBD">
        <w:rPr>
          <w:sz w:val="24"/>
          <w:szCs w:val="24"/>
        </w:rPr>
        <w:t xml:space="preserve">; α=.90). All statements were responded to on a scale ranging from 1 </w:t>
      </w:r>
      <w:r w:rsidRPr="00D05EBD">
        <w:rPr>
          <w:i/>
          <w:sz w:val="24"/>
          <w:szCs w:val="24"/>
        </w:rPr>
        <w:t>(strongly agree)</w:t>
      </w:r>
      <w:r w:rsidRPr="00D05EBD">
        <w:rPr>
          <w:sz w:val="24"/>
          <w:szCs w:val="24"/>
        </w:rPr>
        <w:t xml:space="preserve"> to 11 </w:t>
      </w:r>
      <w:r w:rsidRPr="00D05EBD">
        <w:rPr>
          <w:i/>
          <w:sz w:val="24"/>
          <w:szCs w:val="24"/>
        </w:rPr>
        <w:t>(strongly disagree).</w:t>
      </w:r>
    </w:p>
    <w:p w:rsidR="00FB1389" w:rsidRPr="00D05EBD" w:rsidRDefault="00FB1389" w:rsidP="00AE640B">
      <w:pPr>
        <w:spacing w:line="480" w:lineRule="auto"/>
        <w:ind w:firstLine="720"/>
        <w:jc w:val="both"/>
        <w:rPr>
          <w:sz w:val="24"/>
          <w:szCs w:val="24"/>
        </w:rPr>
      </w:pPr>
      <w:r w:rsidRPr="00D05EBD">
        <w:rPr>
          <w:sz w:val="24"/>
          <w:szCs w:val="24"/>
        </w:rPr>
        <w:lastRenderedPageBreak/>
        <w:t xml:space="preserve">The </w:t>
      </w:r>
      <w:r w:rsidRPr="00D05EBD">
        <w:rPr>
          <w:i/>
          <w:sz w:val="24"/>
          <w:szCs w:val="24"/>
        </w:rPr>
        <w:t>Difficulties in Emotion Regulation Scale</w:t>
      </w:r>
      <w:r w:rsidR="008078FE">
        <w:rPr>
          <w:i/>
          <w:sz w:val="24"/>
          <w:szCs w:val="24"/>
        </w:rPr>
        <w:t xml:space="preserve"> </w:t>
      </w:r>
      <w:r w:rsidR="00B06E70">
        <w:rPr>
          <w:i/>
          <w:sz w:val="24"/>
          <w:szCs w:val="24"/>
        </w:rPr>
        <w:fldChar w:fldCharType="begin" w:fldLock="1"/>
      </w:r>
      <w:r w:rsidR="005606D9">
        <w:rPr>
          <w:i/>
          <w:sz w:val="24"/>
          <w:szCs w:val="24"/>
        </w:rPr>
        <w:instrText>ADDIN CSL_CITATION { "citationItems" : [ { "id" : "ITEM-1", "itemData" : { "abstract" : "Given recent attention to emotion regulation as a potentially unifying function of diverse symptom presentations, there is a need for comprehensive measures that adequately assess difficulties in emo-tion regulation among adults. This paper (a) proposes an integrative conceptualization of emotion regulation as involving not just the modulation of emotional arousal, but also the awareness, under-standing, and acceptance of emotions, and the ability to act in desired ways regardless of emotional state; and (b) begins to explore the factor structure and psychometric properties of a new measure, the Difficulties in Emotion Regulation Scale (DERS). Two samples of undergraduate students completed questionnaire packets. Preliminary findings suggest that the DERS has high internal consistency, good test\u2013retest reliability, and adequate construct and predictive validity.", "author" : [ { "dropping-particle" : "", "family" : "Gratz", "given" : "K.L.;", "non-dropping-particle" : "", "parse-names" : false, "suffix" : "" }, { "dropping-particle" : "", "family" : "Roemer", "given" : "Lizabeth", "non-dropping-particle" : "", "parse-names" : false, "suffix" : "" } ], "container-title" : "Journal of Psychopathology and Behavioral Assessment", "id" : "ITEM-1", "issue" : "1", "issued" : { "date-parts" : [ [ "2004" ] ] }, "page" : "41-54", "title" : "Multidimensional assessment fo emotion regulation and dysregulation: Development, factor structure, and inittial validation of the Difficulties in Emotion Regulation Scale", "type" : "article-journal", "volume" : "26" }, "uris" : [ "http://www.mendeley.com/documents/?uuid=924998e1-51eb-3c68-b502-949d1febea7a" ] } ], "mendeley" : { "formattedCitation" : "(Gratz &amp; Roemer, 2004)", "plainTextFormattedCitation" : "(Gratz &amp; Roemer, 2004)", "previouslyFormattedCitation" : "(Gratz &amp; Roemer, 2004)" }, "properties" : { "noteIndex" : 0 }, "schema" : "https://github.com/citation-style-language/schema/raw/master/csl-citation.json" }</w:instrText>
      </w:r>
      <w:r w:rsidR="00B06E70">
        <w:rPr>
          <w:i/>
          <w:sz w:val="24"/>
          <w:szCs w:val="24"/>
        </w:rPr>
        <w:fldChar w:fldCharType="separate"/>
      </w:r>
      <w:r w:rsidR="008078FE" w:rsidRPr="008078FE">
        <w:rPr>
          <w:noProof/>
          <w:sz w:val="24"/>
          <w:szCs w:val="24"/>
        </w:rPr>
        <w:t>(Gratz &amp; Roemer, 2004)</w:t>
      </w:r>
      <w:r w:rsidR="00B06E70">
        <w:rPr>
          <w:i/>
          <w:sz w:val="24"/>
          <w:szCs w:val="24"/>
        </w:rPr>
        <w:fldChar w:fldCharType="end"/>
      </w:r>
      <w:r w:rsidRPr="00D05EBD">
        <w:rPr>
          <w:sz w:val="24"/>
          <w:szCs w:val="24"/>
        </w:rPr>
        <w:t xml:space="preserve"> was used to explore difficulties in ER. It consisted of 36 items on a 5-point Likert scale ranging from 1 (almost never) to 5 (almost always). It comprised 6 factors which assess:</w:t>
      </w:r>
      <w:r w:rsidRPr="00D05EBD">
        <w:rPr>
          <w:rFonts w:eastAsia="Times New Roman" w:cs="Times New Roman"/>
          <w:color w:val="000000"/>
          <w:sz w:val="24"/>
          <w:szCs w:val="24"/>
          <w:lang w:eastAsia="es-ES"/>
        </w:rPr>
        <w:t xml:space="preserve"> </w:t>
      </w:r>
      <w:proofErr w:type="spellStart"/>
      <w:r w:rsidRPr="00D05EBD">
        <w:rPr>
          <w:rFonts w:eastAsia="Times New Roman" w:cs="Times New Roman"/>
          <w:color w:val="000000"/>
          <w:sz w:val="24"/>
          <w:szCs w:val="24"/>
          <w:lang w:eastAsia="es-ES"/>
        </w:rPr>
        <w:t>i</w:t>
      </w:r>
      <w:proofErr w:type="spellEnd"/>
      <w:r w:rsidRPr="00D05EBD">
        <w:rPr>
          <w:rFonts w:eastAsia="Times New Roman" w:cs="Times New Roman"/>
          <w:color w:val="000000"/>
          <w:sz w:val="24"/>
          <w:szCs w:val="24"/>
          <w:lang w:eastAsia="es-ES"/>
        </w:rPr>
        <w:t xml:space="preserve">) non-acceptance of emotional responses (e.g. </w:t>
      </w:r>
      <w:r w:rsidRPr="00D05EBD">
        <w:rPr>
          <w:rFonts w:eastAsia="Times New Roman" w:cs="Times New Roman"/>
          <w:i/>
          <w:color w:val="000000"/>
          <w:sz w:val="24"/>
          <w:szCs w:val="24"/>
          <w:lang w:eastAsia="es-ES"/>
        </w:rPr>
        <w:t>When I am upset, I become angry with myself for feeling that way</w:t>
      </w:r>
      <w:r w:rsidRPr="00D05EBD">
        <w:rPr>
          <w:sz w:val="24"/>
          <w:szCs w:val="24"/>
        </w:rPr>
        <w:t xml:space="preserve">, α = .88); ii) difficulties in engaging in goal-directed behaviour (e.g. </w:t>
      </w:r>
      <w:r w:rsidRPr="00D05EBD">
        <w:rPr>
          <w:i/>
          <w:sz w:val="24"/>
          <w:szCs w:val="24"/>
        </w:rPr>
        <w:t>When I’m upset, I have difficulty getting work done</w:t>
      </w:r>
      <w:r w:rsidRPr="00D05EBD">
        <w:rPr>
          <w:sz w:val="24"/>
          <w:szCs w:val="24"/>
        </w:rPr>
        <w:t xml:space="preserve">, α=.62); iii) impulse control difficulties (e.g. </w:t>
      </w:r>
      <w:r w:rsidRPr="00D05EBD">
        <w:rPr>
          <w:i/>
          <w:sz w:val="24"/>
          <w:szCs w:val="24"/>
        </w:rPr>
        <w:t>I experience my emotions as overwhelming and out of control</w:t>
      </w:r>
      <w:r w:rsidRPr="00D05EBD">
        <w:rPr>
          <w:sz w:val="24"/>
          <w:szCs w:val="24"/>
        </w:rPr>
        <w:t xml:space="preserve">, α=.72); iv) lack of emotional awareness (e.g. </w:t>
      </w:r>
      <w:r w:rsidRPr="00D05EBD">
        <w:rPr>
          <w:i/>
          <w:sz w:val="24"/>
          <w:szCs w:val="24"/>
        </w:rPr>
        <w:t>I pay attention to how I feel</w:t>
      </w:r>
      <w:r w:rsidRPr="00D05EBD">
        <w:rPr>
          <w:sz w:val="24"/>
          <w:szCs w:val="24"/>
        </w:rPr>
        <w:t xml:space="preserve">, α=.78); v) limited access to ER strategies (e.g. </w:t>
      </w:r>
      <w:r w:rsidRPr="00D05EBD">
        <w:rPr>
          <w:i/>
          <w:sz w:val="24"/>
          <w:szCs w:val="24"/>
        </w:rPr>
        <w:t>When I’m upset, I believe that I will remain that way for a long time</w:t>
      </w:r>
      <w:r w:rsidRPr="00D05EBD">
        <w:rPr>
          <w:sz w:val="24"/>
          <w:szCs w:val="24"/>
        </w:rPr>
        <w:t xml:space="preserve">, α=.80); and vi) lack of emotional clarity (e.g. </w:t>
      </w:r>
      <w:r w:rsidRPr="00D05EBD">
        <w:rPr>
          <w:i/>
          <w:sz w:val="24"/>
          <w:szCs w:val="24"/>
        </w:rPr>
        <w:t>I have no idea how I am feeling</w:t>
      </w:r>
      <w:r w:rsidRPr="00D05EBD">
        <w:rPr>
          <w:sz w:val="24"/>
          <w:szCs w:val="24"/>
        </w:rPr>
        <w:t>, α=.50).</w:t>
      </w:r>
    </w:p>
    <w:p w:rsidR="00FB1389" w:rsidRPr="00D05EBD" w:rsidRDefault="00FB1389" w:rsidP="00AE640B">
      <w:pPr>
        <w:spacing w:line="480" w:lineRule="auto"/>
        <w:ind w:firstLine="720"/>
        <w:jc w:val="both"/>
        <w:rPr>
          <w:i/>
          <w:sz w:val="24"/>
          <w:szCs w:val="24"/>
        </w:rPr>
      </w:pPr>
      <w:r w:rsidRPr="00D05EBD">
        <w:rPr>
          <w:sz w:val="24"/>
          <w:szCs w:val="24"/>
        </w:rPr>
        <w:t xml:space="preserve">The </w:t>
      </w:r>
      <w:r w:rsidRPr="00D05EBD">
        <w:rPr>
          <w:i/>
          <w:sz w:val="24"/>
          <w:szCs w:val="24"/>
        </w:rPr>
        <w:t>Berkeley Expressivity Questionnaire</w:t>
      </w:r>
      <w:r w:rsidRPr="00D05EBD">
        <w:rPr>
          <w:sz w:val="24"/>
          <w:szCs w:val="24"/>
        </w:rPr>
        <w:t xml:space="preserve"> </w:t>
      </w:r>
      <w:r w:rsidR="00B06E70">
        <w:rPr>
          <w:sz w:val="24"/>
          <w:szCs w:val="24"/>
        </w:rPr>
        <w:fldChar w:fldCharType="begin" w:fldLock="1"/>
      </w:r>
      <w:r w:rsidR="005606D9">
        <w:rPr>
          <w:sz w:val="24"/>
          <w:szCs w:val="24"/>
        </w:rPr>
        <w:instrText>ADDIN CSL_CITATION { "citationItems" : [ { "id" : "ITEM-1", "itemData" : { "abstract" : "Drawing on an explicit model of emotion, we propose a multifaceted approach to emotional expressiv-ity, defined as the behavioral (e.g., facial, postural) changes associated with emotion. Study 1 shows that self-reported expressivity has 3 facets (Impulse Strength, Negative Expressivity, Positive Expressivity). Study 2 shows that the same 3 facets emerge in peer ratings and that there are robust relations between self-and peer-rated expressivity. In Study 3, emotion-expressive behavior was videotaped and related to expressivity self-reports obtained several months earlier. As expected, Negative Expressivity predicted behavioral expressions of sadness (but not amusement), whereas Positive Expressivity predicted amusement (but not sadness). These relations remained even when subjective emotional experience and physiological response were controlled. These studies demon-strate the importance of a multifaceted approach to emotional expressivity and have implications for the understanding of personality and emotion.", "author" : [ { "dropping-particle" : "", "family" : "Gross", "given" : "James J", "non-dropping-particle" : "", "parse-names" : false, "suffix" : "" }, { "dropping-particle" : "", "family" : "John", "given" : "Oliver E", "non-dropping-particle" : "", "parse-names" : false, "suffix" : "" } ], "container-title" : "Journal of Personality and Social Psychology", "id" : "ITEM-1", "issue" : "2", "issued" : { "date-parts" : [ [ "1997" ] ] }, "page" : "435-448", "title" : "Revealing Feelings: Facets of Emotional Expressivity in Self-Reports, Peer Ratings, and Behavior", "type" : "article-journal", "volume" : "72" }, "uris" : [ "http://www.mendeley.com/documents/?uuid=e099efcc-f671-39f6-a04b-13e0cea18245" ] } ], "mendeley" : { "formattedCitation" : "(Gross &amp; John, 1997)", "manualFormatting" : "(BEQ: Gross &amp; John, 1997)", "plainTextFormattedCitation" : "(Gross &amp; John, 1997)", "previouslyFormattedCitation" : "(Gross &amp; John, 1997)" }, "properties" : { "noteIndex" : 0 }, "schema" : "https://github.com/citation-style-language/schema/raw/master/csl-citation.json" }</w:instrText>
      </w:r>
      <w:r w:rsidR="00B06E70">
        <w:rPr>
          <w:sz w:val="24"/>
          <w:szCs w:val="24"/>
        </w:rPr>
        <w:fldChar w:fldCharType="separate"/>
      </w:r>
      <w:r w:rsidR="005606D9" w:rsidRPr="005606D9">
        <w:rPr>
          <w:noProof/>
          <w:sz w:val="24"/>
          <w:szCs w:val="24"/>
        </w:rPr>
        <w:t>(</w:t>
      </w:r>
      <w:r w:rsidR="005606D9">
        <w:rPr>
          <w:noProof/>
          <w:sz w:val="24"/>
          <w:szCs w:val="24"/>
        </w:rPr>
        <w:t xml:space="preserve">BEQ: </w:t>
      </w:r>
      <w:r w:rsidR="005606D9" w:rsidRPr="005606D9">
        <w:rPr>
          <w:noProof/>
          <w:sz w:val="24"/>
          <w:szCs w:val="24"/>
        </w:rPr>
        <w:t>Gross &amp; John, 1997)</w:t>
      </w:r>
      <w:r w:rsidR="00B06E70">
        <w:rPr>
          <w:sz w:val="24"/>
          <w:szCs w:val="24"/>
        </w:rPr>
        <w:fldChar w:fldCharType="end"/>
      </w:r>
      <w:r w:rsidRPr="00D05EBD">
        <w:rPr>
          <w:sz w:val="24"/>
          <w:szCs w:val="24"/>
        </w:rPr>
        <w:t xml:space="preserve"> was also administered, which consisted of 16 items exploring emotional expressivity in the form of behavioural (e.g. facial, postural) changes associated with emotion, on a scale ranging from 1 (strongly disagree) to 7 (strongly agree). The BEQ is divided into three subscales: the negative expressivity subscale (e.g. </w:t>
      </w:r>
      <w:r w:rsidRPr="00D05EBD">
        <w:rPr>
          <w:i/>
          <w:sz w:val="24"/>
          <w:szCs w:val="24"/>
        </w:rPr>
        <w:t>People often do not know what I am feeling</w:t>
      </w:r>
      <w:r w:rsidRPr="00D05EBD">
        <w:rPr>
          <w:sz w:val="24"/>
          <w:szCs w:val="24"/>
        </w:rPr>
        <w:t xml:space="preserve">, α=.10); the positive expressivity subscale (e.g. </w:t>
      </w:r>
      <w:r w:rsidRPr="00D05EBD">
        <w:rPr>
          <w:i/>
          <w:sz w:val="24"/>
          <w:szCs w:val="24"/>
        </w:rPr>
        <w:t>Whenever I feel positive emotions, people can easily see exactly what I am feeling</w:t>
      </w:r>
      <w:r w:rsidRPr="00D05EBD">
        <w:rPr>
          <w:sz w:val="24"/>
          <w:szCs w:val="24"/>
        </w:rPr>
        <w:t xml:space="preserve">, α=.81) and; the impulse strength subscale (e.g. </w:t>
      </w:r>
      <w:r w:rsidRPr="00D05EBD">
        <w:rPr>
          <w:i/>
          <w:sz w:val="24"/>
          <w:szCs w:val="24"/>
        </w:rPr>
        <w:t>I sometimes cry during sad movies</w:t>
      </w:r>
      <w:r w:rsidRPr="00D05EBD">
        <w:rPr>
          <w:sz w:val="24"/>
          <w:szCs w:val="24"/>
        </w:rPr>
        <w:t>, α=.69)</w:t>
      </w:r>
      <w:r w:rsidR="00B83568">
        <w:rPr>
          <w:rStyle w:val="Refdenotaalpie"/>
          <w:sz w:val="24"/>
          <w:szCs w:val="24"/>
        </w:rPr>
        <w:footnoteReference w:id="46"/>
      </w:r>
      <w:r w:rsidRPr="00D05EBD">
        <w:rPr>
          <w:sz w:val="24"/>
          <w:szCs w:val="24"/>
        </w:rPr>
        <w:t>.</w:t>
      </w:r>
    </w:p>
    <w:p w:rsidR="00FB1389" w:rsidRPr="00D05EBD" w:rsidRDefault="00FB1389" w:rsidP="00AE640B">
      <w:pPr>
        <w:spacing w:line="480" w:lineRule="auto"/>
        <w:ind w:firstLine="720"/>
        <w:jc w:val="both"/>
        <w:rPr>
          <w:sz w:val="24"/>
          <w:szCs w:val="24"/>
        </w:rPr>
      </w:pPr>
      <w:r w:rsidRPr="00D05EBD">
        <w:rPr>
          <w:sz w:val="24"/>
          <w:szCs w:val="24"/>
        </w:rPr>
        <w:t xml:space="preserve">The </w:t>
      </w:r>
      <w:r w:rsidRPr="00D05EBD">
        <w:rPr>
          <w:i/>
          <w:sz w:val="24"/>
          <w:szCs w:val="24"/>
        </w:rPr>
        <w:t>Emotion Regulation Questionnaire</w:t>
      </w:r>
      <w:r w:rsidR="005606D9">
        <w:rPr>
          <w:i/>
          <w:sz w:val="24"/>
          <w:szCs w:val="24"/>
        </w:rPr>
        <w:t xml:space="preserve"> </w:t>
      </w:r>
      <w:r w:rsidR="00B06E70">
        <w:rPr>
          <w:i/>
          <w:sz w:val="24"/>
          <w:szCs w:val="24"/>
        </w:rPr>
        <w:fldChar w:fldCharType="begin" w:fldLock="1"/>
      </w:r>
      <w:r w:rsidR="005606D9">
        <w:rPr>
          <w:i/>
          <w:sz w:val="24"/>
          <w:szCs w:val="24"/>
        </w:rPr>
        <w:instrText>ADDIN CSL_CITATION { "citationItems" : [ { "id" : "ITEM-1", "itemData" : { "DOI" : "10.1037/0022-3514.85.2.348", "ISBN" : "0022-3514", "ISSN" : "1882-8817", "PMID" : "22023559", "abstract" : "This paper investigates the relationship between housing investment and economic growth in China, utilising province-level data via recently developed panel unit root tests and panel co-integration analysis. The empirical results suggest a stable long-run relationship between housing investment, non-housing investment and GDP in China. In addition, the existence is demonstrated of bi-directional Granger causality between housing investment and GDP at the national level. The panel error correction model supports the hypothesis that housing investment appears to have a dual role, acting as both a driver and follower in Chinas economic fluctuations. However, the impacts of housing investment on economic growth in three sub-regions are found to be strikingly different.", "author" : [ { "dropping-particle" : "", "family" : "Gross", "given" : "James J.", "non-dropping-particle" : "", "parse-names" : false, "suffix" : "" }, { "dropping-particle" : "", "family" : "John", "given" : "Oliver P.", "non-dropping-particle" : "", "parse-names" : false, "suffix" : "" } ], "container-title" : "NeuroImage", "id" : "ITEM-1", "issue" : "10", "issued" : { "date-parts" : [ [ "2003" ] ] }, "number-of-pages" : "9-9", "title" : "Emotion Regulation Questionnaire", "type" : "report", "volume" : "48" }, "uris" : [ "http://www.mendeley.com/documents/?uuid=5c70833f-1f25-3ebf-811c-c903bfeceae5" ] } ], "mendeley" : { "formattedCitation" : "(Gross &amp; John, 2003a)", "manualFormatting" : "(ERQ: Gross &amp; John, 2003a)", "plainTextFormattedCitation" : "(Gross &amp; John, 2003a)", "previouslyFormattedCitation" : "(Gross &amp; John, 2003a)" }, "properties" : { "noteIndex" : 0 }, "schema" : "https://github.com/citation-style-language/schema/raw/master/csl-citation.json" }</w:instrText>
      </w:r>
      <w:r w:rsidR="00B06E70">
        <w:rPr>
          <w:i/>
          <w:sz w:val="24"/>
          <w:szCs w:val="24"/>
        </w:rPr>
        <w:fldChar w:fldCharType="separate"/>
      </w:r>
      <w:r w:rsidR="005606D9" w:rsidRPr="005606D9">
        <w:rPr>
          <w:noProof/>
          <w:sz w:val="24"/>
          <w:szCs w:val="24"/>
        </w:rPr>
        <w:t>(</w:t>
      </w:r>
      <w:r w:rsidR="005606D9">
        <w:rPr>
          <w:noProof/>
          <w:sz w:val="24"/>
          <w:szCs w:val="24"/>
        </w:rPr>
        <w:t xml:space="preserve">ERQ: </w:t>
      </w:r>
      <w:r w:rsidR="005606D9" w:rsidRPr="005606D9">
        <w:rPr>
          <w:noProof/>
          <w:sz w:val="24"/>
          <w:szCs w:val="24"/>
        </w:rPr>
        <w:t>Gross &amp; John, 2003a)</w:t>
      </w:r>
      <w:r w:rsidR="00B06E70">
        <w:rPr>
          <w:i/>
          <w:sz w:val="24"/>
          <w:szCs w:val="24"/>
        </w:rPr>
        <w:fldChar w:fldCharType="end"/>
      </w:r>
      <w:r w:rsidRPr="00D05EBD">
        <w:rPr>
          <w:sz w:val="24"/>
          <w:szCs w:val="24"/>
        </w:rPr>
        <w:t xml:space="preserve"> was used to assess  individual differences in the use of two ER strategies: cognitive reappraisal and expressive suppression. It consisted of 10 items answered on a scale ranging from 1 </w:t>
      </w:r>
      <w:r w:rsidRPr="00D05EBD">
        <w:rPr>
          <w:sz w:val="24"/>
          <w:szCs w:val="24"/>
        </w:rPr>
        <w:lastRenderedPageBreak/>
        <w:t xml:space="preserve">(strongly agree) to 7 (strongly disagree) and comprised two subscales: the cognitive reappraisal subscale and the expressive suppression subscale. The internal consistency was good for both the cognitive reappraisal subscale (e.g. </w:t>
      </w:r>
      <w:r w:rsidRPr="00D05EBD">
        <w:rPr>
          <w:i/>
          <w:sz w:val="24"/>
          <w:szCs w:val="24"/>
        </w:rPr>
        <w:t>When I want to feel more positive emotion (such as joy or amusement), I change what I’m thinking about</w:t>
      </w:r>
      <w:r w:rsidRPr="00D05EBD">
        <w:rPr>
          <w:sz w:val="24"/>
          <w:szCs w:val="24"/>
        </w:rPr>
        <w:t xml:space="preserve">; α=.84) and the emotional suppression subscale (e.g. </w:t>
      </w:r>
      <w:r w:rsidRPr="00D05EBD">
        <w:rPr>
          <w:i/>
          <w:sz w:val="24"/>
          <w:szCs w:val="24"/>
        </w:rPr>
        <w:t>I keep my emotions to myself</w:t>
      </w:r>
      <w:r w:rsidRPr="00D05EBD">
        <w:rPr>
          <w:sz w:val="24"/>
          <w:szCs w:val="24"/>
        </w:rPr>
        <w:t>; α=.72).</w:t>
      </w:r>
      <w:r w:rsidR="00B83568">
        <w:rPr>
          <w:rStyle w:val="Refdenotaalpie"/>
          <w:sz w:val="24"/>
          <w:szCs w:val="24"/>
        </w:rPr>
        <w:footnoteReference w:id="47"/>
      </w:r>
    </w:p>
    <w:p w:rsidR="00FB1389" w:rsidRPr="00D05EBD" w:rsidRDefault="00FB1389" w:rsidP="00AE640B">
      <w:pPr>
        <w:spacing w:line="480" w:lineRule="auto"/>
        <w:ind w:firstLine="720"/>
        <w:jc w:val="both"/>
        <w:rPr>
          <w:sz w:val="24"/>
          <w:szCs w:val="24"/>
        </w:rPr>
      </w:pPr>
      <w:r w:rsidRPr="00D05EBD">
        <w:rPr>
          <w:sz w:val="24"/>
          <w:szCs w:val="24"/>
        </w:rPr>
        <w:t xml:space="preserve">The </w:t>
      </w:r>
      <w:r w:rsidRPr="00D05EBD">
        <w:rPr>
          <w:i/>
          <w:sz w:val="24"/>
          <w:szCs w:val="24"/>
        </w:rPr>
        <w:t xml:space="preserve">Action Control </w:t>
      </w:r>
      <w:r w:rsidRPr="00C349D7">
        <w:rPr>
          <w:i/>
          <w:sz w:val="24"/>
          <w:szCs w:val="24"/>
        </w:rPr>
        <w:t xml:space="preserve">Scale </w:t>
      </w:r>
      <w:r w:rsidRPr="00C349D7">
        <w:rPr>
          <w:sz w:val="24"/>
          <w:szCs w:val="24"/>
        </w:rPr>
        <w:t>(ACS:</w:t>
      </w:r>
      <w:r w:rsidRPr="00DF6C4E">
        <w:rPr>
          <w:b/>
          <w:sz w:val="24"/>
          <w:szCs w:val="24"/>
        </w:rPr>
        <w:t xml:space="preserve"> </w:t>
      </w:r>
      <w:r w:rsidR="00B06E70">
        <w:rPr>
          <w:b/>
          <w:sz w:val="24"/>
          <w:szCs w:val="24"/>
        </w:rPr>
        <w:fldChar w:fldCharType="begin" w:fldLock="1"/>
      </w:r>
      <w:r w:rsidR="00C349D7">
        <w:rPr>
          <w:b/>
          <w:sz w:val="24"/>
          <w:szCs w:val="24"/>
        </w:rPr>
        <w:instrText>ADDIN CSL_CITATION { "citationItems" : [ { "id" : "ITEM-1", "itemData" : { "ISBN" : "088937029X", "abstract" : "Introduction: Action versus state orientation in the context of personality and volition / Julius Kuhl and Jurgen Beckmann -- Ch. 1. A theory of action and state orientations / Julius Kuhl -- Ch. 2. Action versus state orientation: Psychometric properties of the Action Control Scale (ACS-90) / Julius Kuhl -- Ch. 3. Empirical findings on the action control scale in the context of complex skill acquisition / Ruth Kanfer, Brad Dugdale and Barbara McDonald -- Ch. 4. Action orientation and personality: Some evidence on the construct validity of the Action Control Scale / Eric Klinger and Michael D. Murphy -- Ch. 5. A theory of action control: Mental subsystems, modes of control, and volitional conflict-resolution strategies / Julius Kuhl and Thomas Goschke -- Ch. 6. State orientation and the activation and retrieval of intentions in memory / Julius Kuhl and Thomas Goschke -- Ch. 7. Volitional correlates of action versus state orientation / Jurgen Beckmann. Ch. 8. Choice of decision-making strategies and action versus state orientation / Joachim Stiensmeier-Pelster -- Ch. 9. Volitional processes in decision making: Personality and situational determinants / Susanne Dibbelt and Julius Kuhl -- Ch. 10. Competing motivations or changing choices: Conjectures and some data on choice-action consistency / Helmut Jungermann, Hans-Rudiger Pfister and Regine S. May -- Ch. 11. Action control in the context of psychopathological disorders / Martin Hautzinger -- Ch. 12. Action and state orientation during therapy of phobic disorders / Johanna Hartung and Dietmar Schulte -- Ch. 13. Action control and excessive demand: Effects of situational and personality factors on psychological and physiological functions during stressful transactions / Peter Walschburger. Ch. 14. State versus action orientation after failure: Prevalence of coping strategies and related personality factors in two groups of hypertensives (with and without antihypertensive medication) / A. Wiedemann, A. Busjahn, B. Heinrich, J. Listing, W. Mueller and E. Richter-Heinrich -- Ch. 15. Motivational and volitional determinants of depression: The degenerated-intention hypothesis / Julius Kuhl and Petra Helle -- Ch. 16. Volitional aspects of depression: State orientation and self-discrimination / Julius Kuhl and Miguel Kazen -- Ch. 17. Performance deficits following uncontrollable failure: Impaired action control or global attributions and generalized expectancy deficits? / Julius Kuhl and Manfred Weiss -- Ch. 18\u2026", "author" : [ { "dropping-particle" : "", "family" : "Kuhl", "given" : "Julius", "non-dropping-particle" : "", "parse-names" : false, "suffix" : "" }, { "dropping-particle" : "", "family" : "Beckmann", "given" : "Ju\u0308rgen", "non-dropping-particle" : "", "parse-names" : false, "suffix" : "" } ], "id" : "ITEM-1", "issued" : { "date-parts" : [ [ "1994" ] ] }, "number-of-pages" : "498", "publisher" : "Hogrefe &amp; Huber Publishers", "title" : "Volition and personality : action versus state orientation", "type" : "book" }, "uris" : [ "http://www.mendeley.com/documents/?uuid=f96eabe1-d4e1-3322-9521-0438b7c972a8" ] } ], "mendeley" : { "formattedCitation" : "(Kuhl &amp; Beckmann, 1994)", "manualFormatting" : "Kuhl &amp; Beckmann, 1994)", "plainTextFormattedCitation" : "(Kuhl &amp; Beckmann, 1994)", "previouslyFormattedCitation" : "(Kuhl &amp; Beckmann, 1994)" }, "properties" : { "noteIndex" : 0 }, "schema" : "https://github.com/citation-style-language/schema/raw/master/csl-citation.json" }</w:instrText>
      </w:r>
      <w:r w:rsidR="00B06E70">
        <w:rPr>
          <w:b/>
          <w:sz w:val="24"/>
          <w:szCs w:val="24"/>
        </w:rPr>
        <w:fldChar w:fldCharType="separate"/>
      </w:r>
      <w:r w:rsidR="00C349D7" w:rsidRPr="00C349D7">
        <w:rPr>
          <w:noProof/>
          <w:sz w:val="24"/>
          <w:szCs w:val="24"/>
        </w:rPr>
        <w:t>Kuhl &amp; Beckmann, 1994)</w:t>
      </w:r>
      <w:r w:rsidR="00B06E70">
        <w:rPr>
          <w:b/>
          <w:sz w:val="24"/>
          <w:szCs w:val="24"/>
        </w:rPr>
        <w:fldChar w:fldCharType="end"/>
      </w:r>
      <w:r w:rsidRPr="00D05EBD">
        <w:rPr>
          <w:sz w:val="24"/>
          <w:szCs w:val="24"/>
        </w:rPr>
        <w:t xml:space="preserve"> was used to measure individual differences in action-state. It was composed of 36 items, each with two possible responses (one indicating action-oriented tendencies and the other state-oriented tendencies). The ASC contained three subscales of twelve items each: (</w:t>
      </w:r>
      <w:proofErr w:type="spellStart"/>
      <w:r w:rsidRPr="00D05EBD">
        <w:rPr>
          <w:sz w:val="24"/>
          <w:szCs w:val="24"/>
        </w:rPr>
        <w:t>i</w:t>
      </w:r>
      <w:proofErr w:type="spellEnd"/>
      <w:r w:rsidRPr="00D05EBD">
        <w:rPr>
          <w:sz w:val="24"/>
          <w:szCs w:val="24"/>
        </w:rPr>
        <w:t xml:space="preserve">) the failure related action orientation vs. preoccupation subscale (e.g. </w:t>
      </w:r>
      <w:r w:rsidRPr="00D05EBD">
        <w:rPr>
          <w:i/>
          <w:sz w:val="24"/>
          <w:szCs w:val="24"/>
        </w:rPr>
        <w:t>When I have lost something valuable and I can’t find it anywhere: a) I have a hard time concentrating on anything else, or b) I don’t dwell on it</w:t>
      </w:r>
      <w:r w:rsidRPr="00D05EBD">
        <w:rPr>
          <w:sz w:val="24"/>
          <w:szCs w:val="24"/>
        </w:rPr>
        <w:t xml:space="preserve">, α=.74); (ii) the decision-related action orientation vs. hesitation subscale (e.g. </w:t>
      </w:r>
      <w:r w:rsidRPr="00D05EBD">
        <w:rPr>
          <w:i/>
          <w:sz w:val="24"/>
          <w:szCs w:val="24"/>
        </w:rPr>
        <w:t>When I know I must finish something soon: a) I have to push myself to get started, or b) I find it easy to get it done and over with</w:t>
      </w:r>
      <w:r w:rsidRPr="00D05EBD">
        <w:rPr>
          <w:sz w:val="24"/>
          <w:szCs w:val="24"/>
        </w:rPr>
        <w:t xml:space="preserve">, α=.78) and; (iii) the performance-related action orientation vs. volatility subscale (e.g. </w:t>
      </w:r>
      <w:r w:rsidRPr="00D05EBD">
        <w:rPr>
          <w:i/>
          <w:sz w:val="24"/>
          <w:szCs w:val="24"/>
        </w:rPr>
        <w:t xml:space="preserve">When I have learned a new and interesting game: a) I quickly get tired of it and do something else, or b) I can really get into it for a long time, </w:t>
      </w:r>
      <w:r w:rsidRPr="00D05EBD">
        <w:rPr>
          <w:sz w:val="24"/>
          <w:szCs w:val="24"/>
        </w:rPr>
        <w:t>α=.61.</w:t>
      </w:r>
    </w:p>
    <w:p w:rsidR="00FB1389" w:rsidRPr="00D05EBD" w:rsidRDefault="00FB1389" w:rsidP="00AE640B">
      <w:pPr>
        <w:spacing w:line="480" w:lineRule="auto"/>
        <w:ind w:firstLine="720"/>
        <w:jc w:val="both"/>
        <w:rPr>
          <w:sz w:val="24"/>
          <w:szCs w:val="24"/>
        </w:rPr>
      </w:pPr>
      <w:r w:rsidRPr="00D05EBD">
        <w:rPr>
          <w:sz w:val="24"/>
          <w:szCs w:val="24"/>
        </w:rPr>
        <w:t xml:space="preserve">A </w:t>
      </w:r>
      <w:r w:rsidRPr="00D05EBD">
        <w:rPr>
          <w:i/>
          <w:sz w:val="24"/>
          <w:szCs w:val="24"/>
        </w:rPr>
        <w:t>Romantic motivation</w:t>
      </w:r>
      <w:r w:rsidRPr="00D05EBD">
        <w:rPr>
          <w:sz w:val="24"/>
          <w:szCs w:val="24"/>
        </w:rPr>
        <w:t xml:space="preserve"> measure asked participants to rate how important it was for them to find a date at the speed dating event on a scale from 1 (not important at all) to 5 (very important). This was done because research has shown that when people are motivated to do or get something they can overcome the effects of self-regulatory </w:t>
      </w:r>
      <w:r w:rsidRPr="00D05EBD">
        <w:rPr>
          <w:sz w:val="24"/>
          <w:szCs w:val="24"/>
        </w:rPr>
        <w:lastRenderedPageBreak/>
        <w:t xml:space="preserve">depletion and of cognitive load </w:t>
      </w:r>
      <w:r w:rsidR="00B06E70">
        <w:rPr>
          <w:sz w:val="24"/>
          <w:szCs w:val="24"/>
        </w:rPr>
        <w:fldChar w:fldCharType="begin" w:fldLock="1"/>
      </w:r>
      <w:r w:rsidR="00844B08">
        <w:rPr>
          <w:sz w:val="24"/>
          <w:szCs w:val="24"/>
        </w:rPr>
        <w:instrText>ADDIN CSL_CITATION { "citationItems" : [ { "id" : "ITEM-1", "itemData" : { "DOI" : "10.1111/j.1751-9004.2007.00001.x", "ISBN" : "1751-9004", "ISSN" : "1751-9004", "PMID" : "25149821", "abstract" : "Motivation is underappreciated in self-regulation theories (as is true in social personality psychology at large). This paper reviews the role of motivation in the context of the strength, or limited-resource, model of self-control in several domains. Sacrificing one desire in order to pursue another is more difficult when the incipient response is strongly motivated, a notion that highlights the struggle between urges and restraints. A reduction in ego resources can be temporarily overcome by strong motivation \u2013 nevertheless, ego depletion is not solely a loss of motivation: Recent experiments indicate that regulatory resources are rooted in physical energy stores. Motivational conflicts, especially the clash between selfish motives and behaviors that promote social acceptance, set the stage for the necessity of self-regulation and the circumstances in which ego depletion is most likely.", "author" : [ { "dropping-particle" : "", "family" : "Baumeister", "given" : "Roy F", "non-dropping-particle" : "", "parse-names" : false, "suffix" : "" }, { "dropping-particle" : "", "family" : "Vohs", "given" : "Kathleen D", "non-dropping-particle" : "", "parse-names" : false, "suffix" : "" } ], "container-title" : "Social and Personality Psychology Compass", "id" : "ITEM-1", "issue" : "1", "issued" : { "date-parts" : [ [ "2007" ] ] }, "page" : "115-128", "title" : "Self-Regulation, Ego Depletion, and Motivation", "type" : "article-journal", "volume" : "1" }, "uris" : [ "http://www.mendeley.com/documents/?uuid=3f2fdeac-8a8d-4c8a-969f-03500a08f8f7" ] }, { "id" : "ITEM-2", "itemData" : { "DOI" : "10.1177/0956797610384745", "ISBN" : "0956-7976", "ISSN" : "0956-7976", "PMID" : "20876879", "author" : [ { "dropping-particle" : "", "family" : "Job", "given" : "V.", "non-dropping-particle" : "", "parse-names" : false, "suffix" : "" }, { "dropping-particle" : "", "family" : "Dweck", "given" : "C. S.", "non-dropping-particle" : "", "parse-names" : false, "suffix" : "" }, { "dropping-particle" : "", "family" : "Walton", "given" : "G. M.", "non-dropping-particle" : "", "parse-names" : false, "suffix" : "" } ], "container-title" : "Psychological Science", "id" : "ITEM-2", "issue" : "11", "issued" : { "date-parts" : [ [ "2010" ] ] }, "page" : "1686-1693", "title" : "Ego Depletion--Is It All in Your Head?: Implicit Theories About Willpower Affect Self-Regulation", "type" : "article-journal", "volume" : "21" }, "uris" : [ "http://www.mendeley.com/documents/?uuid=3b2ff4f5-c186-4d3e-8d44-1edcef2ca7ad" ] }, { "id" : "ITEM-3", "itemData" : { "DOI" : "10.1177/0146167203253209", "ISBN" : "0146167201", "ISSN" : "01461672", "PMID" : "15257789", "abstract" : "At the global level of the Big Five, Extraversion and Neuroticism are the strongest predictors of life satisfaction. However, Extraversion and Neuroticism are multifaceted constructs that combine more specific traits. This article examined the contribution of facets of Extraversion and Neuroticism to life satisfaction in four studies. The depression facet of Neuroticism and the positive emotions/cheerfulness facet of Extraversion were the strongest and most consistent predictors of life satisfaction. These two facets often accounted for more variance in life satisfaction than Neuroticism and Extraversion. The findings suggest that measures of depression and positive emotions/cheerfulness are necessary and sufficient to predict life satisfaction from personality traits. The results also lead to a more refined understanding of the specific personality traits that influence life satisfaction: Depression is more important than anxiety or anger and a cheerful temperament is more important than being active or sociable.", "author" : [ { "dropping-particle" : "", "family" : "Muraven", "given" : "Mark", "non-dropping-particle" : "", "parse-names" : false, "suffix" : "" }, { "dropping-particle" : "", "family" : "Slessareva", "given" : "Elisaveta", "non-dropping-particle" : "", "parse-names" : false, "suffix" : "" } ], "container-title" : "Personality and Social Psychology Bulletin", "id" : "ITEM-3", "issue" : "7", "issued" : { "date-parts" : [ [ "2003" ] ] }, "page" : "894-906", "title" : "Mechanisms of Self-Control Failure: Motivation and Limited Resources", "type" : "article-journal", "volume" : "29" }, "uris" : [ "http://www.mendeley.com/documents/?uuid=b7f4e008-bbd8-45c4-b805-e2eddf2417b6" ] } ], "mendeley" : { "formattedCitation" : "(Baumeister &amp; Vohs, 2007; Job et al., 2010; Muraven &amp; Slessareva, 2003)", "plainTextFormattedCitation" : "(Baumeister &amp; Vohs, 2007; Job et al., 2010; Muraven &amp; Slessareva, 2003)", "previouslyFormattedCitation" : "(Roy F Baumeister &amp; Vohs, 2007; Job et al., 2010; Muraven &amp; Slessareva, 2003)" }, "properties" : { "noteIndex" : 0 }, "schema" : "https://github.com/citation-style-language/schema/raw/master/csl-citation.json" }</w:instrText>
      </w:r>
      <w:r w:rsidR="00B06E70">
        <w:rPr>
          <w:sz w:val="24"/>
          <w:szCs w:val="24"/>
        </w:rPr>
        <w:fldChar w:fldCharType="separate"/>
      </w:r>
      <w:r w:rsidR="00844B08" w:rsidRPr="00844B08">
        <w:rPr>
          <w:noProof/>
          <w:sz w:val="24"/>
          <w:szCs w:val="24"/>
        </w:rPr>
        <w:t>(Baumeister &amp; Vohs, 2007; Job et al., 2010; Muraven &amp; Slessareva, 2003)</w:t>
      </w:r>
      <w:r w:rsidR="00B06E70">
        <w:rPr>
          <w:sz w:val="24"/>
          <w:szCs w:val="24"/>
        </w:rPr>
        <w:fldChar w:fldCharType="end"/>
      </w:r>
      <w:r w:rsidRPr="00D05EBD">
        <w:rPr>
          <w:sz w:val="24"/>
          <w:szCs w:val="24"/>
        </w:rPr>
        <w:t xml:space="preserve">. </w:t>
      </w:r>
    </w:p>
    <w:p w:rsidR="00FB1389" w:rsidRPr="00D05EBD" w:rsidRDefault="00FB1389" w:rsidP="00AE640B">
      <w:pPr>
        <w:spacing w:line="480" w:lineRule="auto"/>
        <w:ind w:firstLine="720"/>
        <w:jc w:val="both"/>
        <w:rPr>
          <w:sz w:val="24"/>
          <w:szCs w:val="24"/>
        </w:rPr>
      </w:pPr>
    </w:p>
    <w:p w:rsidR="00FB1389" w:rsidRPr="002B44D5" w:rsidRDefault="00FB1389" w:rsidP="00AE640B">
      <w:pPr>
        <w:spacing w:line="480" w:lineRule="auto"/>
        <w:ind w:firstLine="360"/>
        <w:jc w:val="both"/>
        <w:rPr>
          <w:i/>
          <w:sz w:val="24"/>
          <w:szCs w:val="24"/>
        </w:rPr>
      </w:pPr>
      <w:r w:rsidRPr="002B44D5">
        <w:rPr>
          <w:i/>
          <w:sz w:val="24"/>
          <w:szCs w:val="24"/>
        </w:rPr>
        <w:t xml:space="preserve">Stage 2: Pre-date questionnaire, after-date questionnaire and end-of-event questionnaire. </w:t>
      </w:r>
    </w:p>
    <w:p w:rsidR="00FB1389" w:rsidRPr="00D05EBD" w:rsidRDefault="00FB1389" w:rsidP="00AE640B">
      <w:pPr>
        <w:pStyle w:val="Prrafodelista"/>
        <w:numPr>
          <w:ilvl w:val="0"/>
          <w:numId w:val="15"/>
        </w:numPr>
        <w:spacing w:line="480" w:lineRule="auto"/>
        <w:ind w:left="0" w:firstLine="360"/>
        <w:jc w:val="both"/>
        <w:rPr>
          <w:sz w:val="24"/>
          <w:szCs w:val="24"/>
        </w:rPr>
      </w:pPr>
      <w:r w:rsidRPr="00D05EBD">
        <w:rPr>
          <w:i/>
          <w:sz w:val="24"/>
          <w:szCs w:val="24"/>
        </w:rPr>
        <w:t xml:space="preserve">Pre-date questionnaire. </w:t>
      </w:r>
      <w:r w:rsidRPr="00D05EBD">
        <w:rPr>
          <w:sz w:val="24"/>
          <w:szCs w:val="24"/>
        </w:rPr>
        <w:t xml:space="preserve">This questionnaire was intended to provide a baseline measure of mental energy, emotional exhaustion and affect as well as to give participants the manipulation task. It included a measure of </w:t>
      </w:r>
      <w:r w:rsidRPr="00D05EBD">
        <w:rPr>
          <w:rFonts w:cs="Times New Roman"/>
          <w:i/>
          <w:sz w:val="24"/>
          <w:szCs w:val="24"/>
        </w:rPr>
        <w:t xml:space="preserve">mental fatigue </w:t>
      </w:r>
      <w:r w:rsidRPr="00D05EBD">
        <w:rPr>
          <w:rFonts w:cs="Times New Roman"/>
          <w:sz w:val="24"/>
          <w:szCs w:val="24"/>
        </w:rPr>
        <w:t>that</w:t>
      </w:r>
      <w:r w:rsidRPr="00D05EBD">
        <w:rPr>
          <w:sz w:val="24"/>
          <w:szCs w:val="24"/>
        </w:rPr>
        <w:t xml:space="preserve"> was reported by participants on a scale from 1 (I have no mental energy at all) to 5 (I am full of mental energy) </w:t>
      </w:r>
      <w:r w:rsidR="00B06E70">
        <w:rPr>
          <w:sz w:val="24"/>
          <w:szCs w:val="24"/>
        </w:rPr>
        <w:fldChar w:fldCharType="begin" w:fldLock="1"/>
      </w:r>
      <w:r w:rsidR="00C349D7">
        <w:rPr>
          <w:sz w:val="24"/>
          <w:szCs w:val="24"/>
        </w:rPr>
        <w:instrText>ADDIN CSL_CITATION { "citationItems" : [ { "id" : "ITEM-1", "itemData" : { "ISSN" : "0141-0768", "PMID" : "2231574", "abstract" : "Subjective perceptions of mental and physical energy were measured by the use of visual analogue scales (VAS) over the course of a week in a group of normal volunteers. These variables were found to correlate, highly both with one another and with assessments of vigour and fatigue measured with a standard adjectival format. In addition, high correlations were found with a measure of positive affect. These five variables also displayed characteristic patterns of diurnal variation. Physical and mental energy, vigour and positive affect were highest in the morning, falling progressively and significantly over the day. In contrast, fatigue showed the opposite pattern. Extraversion showed positive correlations with physical and mental energy, vigour and positive affect, and negative correlations with fatigue and negative affect, most being significant (P less than 0.05). Conversely, neuroticism showed a negative correlation with the first four energy variables but was positively related to fatigue and negative affect, most correlations again being significant. Physical and mental energy, vigour and positive affect also showed a positive correlation (P less than 0.01) with a measure of happiness. It is concluded that VAS-derived ratings of physical and mental energy are reliable indicators of self-perceived vigour and fatigue. They are easy to record and show sufficient short-term stability to be used in more extensive studies both of well-being and of its physiological correlates.", "author" : [ { "dropping-particle" : "", "family" : "Wood", "given" : "C", "non-dropping-particle" : "", "parse-names" : false, "suffix" : "" }, { "dropping-particle" : "", "family" : "Magnello", "given" : "M E", "non-dropping-particle" : "", "parse-names" : false, "suffix" : "" }, { "dropping-particle" : "", "family" : "Jewell", "given" : "T", "non-dropping-particle" : "", "parse-names" : false, "suffix" : "" } ], "container-title" : "Journal of the Royal Society of Medicine", "id" : "ITEM-1", "issue" : "8", "issued" : { "date-parts" : [ [ "1990" ] ] }, "page" : "486-489", "title" : "Measuring vitality.", "type" : "article-journal", "volume" : "83" }, "uris" : [ "http://www.mendeley.com/documents/?uuid=fbd2c839-a5e6-3268-aeec-dab0e2e5fffb" ] } ], "mendeley" : { "formattedCitation" : "(Wood et al., 1990)", "plainTextFormattedCitation" : "(Wood et al., 1990)", "previouslyFormattedCitation" : "(Wood et al., 1990)" }, "properties" : { "noteIndex" : 0 }, "schema" : "https://github.com/citation-style-language/schema/raw/master/csl-citation.json" }</w:instrText>
      </w:r>
      <w:r w:rsidR="00B06E70">
        <w:rPr>
          <w:sz w:val="24"/>
          <w:szCs w:val="24"/>
        </w:rPr>
        <w:fldChar w:fldCharType="separate"/>
      </w:r>
      <w:r w:rsidR="005A4200" w:rsidRPr="005A4200">
        <w:rPr>
          <w:noProof/>
          <w:sz w:val="24"/>
          <w:szCs w:val="24"/>
        </w:rPr>
        <w:t>(Wood et al., 1990)</w:t>
      </w:r>
      <w:r w:rsidR="00B06E70">
        <w:rPr>
          <w:sz w:val="24"/>
          <w:szCs w:val="24"/>
        </w:rPr>
        <w:fldChar w:fldCharType="end"/>
      </w:r>
      <w:r w:rsidRPr="00D05EBD">
        <w:rPr>
          <w:sz w:val="24"/>
          <w:szCs w:val="24"/>
        </w:rPr>
        <w:t>. It also included a measure of e</w:t>
      </w:r>
      <w:r w:rsidRPr="00D05EBD">
        <w:rPr>
          <w:i/>
          <w:sz w:val="24"/>
          <w:szCs w:val="24"/>
        </w:rPr>
        <w:t xml:space="preserve">motional exhaustion </w:t>
      </w:r>
      <w:r w:rsidRPr="00D05EBD">
        <w:rPr>
          <w:sz w:val="24"/>
          <w:szCs w:val="24"/>
        </w:rPr>
        <w:t>that explored</w:t>
      </w:r>
      <w:r w:rsidRPr="00D05EBD">
        <w:rPr>
          <w:i/>
          <w:sz w:val="24"/>
          <w:szCs w:val="24"/>
        </w:rPr>
        <w:t xml:space="preserve"> </w:t>
      </w:r>
      <w:r w:rsidRPr="00D05EBD">
        <w:rPr>
          <w:sz w:val="24"/>
          <w:szCs w:val="24"/>
        </w:rPr>
        <w:t xml:space="preserve">the extent to which participants felt emotionally drained using an item taken from the </w:t>
      </w:r>
      <w:proofErr w:type="spellStart"/>
      <w:r w:rsidRPr="00D05EBD">
        <w:rPr>
          <w:sz w:val="24"/>
          <w:szCs w:val="24"/>
        </w:rPr>
        <w:t>Maslach</w:t>
      </w:r>
      <w:proofErr w:type="spellEnd"/>
      <w:r w:rsidRPr="00D05EBD">
        <w:rPr>
          <w:sz w:val="24"/>
          <w:szCs w:val="24"/>
        </w:rPr>
        <w:t xml:space="preserve"> Burnout Inventory </w:t>
      </w:r>
      <w:r w:rsidR="00B06E70">
        <w:rPr>
          <w:sz w:val="24"/>
          <w:szCs w:val="24"/>
        </w:rPr>
        <w:fldChar w:fldCharType="begin" w:fldLock="1"/>
      </w:r>
      <w:r w:rsidR="000C695C">
        <w:rPr>
          <w:sz w:val="24"/>
          <w:szCs w:val="24"/>
        </w:rPr>
        <w:instrText>ADDIN CSL_CITATION { "citationItems" : [ { "id" : "ITEM-1", "itemData" : { "DOI" : "10.1017/S0033291798257163", "ISBN" : "9789996345777", "ISSN" : "89102570", "author" : [ { "dropping-particle" : "", "family" : "Iwanicki", "given" : "E F", "non-dropping-particle" : "", "parse-names" : false, "suffix" : "" }, { "dropping-particle" : "", "family" : "Schwab", "given" : "R L", "non-dropping-particle" : "", "parse-names" : false, "suffix" : "" } ], "container-title" : "Educational and Psychological Measurement", "id" : "ITEM-1", "issued" : { "date-parts" : [ [ "1981" ] ] }, "page" : "1167-1174", "title" : "Maslach burnout inventory", "type" : "article-journal", "volume" : "41" }, "uris" : [ "http://www.mendeley.com/documents/?uuid=f5f14cb6-c450-30ed-ad56-24ae1afd14aa" ] } ], "mendeley" : { "formattedCitation" : "(Iwanicki &amp; Schwab, 1981)", "plainTextFormattedCitation" : "(Iwanicki &amp; Schwab, 1981)", "previouslyFormattedCitation" : "(Iwanicki &amp; Schwab, 1981)" }, "properties" : { "noteIndex" : 0 }, "schema" : "https://github.com/citation-style-language/schema/raw/master/csl-citation.json" }</w:instrText>
      </w:r>
      <w:r w:rsidR="00B06E70">
        <w:rPr>
          <w:sz w:val="24"/>
          <w:szCs w:val="24"/>
        </w:rPr>
        <w:fldChar w:fldCharType="separate"/>
      </w:r>
      <w:r w:rsidR="000C695C" w:rsidRPr="000C695C">
        <w:rPr>
          <w:noProof/>
          <w:sz w:val="24"/>
          <w:szCs w:val="24"/>
        </w:rPr>
        <w:t>(Iwanicki &amp; Schwab, 1981)</w:t>
      </w:r>
      <w:r w:rsidR="00B06E70">
        <w:rPr>
          <w:sz w:val="24"/>
          <w:szCs w:val="24"/>
        </w:rPr>
        <w:fldChar w:fldCharType="end"/>
      </w:r>
      <w:r w:rsidRPr="00C349D7">
        <w:rPr>
          <w:b/>
          <w:sz w:val="24"/>
          <w:szCs w:val="24"/>
        </w:rPr>
        <w:t xml:space="preserve"> </w:t>
      </w:r>
      <w:r w:rsidRPr="00D05EBD">
        <w:rPr>
          <w:sz w:val="24"/>
          <w:szCs w:val="24"/>
        </w:rPr>
        <w:t>(</w:t>
      </w:r>
      <w:r w:rsidRPr="00D05EBD">
        <w:rPr>
          <w:i/>
          <w:sz w:val="24"/>
          <w:szCs w:val="24"/>
        </w:rPr>
        <w:t>I feel emotionally drained</w:t>
      </w:r>
      <w:r w:rsidRPr="00D05EBD">
        <w:rPr>
          <w:sz w:val="24"/>
          <w:szCs w:val="24"/>
        </w:rPr>
        <w:t>) that participants were asked to respond to on a scale ranging from 1 (not at all) to 5 (extremely). This item has been demonstrated to reflect emotional exhaustion</w:t>
      </w:r>
      <w:r w:rsidR="000C695C">
        <w:rPr>
          <w:sz w:val="24"/>
          <w:szCs w:val="24"/>
        </w:rPr>
        <w:t xml:space="preserve"> </w:t>
      </w:r>
      <w:r w:rsidR="00B06E70">
        <w:rPr>
          <w:sz w:val="24"/>
          <w:szCs w:val="24"/>
        </w:rPr>
        <w:fldChar w:fldCharType="begin" w:fldLock="1"/>
      </w:r>
      <w:r w:rsidR="005805EC">
        <w:rPr>
          <w:sz w:val="24"/>
          <w:szCs w:val="24"/>
        </w:rPr>
        <w:instrText>ADDIN CSL_CITATION { "citationItems" : [ { "id" : "ITEM-1", "itemData" : { "DOI" : "10.1080/02678373.2012.681153", "ISBN" : "0267-8373", "ISSN" : "0267-8373", "PMID" : "104382498", "abstract" : "The aim of this study was to investigate whether employees experience emotional drain when they witness unpleasant interactions between coworkers. This was tested in a sample of staff in a UK hospital department, which included nurses, doctors, specialists and administrative staff. The study used a diary method in which participants recorded their reactions to over 1000 interpersonal interactions between coworkers across 15 work days. Multilevel analyses indicated that staff felt significantly more emotionally drained after witnessing unpleasant interactions compared to pleasant ones. This effect was mediated both by what the staff felt in response to what they witnessed and by the extent to which they controlled their feelings. Staff felt more emotionally drained when they took the perspective of the target to a greater extent and when they witnessed interactions directly (first-hand) rather than indirectly (hearsay). Witnesses appear to be vulnerable to emotional depletion because they experience an affective reaction and self-regulate their own emotional response to what they have seen or heard. This third-party effect on the witnesses of unpleasant interactions has the potential not only to have a negative effect on the individual but to pervade the organisation.", "author" : [ { "dropping-particle" : "", "family" : "Totterdell", "given" : "Peter", "non-dropping-particle" : "", "parse-names" : false, "suffix" : "" }, { "dropping-particle" : "", "family" : "Hershcovis", "given" : "M. Sandy", "non-dropping-particle" : "", "parse-names" : false, "suffix" : "" }, { "dropping-particle" : "", "family" : "Niven", "given" : "Karen", "non-dropping-particle" : "", "parse-names" : false, "suffix" : "" }, { "dropping-particle" : "", "family" : "Reich", "given" : "Tara C", "non-dropping-particle" : "", "parse-names" : false, "suffix" : "" }, { "dropping-particle" : "", "family" : "Stride", "given" : "Chris", "non-dropping-particle" : "", "parse-names" : false, "suffix" : "" } ], "container-title" : "Work &amp; Stress", "id" : "ITEM-1", "issue" : "2", "issued" : { "date-parts" : [ [ "2012" ] ] }, "page" : "112-129", "title" : "Can employees be emotionally drained by witnessing unpleasant interactions between coworkers? A diary study of induced emotion regulation", "type" : "article-journal", "volume" : "26" }, "uris" : [ "http://www.mendeley.com/documents/?uuid=ec216b0c-70b0-3c27-abef-c5e8e4863128" ] } ], "mendeley" : { "formattedCitation" : "(Totterdell, Hershcovis, Niven, Reich, &amp; Stride, 2012)", "plainTextFormattedCitation" : "(Totterdell, Hershcovis, Niven, Reich, &amp; Stride, 2012)", "previouslyFormattedCitation" : "(Totterdell, Hershcovis, Niven, Reich, &amp; Stride, 2012)" }, "properties" : { "noteIndex" : 0 }, "schema" : "https://github.com/citation-style-language/schema/raw/master/csl-citation.json" }</w:instrText>
      </w:r>
      <w:r w:rsidR="00B06E70">
        <w:rPr>
          <w:sz w:val="24"/>
          <w:szCs w:val="24"/>
        </w:rPr>
        <w:fldChar w:fldCharType="separate"/>
      </w:r>
      <w:r w:rsidR="000C695C" w:rsidRPr="000C695C">
        <w:rPr>
          <w:noProof/>
          <w:sz w:val="24"/>
          <w:szCs w:val="24"/>
        </w:rPr>
        <w:t>(Totterdell, Hershcovis, Niven, Reich, &amp; Stride, 2012)</w:t>
      </w:r>
      <w:r w:rsidR="00B06E70">
        <w:rPr>
          <w:sz w:val="24"/>
          <w:szCs w:val="24"/>
        </w:rPr>
        <w:fldChar w:fldCharType="end"/>
      </w:r>
      <w:r w:rsidRPr="00D05EBD">
        <w:rPr>
          <w:sz w:val="24"/>
          <w:szCs w:val="24"/>
        </w:rPr>
        <w:t xml:space="preserve">. Finally, the pre-date questionnaire included a measure of </w:t>
      </w:r>
      <w:r w:rsidRPr="00D05EBD">
        <w:rPr>
          <w:i/>
          <w:sz w:val="24"/>
          <w:szCs w:val="24"/>
        </w:rPr>
        <w:t xml:space="preserve">affect </w:t>
      </w:r>
      <w:r w:rsidRPr="00D05EBD">
        <w:rPr>
          <w:sz w:val="24"/>
          <w:szCs w:val="24"/>
        </w:rPr>
        <w:t xml:space="preserve">that in 4 items asked participants to indicate on a scale from 1 to 5 the extent to which they felt gloomy(1) or happy (5), anxious (1) or calm (5), tired (1) or energetic (5), and bored (1) or excited (5) </w:t>
      </w:r>
      <w:r w:rsidR="00B06E70" w:rsidRPr="00D05EBD">
        <w:rPr>
          <w:sz w:val="24"/>
          <w:szCs w:val="24"/>
        </w:rPr>
        <w:fldChar w:fldCharType="begin"/>
      </w:r>
      <w:r w:rsidRPr="00D05EBD">
        <w:rPr>
          <w:sz w:val="24"/>
          <w:szCs w:val="24"/>
        </w:rPr>
        <w:instrText xml:space="preserve"> ADDIN EN.CITE &lt;EndNote&gt;&lt;Cite&gt;&lt;Author&gt;Totterdell&lt;/Author&gt;&lt;Year&gt;2012&lt;/Year&gt;&lt;RecNum&gt;57&lt;/RecNum&gt;&lt;DisplayText&gt;(Totterdell et al., 2012)&lt;/DisplayText&gt;&lt;record&gt;&lt;rec-number&gt;57&lt;/rec-number&gt;&lt;foreign-keys&gt;&lt;key app="EN" db-id="2av5p90x9xr9fjepadyvvf5kad5arwxtw92e"&gt;57&lt;/key&gt;&lt;/foreign-keys&gt;&lt;ref-type name="Journal Article"&gt;17&lt;/ref-type&gt;&lt;contributors&gt;&lt;authors&gt;&lt;author&gt;Totterdell, P.&lt;/author&gt;&lt;author&gt;Hershcovis, M. S.&lt;/author&gt;&lt;author&gt;Niven, K.&lt;/author&gt;&lt;author&gt;Reich, T. C.&lt;/author&gt;&lt;author&gt;Stride, C.&lt;/author&gt;&lt;/authors&gt;&lt;/contributors&gt;&lt;titles&gt;&lt;title&gt;Can employees be emotionally drained by witnessing unpleasant interactions between coworkers? A diary study of induced emotion regulation&lt;/title&gt;&lt;secondary-title&gt;Work and Stress&lt;/secondary-title&gt;&lt;/titles&gt;&lt;periodical&gt;&lt;full-title&gt;Work and Stress&lt;/full-title&gt;&lt;/periodical&gt;&lt;pages&gt;112-129&lt;/pages&gt;&lt;volume&gt;26&lt;/volume&gt;&lt;number&gt;2&lt;/number&gt;&lt;dates&gt;&lt;year&gt;2012&lt;/year&gt;&lt;/dates&gt;&lt;isbn&gt;0267-8373&lt;/isbn&gt;&lt;accession-num&gt;WOS:000304479800002&lt;/accession-num&gt;&lt;urls&gt;&lt;related-urls&gt;&lt;url&gt;&amp;lt;Go to ISI&amp;gt;://WOS:000304479800002&lt;/url&gt;&lt;/related-urls&gt;&lt;/urls&gt;&lt;electronic-resource-num&gt;10.1080/02678373.2012.681153&lt;/electronic-resource-num&gt;&lt;/record&gt;&lt;/Cite&gt;&lt;/EndNote&gt;</w:instrText>
      </w:r>
      <w:r w:rsidR="00B06E70" w:rsidRPr="00D05EBD">
        <w:rPr>
          <w:sz w:val="24"/>
          <w:szCs w:val="24"/>
        </w:rPr>
        <w:fldChar w:fldCharType="separate"/>
      </w:r>
      <w:r w:rsidRPr="00D05EBD">
        <w:rPr>
          <w:noProof/>
          <w:sz w:val="24"/>
          <w:szCs w:val="24"/>
        </w:rPr>
        <w:t>(</w:t>
      </w:r>
      <w:hyperlink w:anchor="_ENREF_13" w:tooltip="Totterdell, 2012 #170" w:history="1">
        <w:r w:rsidRPr="00D05EBD">
          <w:rPr>
            <w:noProof/>
            <w:sz w:val="24"/>
            <w:szCs w:val="24"/>
          </w:rPr>
          <w:t>Totterdell et al., 2012</w:t>
        </w:r>
      </w:hyperlink>
      <w:r w:rsidRPr="00D05EBD">
        <w:rPr>
          <w:noProof/>
          <w:sz w:val="24"/>
          <w:szCs w:val="24"/>
        </w:rPr>
        <w:t>)</w:t>
      </w:r>
      <w:r w:rsidR="00B06E70" w:rsidRPr="00D05EBD">
        <w:rPr>
          <w:sz w:val="24"/>
          <w:szCs w:val="24"/>
        </w:rPr>
        <w:fldChar w:fldCharType="end"/>
      </w:r>
      <w:r w:rsidRPr="00D05EBD">
        <w:rPr>
          <w:sz w:val="24"/>
          <w:szCs w:val="24"/>
        </w:rPr>
        <w:t xml:space="preserve">. </w:t>
      </w:r>
    </w:p>
    <w:p w:rsidR="00FB1389" w:rsidRPr="00D05EBD" w:rsidRDefault="00FB1389" w:rsidP="00AE640B">
      <w:pPr>
        <w:pStyle w:val="Prrafodelista"/>
        <w:numPr>
          <w:ilvl w:val="0"/>
          <w:numId w:val="15"/>
        </w:numPr>
        <w:spacing w:line="480" w:lineRule="auto"/>
        <w:ind w:left="0" w:firstLine="360"/>
        <w:jc w:val="both"/>
        <w:rPr>
          <w:i/>
          <w:sz w:val="24"/>
          <w:szCs w:val="24"/>
        </w:rPr>
      </w:pPr>
      <w:r w:rsidRPr="00D05EBD">
        <w:rPr>
          <w:i/>
          <w:sz w:val="24"/>
          <w:szCs w:val="24"/>
        </w:rPr>
        <w:t xml:space="preserve">After-date questionnaire. </w:t>
      </w:r>
      <w:r w:rsidRPr="00D05EBD">
        <w:rPr>
          <w:sz w:val="24"/>
          <w:szCs w:val="24"/>
        </w:rPr>
        <w:t>After each date participants were invited to answer a questionnaire including the same items as the initial questionnaire plus measures of: AIER, intrinsic and extrinsic affect</w:t>
      </w:r>
      <w:r w:rsidRPr="00D05EBD">
        <w:rPr>
          <w:rStyle w:val="Refdecomentario"/>
          <w:sz w:val="24"/>
          <w:szCs w:val="24"/>
        </w:rPr>
        <w:t>,</w:t>
      </w:r>
      <w:r w:rsidRPr="00D05EBD">
        <w:rPr>
          <w:sz w:val="24"/>
          <w:szCs w:val="24"/>
        </w:rPr>
        <w:t xml:space="preserve"> how physically attractive and how likeable they found the person they just dated, and whether they would like to go on a second date with that person or not.  To explore the participant’s use of IER strategies and the extent to </w:t>
      </w:r>
      <w:r w:rsidRPr="00D05EBD">
        <w:rPr>
          <w:sz w:val="24"/>
          <w:szCs w:val="24"/>
        </w:rPr>
        <w:lastRenderedPageBreak/>
        <w:t xml:space="preserve">which this use was automatic, a 6-item adapted version of the </w:t>
      </w:r>
      <w:r w:rsidRPr="00D05EBD">
        <w:rPr>
          <w:i/>
          <w:sz w:val="24"/>
          <w:szCs w:val="24"/>
        </w:rPr>
        <w:t xml:space="preserve">Emotion Regulation of Others and Self Scale or EROS </w:t>
      </w:r>
      <w:r w:rsidR="00B06E70">
        <w:rPr>
          <w:i/>
          <w:sz w:val="24"/>
          <w:szCs w:val="24"/>
        </w:rPr>
        <w:fldChar w:fldCharType="begin" w:fldLock="1"/>
      </w:r>
      <w:r w:rsidR="005805EC">
        <w:rPr>
          <w:i/>
          <w:sz w:val="24"/>
          <w:szCs w:val="24"/>
        </w:rPr>
        <w:instrText>ADDIN CSL_CITATION { "citationItems" : [ { "id" : "ITEM-1", "itemData" : { "DOI" : "10.1007/s12144-011-9099-9", "ISBN" : "10461310", "ISSN" : "10461310", "PMID" : "59222920", "abstract" : "Research on affect regulation has blossomed in recent years. However, the lack of validated scales assessing individual differences in the use of strategies to achieve alternative types of affect regulation, e.g., the regulation of others\u2019 affect and the worsening of affect, has hampered research on these important processes. This\\r\\npaper presents the development and validation of a brief new measure of individual differences in the use of strategies to regulate one\u2019s own and other people\u2019s feelings:m the Emotion Regulation of Others and Self (EROS) scale. Two distinct samples (N=551 and N=227) confirmed a four-factor structure: intrinsic affect-improving,\\r\\nintrinsic affect-worsening, extrinsic affect-improving and extrinsic affect-worsening. In line with predictions, these factors were associated with existing measures of affect regulation, personality and affect. Both intrinsic factors were positively associated with emotional exhaustion, while all factors except extrinsic affect-improving were positively associated with health-related impairments. Convergence between self- and other-reported scores on the extrinsic factors in a third sample (N=50 dyads) demonstrated further evidence of validity.", "author" : [ { "dropping-particle" : "", "family" : "Niven", "given" : "Karen", "non-dropping-particle" : "", "parse-names" : false, "suffix" : "" }, { "dropping-particle" : "", "family" : "Totterdell", "given" : "Peter", "non-dropping-particle" : "", "parse-names" : false, "suffix" : "" }, { "dropping-particle" : "", "family" : "Stride", "given" : "Christopher B.", "non-dropping-particle" : "", "parse-names" : false, "suffix" : "" }, { "dropping-particle" : "", "family" : "Holman", "given" : "David", "non-dropping-particle" : "", "parse-names" : false, "suffix" : "" } ], "container-title" : "Current Psychology", "id" : "ITEM-1", "issue" : "1", "issued" : { "date-parts" : [ [ "2011" ] ] }, "page" : "53-73", "title" : "Emotion Regulation of Others and Self (EROS): The Development and Validation of a New Individual Difference Measure", "type" : "article-journal", "volume" : "30" }, "uris" : [ "http://www.mendeley.com/documents/?uuid=4ea71d50-689a-3b25-aa32-744cd3a8d801" ] } ], "mendeley" : { "formattedCitation" : "(Niven et al., 2011)", "plainTextFormattedCitation" : "(Niven et al., 2011)", "previouslyFormattedCitation" : "(Niven et al., 2011)" }, "properties" : { "noteIndex" : 0 }, "schema" : "https://github.com/citation-style-language/schema/raw/master/csl-citation.json" }</w:instrText>
      </w:r>
      <w:r w:rsidR="00B06E70">
        <w:rPr>
          <w:i/>
          <w:sz w:val="24"/>
          <w:szCs w:val="24"/>
        </w:rPr>
        <w:fldChar w:fldCharType="separate"/>
      </w:r>
      <w:r w:rsidR="005805EC" w:rsidRPr="005805EC">
        <w:rPr>
          <w:noProof/>
          <w:sz w:val="24"/>
          <w:szCs w:val="24"/>
        </w:rPr>
        <w:t>(Niven et al., 2011)</w:t>
      </w:r>
      <w:r w:rsidR="00B06E70">
        <w:rPr>
          <w:i/>
          <w:sz w:val="24"/>
          <w:szCs w:val="24"/>
        </w:rPr>
        <w:fldChar w:fldCharType="end"/>
      </w:r>
      <w:r w:rsidRPr="00D05EBD">
        <w:rPr>
          <w:sz w:val="24"/>
          <w:szCs w:val="24"/>
        </w:rPr>
        <w:t xml:space="preserve"> was completed by the participants. The EROS measures individual differences in the use of ER strategies at an intrinsic level (within the individual) and at an extrinsic level (regulating other individuals). Three items assessed the participant’s or ‘actors’</w:t>
      </w:r>
      <w:r w:rsidRPr="00973AEB">
        <w:rPr>
          <w:rStyle w:val="Refdenotaalpie"/>
        </w:rPr>
        <w:footnoteReference w:id="48"/>
      </w:r>
      <w:r w:rsidRPr="00D05EBD">
        <w:rPr>
          <w:sz w:val="24"/>
          <w:szCs w:val="24"/>
        </w:rPr>
        <w:t xml:space="preserve"> use of IER strategies to make their dates or ‘partners’ feel good in three aspects: </w:t>
      </w:r>
      <w:proofErr w:type="spellStart"/>
      <w:r w:rsidRPr="00D05EBD">
        <w:rPr>
          <w:sz w:val="24"/>
          <w:szCs w:val="24"/>
        </w:rPr>
        <w:t>i</w:t>
      </w:r>
      <w:proofErr w:type="spellEnd"/>
      <w:r w:rsidRPr="00D05EBD">
        <w:rPr>
          <w:sz w:val="24"/>
          <w:szCs w:val="24"/>
        </w:rPr>
        <w:t xml:space="preserve">) their awareness in the use of IER (i.e. </w:t>
      </w:r>
      <w:r w:rsidRPr="00D05EBD">
        <w:rPr>
          <w:i/>
          <w:sz w:val="24"/>
          <w:szCs w:val="24"/>
        </w:rPr>
        <w:t>I did or said something nice to try to make my date feel good)</w:t>
      </w:r>
      <w:r w:rsidRPr="00D05EBD">
        <w:rPr>
          <w:sz w:val="24"/>
          <w:szCs w:val="24"/>
        </w:rPr>
        <w:t xml:space="preserve">, ii) the effort they exerted in using IER (i.e. </w:t>
      </w:r>
      <w:r w:rsidRPr="00D05EBD">
        <w:rPr>
          <w:i/>
          <w:sz w:val="24"/>
          <w:szCs w:val="24"/>
        </w:rPr>
        <w:t xml:space="preserve">It was easy for me to do or say something nice to try to make my date feel good) </w:t>
      </w:r>
      <w:r w:rsidRPr="00D05EBD">
        <w:rPr>
          <w:sz w:val="24"/>
          <w:szCs w:val="24"/>
        </w:rPr>
        <w:t xml:space="preserve">and, iii) whether they had the intention of using IER or not (i.e. </w:t>
      </w:r>
      <w:r w:rsidRPr="00D05EBD">
        <w:rPr>
          <w:i/>
          <w:sz w:val="24"/>
          <w:szCs w:val="24"/>
        </w:rPr>
        <w:t>I intended to do or say something nice to try to make my date feel good</w:t>
      </w:r>
      <w:r w:rsidRPr="00D05EBD">
        <w:rPr>
          <w:sz w:val="24"/>
          <w:szCs w:val="24"/>
        </w:rPr>
        <w:t xml:space="preserve">). The other 3 items explored the extent to which the ‘actors’ used IER in order to make their dates or ‘partners’ feel bad. The response options ranged from 1 (not at all) to 4 (quite a lot) with a fifth option being “not applicable” that was coded as a missing value. Participants also answered two more items referring to whether they felt that their date or ‘partner’ did something to try to make them feel better or worse (i.e. </w:t>
      </w:r>
      <w:r w:rsidRPr="00D05EBD">
        <w:rPr>
          <w:i/>
          <w:sz w:val="24"/>
          <w:szCs w:val="24"/>
        </w:rPr>
        <w:t>My date did or said something nice to try to make me feel good</w:t>
      </w:r>
      <w:r w:rsidRPr="00D05EBD">
        <w:rPr>
          <w:sz w:val="24"/>
          <w:szCs w:val="24"/>
        </w:rPr>
        <w:t xml:space="preserve">; </w:t>
      </w:r>
      <w:r w:rsidRPr="00D05EBD">
        <w:rPr>
          <w:i/>
          <w:sz w:val="24"/>
          <w:szCs w:val="24"/>
        </w:rPr>
        <w:t>My date did or said something bad to try to make me feel bad</w:t>
      </w:r>
      <w:r w:rsidRPr="00D05EBD">
        <w:rPr>
          <w:sz w:val="24"/>
          <w:szCs w:val="24"/>
        </w:rPr>
        <w:t xml:space="preserve">). The option responses for these two items were either Yes or No.  </w:t>
      </w:r>
    </w:p>
    <w:p w:rsidR="00FB1389" w:rsidRPr="00D05EBD" w:rsidRDefault="00FB1389" w:rsidP="00AE640B">
      <w:pPr>
        <w:spacing w:line="480" w:lineRule="auto"/>
        <w:ind w:firstLine="360"/>
        <w:jc w:val="both"/>
        <w:rPr>
          <w:i/>
          <w:sz w:val="24"/>
          <w:szCs w:val="24"/>
        </w:rPr>
      </w:pPr>
      <w:r w:rsidRPr="00D05EBD">
        <w:rPr>
          <w:sz w:val="24"/>
          <w:szCs w:val="24"/>
        </w:rPr>
        <w:t>To explore whether participants found their partners physically attractive and likeable</w:t>
      </w:r>
      <w:r w:rsidRPr="00D05EBD">
        <w:rPr>
          <w:i/>
          <w:sz w:val="24"/>
          <w:szCs w:val="24"/>
        </w:rPr>
        <w:t xml:space="preserve"> </w:t>
      </w:r>
      <w:r w:rsidRPr="00D05EBD">
        <w:rPr>
          <w:sz w:val="24"/>
          <w:szCs w:val="24"/>
        </w:rPr>
        <w:t>they were asked to indicate on a scale from 1 (very physically unattractive) to 5 (extremely physically attractive) how attractive they found their date. They were also asked to indicate how likeable they found their date on a scale from 1 (very unlikeable) to 5 (extremely likeable).</w:t>
      </w:r>
      <w:r w:rsidRPr="00D05EBD">
        <w:rPr>
          <w:i/>
          <w:sz w:val="24"/>
          <w:szCs w:val="24"/>
        </w:rPr>
        <w:t xml:space="preserve"> </w:t>
      </w:r>
      <w:r w:rsidRPr="00D05EBD">
        <w:rPr>
          <w:sz w:val="24"/>
          <w:szCs w:val="24"/>
        </w:rPr>
        <w:t>The after</w:t>
      </w:r>
      <w:r w:rsidRPr="00D05EBD">
        <w:rPr>
          <w:i/>
          <w:sz w:val="24"/>
          <w:szCs w:val="24"/>
        </w:rPr>
        <w:t>-</w:t>
      </w:r>
      <w:r w:rsidRPr="00D05EBD">
        <w:rPr>
          <w:sz w:val="24"/>
          <w:szCs w:val="24"/>
        </w:rPr>
        <w:t xml:space="preserve">date questionnaire also explored </w:t>
      </w:r>
      <w:r w:rsidRPr="00D05EBD">
        <w:rPr>
          <w:i/>
          <w:sz w:val="24"/>
          <w:szCs w:val="24"/>
        </w:rPr>
        <w:t xml:space="preserve">romantic interest. </w:t>
      </w:r>
      <w:r w:rsidRPr="00D05EBD">
        <w:rPr>
          <w:sz w:val="24"/>
          <w:szCs w:val="24"/>
        </w:rPr>
        <w:t xml:space="preserve">This was done by asking participants whether they would like or not to go on a second </w:t>
      </w:r>
      <w:r w:rsidRPr="00D05EBD">
        <w:rPr>
          <w:sz w:val="24"/>
          <w:szCs w:val="24"/>
        </w:rPr>
        <w:lastRenderedPageBreak/>
        <w:t>date with the person they had just dated (YES/NO). Participants were informed that their contact details would be shared with the dates with whom they had a mutual liking.</w:t>
      </w:r>
    </w:p>
    <w:p w:rsidR="00FB1389" w:rsidRPr="00D05EBD" w:rsidRDefault="00FB1389" w:rsidP="00AE640B">
      <w:pPr>
        <w:spacing w:line="480" w:lineRule="auto"/>
        <w:ind w:firstLine="360"/>
        <w:jc w:val="both"/>
        <w:rPr>
          <w:sz w:val="24"/>
          <w:szCs w:val="24"/>
        </w:rPr>
      </w:pPr>
      <w:r w:rsidRPr="00D05EBD">
        <w:rPr>
          <w:i/>
          <w:sz w:val="24"/>
          <w:szCs w:val="24"/>
        </w:rPr>
        <w:t>c) End-of-event questionnaire</w:t>
      </w:r>
      <w:r w:rsidRPr="00D05EBD">
        <w:rPr>
          <w:sz w:val="24"/>
          <w:szCs w:val="24"/>
        </w:rPr>
        <w:t xml:space="preserve">. </w:t>
      </w:r>
      <w:r w:rsidRPr="00D05EBD">
        <w:rPr>
          <w:rFonts w:cs="Times New Roman"/>
          <w:sz w:val="24"/>
          <w:szCs w:val="24"/>
        </w:rPr>
        <w:t>At the end of the event participants completed a short (8 items) version of the Marlowe-</w:t>
      </w:r>
      <w:proofErr w:type="spellStart"/>
      <w:r w:rsidRPr="00D05EBD">
        <w:rPr>
          <w:rFonts w:cs="Times New Roman"/>
          <w:sz w:val="24"/>
          <w:szCs w:val="24"/>
        </w:rPr>
        <w:t>Crowne</w:t>
      </w:r>
      <w:proofErr w:type="spellEnd"/>
      <w:r w:rsidRPr="00D05EBD">
        <w:rPr>
          <w:rFonts w:cs="Times New Roman"/>
          <w:sz w:val="24"/>
          <w:szCs w:val="24"/>
        </w:rPr>
        <w:t xml:space="preserve"> Social Desirability Scale (Ray, 1984) to try to identify whether participants were responding in a socially desirable manner (</w:t>
      </w:r>
      <w:r w:rsidRPr="00D05EBD">
        <w:rPr>
          <w:rFonts w:cs="Times New Roman"/>
          <w:i/>
          <w:sz w:val="24"/>
          <w:szCs w:val="24"/>
        </w:rPr>
        <w:t>e.g. Have there been occasions when you took advantage of someone?)</w:t>
      </w:r>
      <w:r w:rsidRPr="00D05EBD">
        <w:rPr>
          <w:rFonts w:cs="Times New Roman"/>
          <w:sz w:val="24"/>
          <w:szCs w:val="24"/>
        </w:rPr>
        <w:t xml:space="preserve">. The answers to these questions used a true/false format. </w:t>
      </w:r>
    </w:p>
    <w:p w:rsidR="00FB1389" w:rsidRPr="00D05EBD" w:rsidRDefault="00FB1389" w:rsidP="00AE640B">
      <w:pPr>
        <w:spacing w:line="480" w:lineRule="auto"/>
        <w:ind w:left="1440" w:firstLine="720"/>
        <w:jc w:val="both"/>
        <w:rPr>
          <w:i/>
          <w:sz w:val="24"/>
          <w:szCs w:val="24"/>
        </w:rPr>
      </w:pPr>
      <w:r w:rsidRPr="00D05EBD">
        <w:rPr>
          <w:i/>
          <w:sz w:val="24"/>
          <w:szCs w:val="24"/>
        </w:rPr>
        <w:t>5.4.1.4 Data analysis strategy</w:t>
      </w:r>
    </w:p>
    <w:p w:rsidR="00FB1389" w:rsidRPr="00D05EBD" w:rsidRDefault="00FB1389" w:rsidP="00AE640B">
      <w:pPr>
        <w:spacing w:line="480" w:lineRule="auto"/>
        <w:ind w:firstLine="720"/>
        <w:jc w:val="both"/>
        <w:rPr>
          <w:sz w:val="24"/>
          <w:szCs w:val="24"/>
        </w:rPr>
      </w:pPr>
      <w:r w:rsidRPr="00D05EBD">
        <w:rPr>
          <w:sz w:val="24"/>
          <w:szCs w:val="24"/>
        </w:rPr>
        <w:t xml:space="preserve">Given the fact that the present research used dyadic a methodology, namely, a speed dating event, to explore AIER, a model able to work with dyadic data was used for the analyses. The Social Relations Model (SRM, </w:t>
      </w:r>
      <w:r w:rsidR="00B06E70">
        <w:rPr>
          <w:sz w:val="24"/>
          <w:szCs w:val="24"/>
        </w:rPr>
        <w:fldChar w:fldCharType="begin" w:fldLock="1"/>
      </w:r>
      <w:r w:rsidR="0029247B">
        <w:rPr>
          <w:sz w:val="24"/>
          <w:szCs w:val="24"/>
        </w:rPr>
        <w:instrText>ADDIN CSL_CITATION { "citationItems" : [ { "id" : "ITEM-1", "itemData" : { "author" : [ { "dropping-particle" : "", "family" : "Kenny", "given" : "D A", "non-dropping-particle" : "", "parse-names" : false, "suffix" : "" }, { "dropping-particle" : "", "family" : "Voie", "given" : "L", "non-dropping-particle" : "La", "parse-names" : false, "suffix" : "" } ], "container-title" : "Advances in Experimental Social Psychology", "id" : "ITEM-1", "issued" : { "date-parts" : [ [ "1984" ] ] }, "page" : "142-182", "title" : "The social relations model", "type" : "article-journal", "volume" : "18" }, "uris" : [ "http://www.mendeley.com/documents/?uuid=d507ead6-77c5-407f-a654-d163c4ad697d" ] } ], "mendeley" : { "formattedCitation" : "(Kenny &amp; La Voie, 1984)", "manualFormatting" : "Kenny &amp; La Voie, 1984)", "plainTextFormattedCitation" : "(Kenny &amp; La Voie, 1984)", "previouslyFormattedCitation" : "(Kenny &amp; La Voie, 1984)" }, "properties" : { "noteIndex" : 0 }, "schema" : "https://github.com/citation-style-language/schema/raw/master/csl-citation.json" }</w:instrText>
      </w:r>
      <w:r w:rsidR="00B06E70">
        <w:rPr>
          <w:sz w:val="24"/>
          <w:szCs w:val="24"/>
        </w:rPr>
        <w:fldChar w:fldCharType="separate"/>
      </w:r>
      <w:r w:rsidR="0029247B" w:rsidRPr="0029247B">
        <w:rPr>
          <w:noProof/>
          <w:sz w:val="24"/>
          <w:szCs w:val="24"/>
        </w:rPr>
        <w:t>Kenny &amp; La Voie, 1984)</w:t>
      </w:r>
      <w:r w:rsidR="00B06E70">
        <w:rPr>
          <w:sz w:val="24"/>
          <w:szCs w:val="24"/>
        </w:rPr>
        <w:fldChar w:fldCharType="end"/>
      </w:r>
      <w:r w:rsidRPr="00D05EBD">
        <w:rPr>
          <w:sz w:val="24"/>
          <w:szCs w:val="24"/>
        </w:rPr>
        <w:t xml:space="preserve"> was used for this purposes. The SRM allows researchers to investigate interpersonal relations by modelling dyadic data. According to the SRM, data on interpersonal interactions can be decomposed into three sources of variability (plus error): the variance due to the actor (the way a person consistently behaves, feels and/or perceives), the variance due to the partner (the way that person is acted towards, felt for and/or perceived by others) and, the variance due to the relationship between actor and partner. These three sources of variability constitute the three main components of the SRM: the actor effect, the partner effect and the relationship effect.  In the social relations model there are two main designs: the block design and the round robin design. In the latter, each person interacts with every other person in the group. In the block design a group of participants are divided into two different subgroups and one subgroup interacts with </w:t>
      </w:r>
      <w:r w:rsidRPr="00D05EBD">
        <w:rPr>
          <w:sz w:val="24"/>
          <w:szCs w:val="24"/>
        </w:rPr>
        <w:lastRenderedPageBreak/>
        <w:t xml:space="preserve">the other </w:t>
      </w:r>
      <w:r w:rsidR="00B06E70">
        <w:rPr>
          <w:sz w:val="24"/>
          <w:szCs w:val="24"/>
        </w:rPr>
        <w:fldChar w:fldCharType="begin" w:fldLock="1"/>
      </w:r>
      <w:r w:rsidR="00A6427F">
        <w:rPr>
          <w:sz w:val="24"/>
          <w:szCs w:val="24"/>
        </w:rPr>
        <w:instrText>ADDIN CSL_CITATION { "citationItems" : [ { "id" : "ITEM-1", "itemData" : { "DOI" : "10.1111/j.1751-9004.2010.00303.x", "ISSN" : "17519004", "abstract" : "The social relations model (SRM) is an intriguing tool both to conceptualize and to analyze dya- dic processes. We begin with explaining why interpersonal phenomena in everyday life are more complex than often considered. We then show how the SRM accounts for these complexities by decomposing interpersonal perceptions and behaviors into three independent components and describe the designs required to investigate these components. We then provide a step-by-step introduction into social relations analyses, thereby showing how the SRM can be used to investi- gate a multitude of exciting research questions. Finally, we summarize the existing software solutions for conducting social relations analyses. Resources for further information are suggested.", "author" : [ { "dropping-particle" : "", "family" : "Back", "given" : "Mitja D", "non-dropping-particle" : "", "parse-names" : false, "suffix" : "" }, { "dropping-particle" : "", "family" : "Kenny", "given" : "David A", "non-dropping-particle" : "", "parse-names" : false, "suffix" : "" } ], "container-title" : "Social and Personality Psychology Compass", "id" : "ITEM-1", "issue" : "10", "issued" : { "date-parts" : [ [ "2010" ] ] }, "page" : "855\u2013870", "title" : "The social relations model: How to understand dyadic processes", "type" : "article-journal", "volume" : "4" }, "uris" : [ "http://www.mendeley.com/documents/?uuid=45c9e32a-4db1-38bf-82ca-c00651abe1ee" ] } ], "mendeley" : { "formattedCitation" : "(Back &amp; Kenny, 2010)", "plainTextFormattedCitation" : "(Back &amp; Kenny, 2010)", "previouslyFormattedCitation" : "(Back &amp; Kenny, 2010)" }, "properties" : { "noteIndex" : 0 }, "schema" : "https://github.com/citation-style-language/schema/raw/master/csl-citation.json" }</w:instrText>
      </w:r>
      <w:r w:rsidR="00B06E70">
        <w:rPr>
          <w:sz w:val="24"/>
          <w:szCs w:val="24"/>
        </w:rPr>
        <w:fldChar w:fldCharType="separate"/>
      </w:r>
      <w:r w:rsidR="005805EC" w:rsidRPr="005805EC">
        <w:rPr>
          <w:noProof/>
          <w:sz w:val="24"/>
          <w:szCs w:val="24"/>
        </w:rPr>
        <w:t>(Back &amp; Kenny, 2010)</w:t>
      </w:r>
      <w:r w:rsidR="00B06E70">
        <w:rPr>
          <w:sz w:val="24"/>
          <w:szCs w:val="24"/>
        </w:rPr>
        <w:fldChar w:fldCharType="end"/>
      </w:r>
      <w:r w:rsidRPr="00D05EBD">
        <w:rPr>
          <w:sz w:val="24"/>
          <w:szCs w:val="24"/>
        </w:rPr>
        <w:t xml:space="preserve">. Block designs are useful if one wants to study asymmetric dyads (e.g. women and men), thus, they are particularly useful to deal with heterosexual speed dating data, as there is a subgroup of men and a subgroup of women interacting with each other. In the present research an asymmetric block design was used to analyse the speed dating data. </w:t>
      </w:r>
      <w:r w:rsidR="00B06E70">
        <w:rPr>
          <w:sz w:val="24"/>
          <w:szCs w:val="24"/>
        </w:rPr>
        <w:fldChar w:fldCharType="begin" w:fldLock="1"/>
      </w:r>
      <w:r w:rsidR="00A6427F">
        <w:rPr>
          <w:sz w:val="24"/>
          <w:szCs w:val="24"/>
        </w:rPr>
        <w:instrText>ADDIN CSL_CITATION { "citationItems" : [ { "id" : "ITEM-1", "itemData" : { "DOI" : "10.1037//1082-989X.3.3.328", "ISBN" : "1082-989X", "ISSN" : "1082-989X", "PMID" : "21290", "abstract" : "This article is intended for investigators interested in applying the Social Relations Model (SRM) to the study of dyadic processes. On the basis of theory and simulation, the authors provide practical advice concerning optimal number of persons per research group, number of research groups, type of research design, and significance testing method. Power depends more on group size than on number of groups. Power also is greater with the round-robin design than with the block design and greater with an asymptotic test of significance than with the test usually used. The authors discuss the effect of skew on theoretical power.", "author" : [ { "dropping-particle" : "", "family" : "Lashley", "given" : "Brian R", "non-dropping-particle" : "", "parse-names" : false, "suffix" : "" }, { "dropping-particle" : "", "family" : "Kenny", "given" : "David A", "non-dropping-particle" : "", "parse-names" : false, "suffix" : "" } ], "container-title" : "Psychological Methods", "id" : "ITEM-1", "issue" : "3", "issued" : { "date-parts" : [ [ "1998" ] ] }, "page" : "328-338", "title" : "Power estimation in social relations analyses", "type" : "article-journal", "volume" : "3" }, "uris" : [ "http://www.mendeley.com/documents/?uuid=f1a001fc-c1d7-39dc-973d-67e5d25282a6" ] } ], "mendeley" : { "formattedCitation" : "(Lashley &amp; Kenny, 1998)", "manualFormatting" : "Lashley and Kenny (1998)", "plainTextFormattedCitation" : "(Lashley &amp; Kenny, 1998)", "previouslyFormattedCitation" : "(Lashley &amp; Kenny, 1998)" }, "properties" : { "noteIndex" : 0 }, "schema" : "https://github.com/citation-style-language/schema/raw/master/csl-citation.json" }</w:instrText>
      </w:r>
      <w:r w:rsidR="00B06E70">
        <w:rPr>
          <w:sz w:val="24"/>
          <w:szCs w:val="24"/>
        </w:rPr>
        <w:fldChar w:fldCharType="separate"/>
      </w:r>
      <w:r w:rsidR="00A6427F" w:rsidRPr="00A6427F">
        <w:rPr>
          <w:noProof/>
          <w:sz w:val="24"/>
          <w:szCs w:val="24"/>
        </w:rPr>
        <w:t xml:space="preserve">Lashley </w:t>
      </w:r>
      <w:r w:rsidR="00A6427F">
        <w:rPr>
          <w:noProof/>
          <w:sz w:val="24"/>
          <w:szCs w:val="24"/>
        </w:rPr>
        <w:t>and</w:t>
      </w:r>
      <w:r w:rsidR="00A6427F" w:rsidRPr="00A6427F">
        <w:rPr>
          <w:noProof/>
          <w:sz w:val="24"/>
          <w:szCs w:val="24"/>
        </w:rPr>
        <w:t xml:space="preserve"> Kenny </w:t>
      </w:r>
      <w:r w:rsidR="00A6427F">
        <w:rPr>
          <w:noProof/>
          <w:sz w:val="24"/>
          <w:szCs w:val="24"/>
        </w:rPr>
        <w:t>(</w:t>
      </w:r>
      <w:r w:rsidR="00A6427F" w:rsidRPr="00A6427F">
        <w:rPr>
          <w:noProof/>
          <w:sz w:val="24"/>
          <w:szCs w:val="24"/>
        </w:rPr>
        <w:t>1998)</w:t>
      </w:r>
      <w:r w:rsidR="00B06E70">
        <w:rPr>
          <w:sz w:val="24"/>
          <w:szCs w:val="24"/>
        </w:rPr>
        <w:fldChar w:fldCharType="end"/>
      </w:r>
      <w:r w:rsidRPr="00D05EBD">
        <w:rPr>
          <w:sz w:val="24"/>
          <w:szCs w:val="24"/>
        </w:rPr>
        <w:t xml:space="preserve"> recommend having 11 groups of twelve people each to have around .80 of statistical power for an actor effect estimate of .01. The present study is interested in what the actor reports about his/her use of IER, thus the present design would need 11 tables of 12 participants each to achieve the same power. However, it was not possible to reach this sample size for the event (to remind the reader, there were three groups, two of 12 people and one of 10 people) thus the power of the present research is less than .80</w:t>
      </w:r>
      <w:r w:rsidRPr="00973AEB">
        <w:rPr>
          <w:rStyle w:val="Refdenotaalpie"/>
        </w:rPr>
        <w:footnoteReference w:id="49"/>
      </w:r>
      <w:r w:rsidRPr="00D05EBD">
        <w:rPr>
          <w:sz w:val="24"/>
          <w:szCs w:val="24"/>
        </w:rPr>
        <w:t xml:space="preserve">. </w:t>
      </w:r>
    </w:p>
    <w:p w:rsidR="00FB1389" w:rsidRDefault="00FB1389" w:rsidP="00AE640B">
      <w:pPr>
        <w:spacing w:line="480" w:lineRule="auto"/>
        <w:ind w:firstLine="720"/>
        <w:jc w:val="both"/>
        <w:rPr>
          <w:sz w:val="24"/>
          <w:szCs w:val="24"/>
        </w:rPr>
      </w:pPr>
      <w:r w:rsidRPr="00D05EBD">
        <w:rPr>
          <w:sz w:val="24"/>
          <w:szCs w:val="24"/>
        </w:rPr>
        <w:t xml:space="preserve">Due to the dyadic nature of the data, which means that each observation (date) comprised two individuals (the actor and the partner) and therefore were not independent, multilevel modelling was used. Three levels were distinguished: the group level (comprising the three tables in the event), the dyad level (the 97 different dates generated) and, the individual level (the 194 individual observations). There were therefore three units of analysis: </w:t>
      </w:r>
      <w:proofErr w:type="spellStart"/>
      <w:r w:rsidRPr="00D05EBD">
        <w:rPr>
          <w:sz w:val="24"/>
          <w:szCs w:val="24"/>
        </w:rPr>
        <w:t>i</w:t>
      </w:r>
      <w:proofErr w:type="spellEnd"/>
      <w:r w:rsidRPr="00D05EBD">
        <w:rPr>
          <w:sz w:val="24"/>
          <w:szCs w:val="24"/>
        </w:rPr>
        <w:t xml:space="preserve">) the participant (either as an actor or a partner), ii) the dyad, and iii) the group, which gives rise to a cross-classified data structure. </w:t>
      </w:r>
    </w:p>
    <w:p w:rsidR="00831D5C" w:rsidRDefault="00831D5C" w:rsidP="00AE640B">
      <w:pPr>
        <w:spacing w:line="480" w:lineRule="auto"/>
        <w:ind w:firstLine="720"/>
        <w:jc w:val="both"/>
        <w:rPr>
          <w:sz w:val="24"/>
          <w:szCs w:val="24"/>
        </w:rPr>
      </w:pPr>
    </w:p>
    <w:p w:rsidR="00831D5C" w:rsidRPr="00D05EBD" w:rsidRDefault="00831D5C" w:rsidP="00AE640B">
      <w:pPr>
        <w:spacing w:line="480" w:lineRule="auto"/>
        <w:ind w:firstLine="720"/>
        <w:jc w:val="both"/>
        <w:rPr>
          <w:sz w:val="24"/>
          <w:szCs w:val="24"/>
        </w:rPr>
      </w:pPr>
    </w:p>
    <w:p w:rsidR="00FB1389" w:rsidRPr="00D05EBD" w:rsidRDefault="00FB1389" w:rsidP="00AE640B">
      <w:pPr>
        <w:spacing w:line="480" w:lineRule="auto"/>
        <w:ind w:firstLine="720"/>
        <w:jc w:val="both"/>
        <w:rPr>
          <w:b/>
          <w:sz w:val="24"/>
          <w:szCs w:val="24"/>
        </w:rPr>
      </w:pPr>
      <w:r w:rsidRPr="00D05EBD">
        <w:rPr>
          <w:b/>
          <w:sz w:val="24"/>
          <w:szCs w:val="24"/>
        </w:rPr>
        <w:lastRenderedPageBreak/>
        <w:t>5.4.2 Results</w:t>
      </w:r>
    </w:p>
    <w:p w:rsidR="00FB1389" w:rsidRPr="00D05EBD" w:rsidRDefault="00FB1389" w:rsidP="00AE640B">
      <w:pPr>
        <w:spacing w:line="480" w:lineRule="auto"/>
        <w:ind w:firstLine="720"/>
        <w:jc w:val="both"/>
        <w:rPr>
          <w:sz w:val="24"/>
          <w:szCs w:val="24"/>
        </w:rPr>
      </w:pPr>
      <w:r w:rsidRPr="00D05EBD">
        <w:rPr>
          <w:sz w:val="24"/>
          <w:szCs w:val="24"/>
        </w:rPr>
        <w:t xml:space="preserve">The first part of the results includes general information about: </w:t>
      </w:r>
      <w:proofErr w:type="spellStart"/>
      <w:r w:rsidRPr="00D05EBD">
        <w:rPr>
          <w:sz w:val="24"/>
          <w:szCs w:val="24"/>
        </w:rPr>
        <w:t>i</w:t>
      </w:r>
      <w:proofErr w:type="spellEnd"/>
      <w:r w:rsidRPr="00D05EBD">
        <w:rPr>
          <w:sz w:val="24"/>
          <w:szCs w:val="24"/>
        </w:rPr>
        <w:t xml:space="preserve">) the number of romantic matches during the event, ii) the effectiveness of the manipulation involving the cognitive load task, iii) differences in perceived physical attractiveness, likeability and social desirability between conditions, iv) descriptive statistics for each of the 3 aspects (awareness, effort, intention) that define AIER, </w:t>
      </w:r>
      <w:r w:rsidR="00975811">
        <w:rPr>
          <w:sz w:val="24"/>
          <w:szCs w:val="24"/>
        </w:rPr>
        <w:t xml:space="preserve">and </w:t>
      </w:r>
      <w:r w:rsidRPr="00D05EBD">
        <w:rPr>
          <w:sz w:val="24"/>
          <w:szCs w:val="24"/>
        </w:rPr>
        <w:t>v) sex differences with respect to the participants’ willingness to see their partners on a second occasion and to the participants’ use of IER</w:t>
      </w:r>
      <w:r w:rsidR="00975811">
        <w:rPr>
          <w:sz w:val="24"/>
          <w:szCs w:val="24"/>
        </w:rPr>
        <w:t>.</w:t>
      </w:r>
      <w:r w:rsidRPr="00D05EBD">
        <w:rPr>
          <w:sz w:val="24"/>
          <w:szCs w:val="24"/>
        </w:rPr>
        <w:t xml:space="preserve"> </w:t>
      </w:r>
    </w:p>
    <w:p w:rsidR="00FB1389" w:rsidRPr="00D05EBD" w:rsidRDefault="00FB1389" w:rsidP="00AE640B">
      <w:pPr>
        <w:spacing w:line="480" w:lineRule="auto"/>
        <w:ind w:firstLine="720"/>
        <w:jc w:val="both"/>
        <w:rPr>
          <w:sz w:val="24"/>
          <w:szCs w:val="24"/>
        </w:rPr>
      </w:pPr>
      <w:r w:rsidRPr="00D05EBD">
        <w:rPr>
          <w:sz w:val="24"/>
          <w:szCs w:val="24"/>
        </w:rPr>
        <w:t>The second part of the results focuses on the main p</w:t>
      </w:r>
      <w:r w:rsidR="00975811">
        <w:rPr>
          <w:sz w:val="24"/>
          <w:szCs w:val="24"/>
        </w:rPr>
        <w:t>urpose of the present study: vi</w:t>
      </w:r>
      <w:r w:rsidRPr="00D05EBD">
        <w:rPr>
          <w:sz w:val="24"/>
          <w:szCs w:val="24"/>
        </w:rPr>
        <w:t>) whether cognitive load affected the amount of awareness, effort, and intention in the use of IER stra</w:t>
      </w:r>
      <w:r w:rsidR="00975811">
        <w:rPr>
          <w:sz w:val="24"/>
          <w:szCs w:val="24"/>
        </w:rPr>
        <w:t>tegies of participants, and vii</w:t>
      </w:r>
      <w:r w:rsidRPr="00D05EBD">
        <w:rPr>
          <w:sz w:val="24"/>
          <w:szCs w:val="24"/>
        </w:rPr>
        <w:t>) whether depletion of regulatory resources (using date number as the proxy measure), emotional exhaustion and affect interacted with cognitive load, making participants more likely to report levels of IER consistent with automaticity (less awareness, effort and intention).</w:t>
      </w:r>
      <w:r w:rsidRPr="00D05EBD">
        <w:rPr>
          <w:rStyle w:val="Refdecomentario"/>
          <w:sz w:val="24"/>
          <w:szCs w:val="24"/>
        </w:rPr>
        <w:t xml:space="preserve"> </w:t>
      </w:r>
    </w:p>
    <w:p w:rsidR="00FB1389" w:rsidRPr="00D05EBD" w:rsidRDefault="00FB1389" w:rsidP="00AE640B">
      <w:pPr>
        <w:spacing w:line="480" w:lineRule="auto"/>
        <w:ind w:firstLine="720"/>
        <w:jc w:val="both"/>
        <w:rPr>
          <w:sz w:val="24"/>
          <w:szCs w:val="24"/>
        </w:rPr>
      </w:pPr>
      <w:r w:rsidRPr="00D05EBD">
        <w:rPr>
          <w:sz w:val="24"/>
          <w:szCs w:val="24"/>
        </w:rPr>
        <w:t>The third part of the results explore individual differences in the use of AIER. Specifically, it was ex</w:t>
      </w:r>
      <w:r w:rsidR="00975811">
        <w:rPr>
          <w:sz w:val="24"/>
          <w:szCs w:val="24"/>
        </w:rPr>
        <w:t>amined whether viii</w:t>
      </w:r>
      <w:r w:rsidRPr="00D05EBD">
        <w:rPr>
          <w:sz w:val="24"/>
          <w:szCs w:val="24"/>
        </w:rPr>
        <w:t>) the habitual use of IER strategies would make participants more likely to use AIER (as reflected on less reported awareness, intention and effort to use IER). Also, whether having difficulties at controlling impulses and lacking emotional awareness would make participants more likely to engage in AIER.</w:t>
      </w:r>
    </w:p>
    <w:p w:rsidR="00FB1389" w:rsidRPr="00D05EBD" w:rsidRDefault="00FB1389" w:rsidP="00AE640B">
      <w:pPr>
        <w:spacing w:line="480" w:lineRule="auto"/>
        <w:ind w:firstLine="720"/>
        <w:jc w:val="both"/>
        <w:rPr>
          <w:sz w:val="24"/>
          <w:szCs w:val="24"/>
        </w:rPr>
      </w:pPr>
      <w:r w:rsidRPr="00D05EBD">
        <w:rPr>
          <w:b/>
          <w:sz w:val="24"/>
          <w:szCs w:val="24"/>
        </w:rPr>
        <w:t xml:space="preserve">I. Number of romantic matches. </w:t>
      </w:r>
      <w:r w:rsidRPr="00D05EBD">
        <w:rPr>
          <w:sz w:val="24"/>
          <w:szCs w:val="24"/>
        </w:rPr>
        <w:t xml:space="preserve">As abovementioned, participants were assigned to either a table with 12 or 10 people, with an equal number of men and women on each table, which resulted in a total of 97 different dates. 15.46% of this total (15 dates) </w:t>
      </w:r>
      <w:r w:rsidRPr="00D05EBD">
        <w:rPr>
          <w:sz w:val="24"/>
          <w:szCs w:val="24"/>
        </w:rPr>
        <w:lastRenderedPageBreak/>
        <w:t>produced romantic matches (mutual willingness to go on a second date from an actor and a partner)</w:t>
      </w:r>
      <w:r w:rsidRPr="00973AEB">
        <w:rPr>
          <w:rStyle w:val="Refdenotaalpie"/>
        </w:rPr>
        <w:footnoteReference w:id="50"/>
      </w:r>
      <w:r w:rsidRPr="00D05EBD">
        <w:rPr>
          <w:sz w:val="24"/>
          <w:szCs w:val="24"/>
        </w:rPr>
        <w:t>. The percentage of matches of the present study was larger than it has been in other speed dating procedures (other events wi</w:t>
      </w:r>
      <w:r w:rsidR="00551F4B">
        <w:rPr>
          <w:sz w:val="24"/>
          <w:szCs w:val="24"/>
        </w:rPr>
        <w:t>th a proxy of 22 men and 22 wome</w:t>
      </w:r>
      <w:r w:rsidRPr="00D05EBD">
        <w:rPr>
          <w:sz w:val="24"/>
          <w:szCs w:val="24"/>
        </w:rPr>
        <w:t xml:space="preserve">n have found an average of 4% matches, </w:t>
      </w:r>
      <w:r w:rsidR="00B06E70">
        <w:rPr>
          <w:sz w:val="24"/>
          <w:szCs w:val="24"/>
        </w:rPr>
        <w:fldChar w:fldCharType="begin" w:fldLock="1"/>
      </w:r>
      <w:r w:rsidR="00F60C3C">
        <w:rPr>
          <w:sz w:val="24"/>
          <w:szCs w:val="24"/>
        </w:rPr>
        <w:instrText>ADDIN CSL_CITATION { "citationItems" : [ { "id" : "ITEM-1", "itemData" : { "author" : [ { "dropping-particle" : "", "family" : "Belot", "given" : "Michele", "non-dropping-particle" : "", "parse-names" : false, "suffix" : "" }, { "dropping-particle" : "", "family" : "Francesconi", "given" : "Marco", "non-dropping-particle" : "", "parse-names" : false, "suffix" : "" } ], "container-title" : "IZA Discussion Paper", "id" : "ITEM-1", "issue" : "2377", "issued" : { "date-parts" : [ [ "2006" ] ] }, "title" : "Can anyone be'the'one? Evidence on mate selection from speed dating", "type" : "article-journal" }, "uris" : [ "http://www.mendeley.com/documents/?uuid=3822b3f3-9b60-4479-b765-7d5f16f25167" ] } ], "mendeley" : { "formattedCitation" : "(Belot &amp; Francesconi, 2006)", "manualFormatting" : "Belot &amp; Francesconi, 2006)", "plainTextFormattedCitation" : "(Belot &amp; Francesconi, 2006)", "previouslyFormattedCitation" : "(Belot &amp; Francesconi, 2006)" }, "properties" : { "noteIndex" : 0 }, "schema" : "https://github.com/citation-style-language/schema/raw/master/csl-citation.json" }</w:instrText>
      </w:r>
      <w:r w:rsidR="00B06E70">
        <w:rPr>
          <w:sz w:val="24"/>
          <w:szCs w:val="24"/>
        </w:rPr>
        <w:fldChar w:fldCharType="separate"/>
      </w:r>
      <w:r w:rsidR="00F60C3C" w:rsidRPr="00F60C3C">
        <w:rPr>
          <w:noProof/>
          <w:sz w:val="24"/>
          <w:szCs w:val="24"/>
        </w:rPr>
        <w:t>Belot &amp; Francesconi, 2006)</w:t>
      </w:r>
      <w:r w:rsidR="00B06E70">
        <w:rPr>
          <w:sz w:val="24"/>
          <w:szCs w:val="24"/>
        </w:rPr>
        <w:fldChar w:fldCharType="end"/>
      </w:r>
      <w:r w:rsidRPr="00D05EBD">
        <w:rPr>
          <w:sz w:val="24"/>
          <w:szCs w:val="24"/>
        </w:rPr>
        <w:t>. This might have happened because the tables were smaller (6 women and 6 men in the largest tables), which might have made participants say “yes” to go on a second date with their partners because they were not going to have a large number of dates to choose from.</w:t>
      </w:r>
      <w:r w:rsidR="00551F4B">
        <w:rPr>
          <w:sz w:val="24"/>
          <w:szCs w:val="24"/>
        </w:rPr>
        <w:t xml:space="preserve"> Thus, having little options to choose from might have contributed to the larger percentage of matches compared to other speed dating events. Research in marketing supports this idea in that when people are offered more choices, they consume less than then they are offered less choices </w:t>
      </w:r>
      <w:r w:rsidR="00551F4B" w:rsidRPr="00831D5C">
        <w:rPr>
          <w:sz w:val="24"/>
          <w:szCs w:val="24"/>
        </w:rPr>
        <w:t>(</w:t>
      </w:r>
      <w:proofErr w:type="spellStart"/>
      <w:r w:rsidR="00551F4B" w:rsidRPr="00831D5C">
        <w:rPr>
          <w:sz w:val="24"/>
          <w:szCs w:val="24"/>
        </w:rPr>
        <w:t>Iyengar</w:t>
      </w:r>
      <w:proofErr w:type="spellEnd"/>
      <w:r w:rsidR="00551F4B" w:rsidRPr="00831D5C">
        <w:rPr>
          <w:sz w:val="24"/>
          <w:szCs w:val="24"/>
        </w:rPr>
        <w:t xml:space="preserve">, Sheena, </w:t>
      </w:r>
      <w:proofErr w:type="spellStart"/>
      <w:r w:rsidR="00551F4B" w:rsidRPr="00831D5C">
        <w:rPr>
          <w:sz w:val="24"/>
          <w:szCs w:val="24"/>
        </w:rPr>
        <w:t>Lepper</w:t>
      </w:r>
      <w:proofErr w:type="spellEnd"/>
      <w:r w:rsidR="00551F4B" w:rsidRPr="00831D5C">
        <w:rPr>
          <w:sz w:val="24"/>
          <w:szCs w:val="24"/>
        </w:rPr>
        <w:t>, &amp; Mark, 2000).</w:t>
      </w:r>
      <w:r w:rsidRPr="00D05EBD">
        <w:rPr>
          <w:sz w:val="24"/>
          <w:szCs w:val="24"/>
        </w:rPr>
        <w:t xml:space="preserve"> Another reason might have been that cognitive load could have made participants more likely to say “yes” to go on a second date with their partners, this option will be further explored in the results sections number III and V.</w:t>
      </w:r>
    </w:p>
    <w:p w:rsidR="00FB1389" w:rsidRPr="00D05EBD" w:rsidRDefault="00FB1389" w:rsidP="00AE640B">
      <w:pPr>
        <w:spacing w:line="480" w:lineRule="auto"/>
        <w:ind w:firstLine="720"/>
        <w:jc w:val="both"/>
        <w:rPr>
          <w:sz w:val="24"/>
          <w:szCs w:val="24"/>
        </w:rPr>
      </w:pPr>
      <w:r w:rsidRPr="00D05EBD">
        <w:rPr>
          <w:b/>
          <w:sz w:val="24"/>
          <w:szCs w:val="24"/>
        </w:rPr>
        <w:t xml:space="preserve">II. Manipulation check. </w:t>
      </w:r>
      <w:r w:rsidRPr="00D05EBD">
        <w:rPr>
          <w:sz w:val="24"/>
          <w:szCs w:val="24"/>
        </w:rPr>
        <w:t xml:space="preserve">To explore whether cognitive load affected the participants’ memory of the number they had to remember, a Chi square test was conducted. A significant association was found between the condition participants were assigned to (high cognitive load, low cognitive load) and whether they remembered the number that was given to them </w:t>
      </w:r>
      <w:r w:rsidRPr="00D05EBD">
        <w:rPr>
          <w:i/>
          <w:sz w:val="24"/>
          <w:szCs w:val="24"/>
        </w:rPr>
        <w:t>χ</w:t>
      </w:r>
      <w:r w:rsidRPr="00D05EBD">
        <w:rPr>
          <w:i/>
          <w:sz w:val="24"/>
          <w:szCs w:val="24"/>
          <w:vertAlign w:val="superscript"/>
        </w:rPr>
        <w:t>2</w:t>
      </w:r>
      <w:r w:rsidRPr="00D05EBD">
        <w:rPr>
          <w:sz w:val="24"/>
          <w:szCs w:val="24"/>
        </w:rPr>
        <w:t xml:space="preserve">(1) = 93.93, </w:t>
      </w:r>
      <w:r w:rsidRPr="00D05EBD">
        <w:rPr>
          <w:i/>
          <w:sz w:val="24"/>
          <w:szCs w:val="24"/>
        </w:rPr>
        <w:t xml:space="preserve">p </w:t>
      </w:r>
      <w:r w:rsidRPr="00D05EBD">
        <w:rPr>
          <w:sz w:val="24"/>
          <w:szCs w:val="24"/>
        </w:rPr>
        <w:t xml:space="preserve">&lt; .001. This seems to represent, based on the odds ratio, that the odds of participants remembering the number correctly were 62.35 times higher when they were in the low cognitive load condition than when they </w:t>
      </w:r>
      <w:r w:rsidRPr="00D05EBD">
        <w:rPr>
          <w:sz w:val="24"/>
          <w:szCs w:val="24"/>
        </w:rPr>
        <w:lastRenderedPageBreak/>
        <w:t xml:space="preserve">were in the high cognitive load condition. This suggests that the manipulation of cognitive load worked. </w:t>
      </w:r>
    </w:p>
    <w:p w:rsidR="00FB1389" w:rsidRPr="00D05EBD" w:rsidRDefault="00FB1389" w:rsidP="00AE640B">
      <w:pPr>
        <w:spacing w:line="480" w:lineRule="auto"/>
        <w:ind w:firstLine="720"/>
        <w:jc w:val="both"/>
        <w:rPr>
          <w:sz w:val="24"/>
          <w:szCs w:val="24"/>
        </w:rPr>
      </w:pPr>
      <w:r w:rsidRPr="00D05EBD">
        <w:rPr>
          <w:b/>
          <w:sz w:val="24"/>
          <w:szCs w:val="24"/>
        </w:rPr>
        <w:t xml:space="preserve">III. Did being under high cognitive load affect how attractive and likeable participants perceive their dates to be, and how socially desirable participants show themselves to be? </w:t>
      </w:r>
      <w:r w:rsidRPr="00D05EBD">
        <w:rPr>
          <w:sz w:val="24"/>
          <w:szCs w:val="24"/>
        </w:rPr>
        <w:t>To see whether the condition participants belonged to (high cognitive load, low cognitive load) affected how likeable and how physically attractive they perceived their dates to be, two separate mixed model analyses were conducted. No significant relationship between cognitive load and how likeable participants found their partners was found,</w:t>
      </w:r>
      <w:r w:rsidRPr="00D05EBD">
        <w:rPr>
          <w:i/>
          <w:sz w:val="24"/>
          <w:szCs w:val="24"/>
        </w:rPr>
        <w:t xml:space="preserve"> t</w:t>
      </w:r>
      <w:r w:rsidRPr="00D05EBD">
        <w:rPr>
          <w:sz w:val="24"/>
          <w:szCs w:val="24"/>
        </w:rPr>
        <w:t xml:space="preserve">(25.35) = -1.35, </w:t>
      </w:r>
      <w:r w:rsidRPr="00D05EBD">
        <w:rPr>
          <w:i/>
          <w:sz w:val="24"/>
          <w:szCs w:val="24"/>
        </w:rPr>
        <w:t xml:space="preserve">p </w:t>
      </w:r>
      <w:r w:rsidRPr="00D05EBD">
        <w:rPr>
          <w:sz w:val="24"/>
          <w:szCs w:val="24"/>
        </w:rPr>
        <w:t xml:space="preserve">= 0.19, with an effect estimated between -.46 and .09. The mixed model analysis exploring whether cognitive load affected how physically attractive participants perceived their dates to be was non-significant either, </w:t>
      </w:r>
      <w:r w:rsidRPr="00D05EBD">
        <w:rPr>
          <w:i/>
          <w:sz w:val="24"/>
          <w:szCs w:val="24"/>
        </w:rPr>
        <w:t>t</w:t>
      </w:r>
      <w:r w:rsidRPr="00D05EBD">
        <w:rPr>
          <w:sz w:val="24"/>
          <w:szCs w:val="24"/>
        </w:rPr>
        <w:t xml:space="preserve">(23.41) = -0.02, </w:t>
      </w:r>
      <w:r w:rsidRPr="00D05EBD">
        <w:rPr>
          <w:i/>
          <w:sz w:val="24"/>
          <w:szCs w:val="24"/>
        </w:rPr>
        <w:t xml:space="preserve">p </w:t>
      </w:r>
      <w:r w:rsidRPr="00D05EBD">
        <w:rPr>
          <w:sz w:val="24"/>
          <w:szCs w:val="24"/>
        </w:rPr>
        <w:t>= 0.98, with an effect estimated between -.26 and .25.</w:t>
      </w:r>
    </w:p>
    <w:p w:rsidR="00FB1389" w:rsidRPr="00D05EBD" w:rsidRDefault="00FB1389" w:rsidP="00AE640B">
      <w:pPr>
        <w:spacing w:line="480" w:lineRule="auto"/>
        <w:ind w:firstLine="720"/>
        <w:jc w:val="both"/>
        <w:rPr>
          <w:b/>
          <w:sz w:val="24"/>
          <w:szCs w:val="24"/>
        </w:rPr>
      </w:pPr>
      <w:r w:rsidRPr="00D05EBD">
        <w:rPr>
          <w:sz w:val="24"/>
          <w:szCs w:val="24"/>
        </w:rPr>
        <w:t>With respect to differences in participants’ scores on social desirab</w:t>
      </w:r>
      <w:r w:rsidR="00687E21">
        <w:rPr>
          <w:sz w:val="24"/>
          <w:szCs w:val="24"/>
        </w:rPr>
        <w:t>ility, an independent t-test</w:t>
      </w:r>
      <w:r w:rsidRPr="00D05EBD">
        <w:rPr>
          <w:sz w:val="24"/>
          <w:szCs w:val="24"/>
        </w:rPr>
        <w:t xml:space="preserve"> found that there was no significant difference between participants in the control (</w:t>
      </w:r>
      <w:r w:rsidRPr="00D05EBD">
        <w:rPr>
          <w:i/>
          <w:sz w:val="24"/>
          <w:szCs w:val="24"/>
        </w:rPr>
        <w:t xml:space="preserve">M </w:t>
      </w:r>
      <w:r w:rsidRPr="00D05EBD">
        <w:rPr>
          <w:sz w:val="24"/>
          <w:szCs w:val="24"/>
        </w:rPr>
        <w:t xml:space="preserve">= 2.37, </w:t>
      </w:r>
      <w:r w:rsidRPr="00D05EBD">
        <w:rPr>
          <w:i/>
          <w:sz w:val="24"/>
          <w:szCs w:val="24"/>
        </w:rPr>
        <w:t xml:space="preserve">SD </w:t>
      </w:r>
      <w:r w:rsidRPr="00D05EBD">
        <w:rPr>
          <w:sz w:val="24"/>
          <w:szCs w:val="24"/>
        </w:rPr>
        <w:t>= .45) and experimental condition (</w:t>
      </w:r>
      <w:r w:rsidRPr="00D05EBD">
        <w:rPr>
          <w:i/>
          <w:sz w:val="24"/>
          <w:szCs w:val="24"/>
        </w:rPr>
        <w:t xml:space="preserve">M </w:t>
      </w:r>
      <w:r w:rsidRPr="00D05EBD">
        <w:rPr>
          <w:sz w:val="24"/>
          <w:szCs w:val="24"/>
        </w:rPr>
        <w:t xml:space="preserve">= 2.32, </w:t>
      </w:r>
      <w:r w:rsidRPr="00D05EBD">
        <w:rPr>
          <w:i/>
          <w:sz w:val="24"/>
          <w:szCs w:val="24"/>
        </w:rPr>
        <w:t xml:space="preserve">SD </w:t>
      </w:r>
      <w:r w:rsidRPr="00D05EBD">
        <w:rPr>
          <w:sz w:val="24"/>
          <w:szCs w:val="24"/>
        </w:rPr>
        <w:t xml:space="preserve">= .30), </w:t>
      </w:r>
      <w:r w:rsidRPr="00D05EBD">
        <w:rPr>
          <w:i/>
          <w:sz w:val="24"/>
          <w:szCs w:val="24"/>
        </w:rPr>
        <w:t>t</w:t>
      </w:r>
      <w:r w:rsidRPr="00D05EBD">
        <w:rPr>
          <w:sz w:val="24"/>
          <w:szCs w:val="24"/>
        </w:rPr>
        <w:t xml:space="preserve">(189) = .87, </w:t>
      </w:r>
      <w:r w:rsidRPr="00D05EBD">
        <w:rPr>
          <w:i/>
          <w:sz w:val="24"/>
          <w:szCs w:val="24"/>
        </w:rPr>
        <w:t xml:space="preserve">p </w:t>
      </w:r>
      <w:r w:rsidRPr="00D05EBD">
        <w:rPr>
          <w:sz w:val="24"/>
          <w:szCs w:val="24"/>
        </w:rPr>
        <w:t>&gt; .05, which suggests that participants in the two conditions did not differ in the way they portrayed themselves, as in trying to act according to social norms or expectancies.</w:t>
      </w:r>
    </w:p>
    <w:p w:rsidR="00FB1389" w:rsidRPr="00D05EBD" w:rsidRDefault="00FB1389" w:rsidP="00AE640B">
      <w:pPr>
        <w:spacing w:line="480" w:lineRule="auto"/>
        <w:ind w:firstLine="720"/>
        <w:jc w:val="both"/>
        <w:rPr>
          <w:b/>
          <w:sz w:val="24"/>
          <w:szCs w:val="24"/>
        </w:rPr>
      </w:pPr>
      <w:r w:rsidRPr="00D05EBD">
        <w:rPr>
          <w:b/>
          <w:sz w:val="24"/>
          <w:szCs w:val="24"/>
        </w:rPr>
        <w:t xml:space="preserve">IV. How much awareness, intention and effort in use of IER did participants report in each condition? </w:t>
      </w:r>
      <w:r w:rsidR="002E431C">
        <w:rPr>
          <w:sz w:val="24"/>
          <w:szCs w:val="24"/>
        </w:rPr>
        <w:t>Table V</w:t>
      </w:r>
      <w:r w:rsidRPr="00D05EBD">
        <w:rPr>
          <w:sz w:val="24"/>
          <w:szCs w:val="24"/>
        </w:rPr>
        <w:t xml:space="preserve">.1 presents the means and standard deviations of levels of awareness, intention and effort in the use of IER that participants reported exerting on their dates. The mean for awareness, intention and effort for each participant throughout their dates was calculated first (to eliminate variation due to </w:t>
      </w:r>
      <w:r w:rsidRPr="00D05EBD">
        <w:rPr>
          <w:sz w:val="24"/>
          <w:szCs w:val="24"/>
        </w:rPr>
        <w:lastRenderedPageBreak/>
        <w:t>differences in the number of observations that individuals provide), prior to calculating a global mean for awareness, intention and effort for all participants</w:t>
      </w:r>
      <w:r w:rsidRPr="00973AEB">
        <w:rPr>
          <w:rStyle w:val="Refdenotaalpie"/>
        </w:rPr>
        <w:footnoteReference w:id="51"/>
      </w:r>
      <w:r w:rsidRPr="00D05EBD">
        <w:rPr>
          <w:sz w:val="24"/>
          <w:szCs w:val="24"/>
        </w:rPr>
        <w:t>. As observed, it seems participants used more improving IER than they use worsening IER.</w:t>
      </w:r>
    </w:p>
    <w:tbl>
      <w:tblPr>
        <w:tblW w:w="5000" w:type="pct"/>
        <w:tblLook w:val="04A0"/>
      </w:tblPr>
      <w:tblGrid>
        <w:gridCol w:w="1878"/>
        <w:gridCol w:w="1270"/>
        <w:gridCol w:w="1116"/>
        <w:gridCol w:w="1116"/>
        <w:gridCol w:w="1270"/>
        <w:gridCol w:w="1116"/>
        <w:gridCol w:w="1116"/>
      </w:tblGrid>
      <w:tr w:rsidR="00FB1389" w:rsidRPr="00AB0B51" w:rsidTr="00D05EBD">
        <w:trPr>
          <w:trHeight w:val="300"/>
        </w:trPr>
        <w:tc>
          <w:tcPr>
            <w:tcW w:w="5000" w:type="pct"/>
            <w:gridSpan w:val="7"/>
            <w:tcBorders>
              <w:top w:val="nil"/>
              <w:left w:val="nil"/>
              <w:bottom w:val="single" w:sz="4" w:space="0" w:color="auto"/>
              <w:right w:val="nil"/>
            </w:tcBorders>
            <w:shd w:val="clear" w:color="auto" w:fill="auto"/>
            <w:vAlign w:val="bottom"/>
            <w:hideMark/>
          </w:tcPr>
          <w:p w:rsidR="00FB1389" w:rsidRPr="00AB0B51" w:rsidRDefault="008402B6" w:rsidP="00AB0B51">
            <w:pPr>
              <w:spacing w:after="0" w:line="240" w:lineRule="auto"/>
              <w:jc w:val="both"/>
              <w:rPr>
                <w:rFonts w:eastAsia="Times New Roman" w:cs="Times New Roman"/>
                <w:color w:val="000000"/>
                <w:lang w:eastAsia="en-GB"/>
              </w:rPr>
            </w:pPr>
            <w:r>
              <w:rPr>
                <w:rFonts w:eastAsia="Times New Roman" w:cs="Times New Roman"/>
                <w:color w:val="000000"/>
                <w:lang w:eastAsia="en-GB"/>
              </w:rPr>
              <w:t>Table V</w:t>
            </w:r>
            <w:r w:rsidR="00FB1389" w:rsidRPr="00AB0B51">
              <w:rPr>
                <w:rFonts w:eastAsia="Times New Roman" w:cs="Times New Roman"/>
                <w:color w:val="000000"/>
                <w:lang w:eastAsia="en-GB"/>
              </w:rPr>
              <w:t>.1 Mean levels of awareness, intention and effort in the use if IER strategies in participants with high and low cognitive load</w:t>
            </w:r>
          </w:p>
        </w:tc>
      </w:tr>
      <w:tr w:rsidR="00FB1389" w:rsidRPr="00AB0B51" w:rsidTr="00D05EBD">
        <w:trPr>
          <w:trHeight w:val="300"/>
        </w:trPr>
        <w:tc>
          <w:tcPr>
            <w:tcW w:w="1058" w:type="pct"/>
            <w:tcBorders>
              <w:top w:val="nil"/>
              <w:left w:val="nil"/>
              <w:bottom w:val="nil"/>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 </w:t>
            </w:r>
          </w:p>
        </w:tc>
        <w:tc>
          <w:tcPr>
            <w:tcW w:w="1971" w:type="pct"/>
            <w:gridSpan w:val="3"/>
            <w:tcBorders>
              <w:top w:val="single" w:sz="4" w:space="0" w:color="auto"/>
              <w:left w:val="single" w:sz="4" w:space="0" w:color="auto"/>
              <w:bottom w:val="nil"/>
              <w:right w:val="single" w:sz="4" w:space="0" w:color="000000"/>
            </w:tcBorders>
            <w:shd w:val="clear" w:color="auto" w:fill="auto"/>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Participants making their partners feel good</w:t>
            </w:r>
          </w:p>
        </w:tc>
        <w:tc>
          <w:tcPr>
            <w:tcW w:w="1971" w:type="pct"/>
            <w:gridSpan w:val="3"/>
            <w:tcBorders>
              <w:top w:val="single" w:sz="4" w:space="0" w:color="auto"/>
              <w:left w:val="nil"/>
              <w:bottom w:val="single" w:sz="4" w:space="0" w:color="auto"/>
              <w:right w:val="nil"/>
            </w:tcBorders>
            <w:shd w:val="clear" w:color="auto" w:fill="auto"/>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Participants making their partners feel bad</w:t>
            </w:r>
          </w:p>
        </w:tc>
      </w:tr>
      <w:tr w:rsidR="00FB1389" w:rsidRPr="00AB0B51" w:rsidTr="00D05EBD">
        <w:trPr>
          <w:trHeight w:val="300"/>
        </w:trPr>
        <w:tc>
          <w:tcPr>
            <w:tcW w:w="1058" w:type="pct"/>
            <w:tcBorders>
              <w:top w:val="single" w:sz="4" w:space="0" w:color="auto"/>
              <w:left w:val="nil"/>
              <w:bottom w:val="single" w:sz="4" w:space="0" w:color="auto"/>
              <w:right w:val="single" w:sz="4" w:space="0" w:color="auto"/>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Cognitive load</w:t>
            </w:r>
          </w:p>
        </w:tc>
        <w:tc>
          <w:tcPr>
            <w:tcW w:w="715" w:type="pct"/>
            <w:tcBorders>
              <w:top w:val="single" w:sz="4" w:space="0" w:color="auto"/>
              <w:left w:val="nil"/>
              <w:bottom w:val="single" w:sz="4" w:space="0" w:color="auto"/>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Awareness</w:t>
            </w:r>
          </w:p>
        </w:tc>
        <w:tc>
          <w:tcPr>
            <w:tcW w:w="628" w:type="pct"/>
            <w:tcBorders>
              <w:top w:val="single" w:sz="4" w:space="0" w:color="auto"/>
              <w:left w:val="nil"/>
              <w:bottom w:val="single" w:sz="4" w:space="0" w:color="auto"/>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Intention</w:t>
            </w:r>
          </w:p>
        </w:tc>
        <w:tc>
          <w:tcPr>
            <w:tcW w:w="628" w:type="pct"/>
            <w:tcBorders>
              <w:top w:val="single" w:sz="4" w:space="0" w:color="auto"/>
              <w:left w:val="nil"/>
              <w:bottom w:val="single" w:sz="4" w:space="0" w:color="auto"/>
              <w:right w:val="single" w:sz="4" w:space="0" w:color="auto"/>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Effort</w:t>
            </w:r>
          </w:p>
        </w:tc>
        <w:tc>
          <w:tcPr>
            <w:tcW w:w="715" w:type="pct"/>
            <w:tcBorders>
              <w:top w:val="nil"/>
              <w:left w:val="nil"/>
              <w:bottom w:val="single" w:sz="4" w:space="0" w:color="auto"/>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Awareness</w:t>
            </w:r>
          </w:p>
        </w:tc>
        <w:tc>
          <w:tcPr>
            <w:tcW w:w="628" w:type="pct"/>
            <w:tcBorders>
              <w:top w:val="nil"/>
              <w:left w:val="nil"/>
              <w:bottom w:val="single" w:sz="4" w:space="0" w:color="auto"/>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Intention</w:t>
            </w:r>
          </w:p>
        </w:tc>
        <w:tc>
          <w:tcPr>
            <w:tcW w:w="628" w:type="pct"/>
            <w:tcBorders>
              <w:top w:val="nil"/>
              <w:left w:val="nil"/>
              <w:bottom w:val="single" w:sz="4" w:space="0" w:color="auto"/>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Effort</w:t>
            </w:r>
          </w:p>
        </w:tc>
      </w:tr>
      <w:tr w:rsidR="00FB1389" w:rsidRPr="00AB0B51" w:rsidTr="00D05EBD">
        <w:trPr>
          <w:trHeight w:val="300"/>
        </w:trPr>
        <w:tc>
          <w:tcPr>
            <w:tcW w:w="1058" w:type="pct"/>
            <w:tcBorders>
              <w:top w:val="nil"/>
              <w:left w:val="nil"/>
              <w:bottom w:val="nil"/>
              <w:right w:val="nil"/>
            </w:tcBorders>
            <w:shd w:val="clear" w:color="auto" w:fill="auto"/>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 xml:space="preserve">Low </w:t>
            </w:r>
          </w:p>
        </w:tc>
        <w:tc>
          <w:tcPr>
            <w:tcW w:w="715" w:type="pct"/>
            <w:tcBorders>
              <w:top w:val="nil"/>
              <w:left w:val="single" w:sz="4" w:space="0" w:color="auto"/>
              <w:bottom w:val="nil"/>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2.82 (.59)</w:t>
            </w:r>
          </w:p>
        </w:tc>
        <w:tc>
          <w:tcPr>
            <w:tcW w:w="628" w:type="pct"/>
            <w:tcBorders>
              <w:top w:val="nil"/>
              <w:left w:val="nil"/>
              <w:bottom w:val="nil"/>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2.83 (.65)</w:t>
            </w:r>
          </w:p>
        </w:tc>
        <w:tc>
          <w:tcPr>
            <w:tcW w:w="628" w:type="pct"/>
            <w:tcBorders>
              <w:top w:val="nil"/>
              <w:left w:val="nil"/>
              <w:bottom w:val="nil"/>
              <w:right w:val="single" w:sz="4" w:space="0" w:color="auto"/>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2.84 (.63)</w:t>
            </w:r>
          </w:p>
        </w:tc>
        <w:tc>
          <w:tcPr>
            <w:tcW w:w="715" w:type="pct"/>
            <w:tcBorders>
              <w:top w:val="nil"/>
              <w:left w:val="nil"/>
              <w:bottom w:val="nil"/>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1.02 (.08)</w:t>
            </w:r>
          </w:p>
        </w:tc>
        <w:tc>
          <w:tcPr>
            <w:tcW w:w="628" w:type="pct"/>
            <w:tcBorders>
              <w:top w:val="nil"/>
              <w:left w:val="nil"/>
              <w:bottom w:val="nil"/>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1 (0)</w:t>
            </w:r>
          </w:p>
        </w:tc>
        <w:tc>
          <w:tcPr>
            <w:tcW w:w="628" w:type="pct"/>
            <w:tcBorders>
              <w:top w:val="nil"/>
              <w:left w:val="nil"/>
              <w:bottom w:val="nil"/>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1.12 (.41)</w:t>
            </w:r>
          </w:p>
        </w:tc>
      </w:tr>
      <w:tr w:rsidR="00FB1389" w:rsidRPr="00AB0B51" w:rsidTr="00D05EBD">
        <w:trPr>
          <w:trHeight w:val="315"/>
        </w:trPr>
        <w:tc>
          <w:tcPr>
            <w:tcW w:w="1058" w:type="pct"/>
            <w:tcBorders>
              <w:top w:val="nil"/>
              <w:left w:val="nil"/>
              <w:bottom w:val="double" w:sz="6" w:space="0" w:color="auto"/>
              <w:right w:val="nil"/>
            </w:tcBorders>
            <w:shd w:val="clear" w:color="auto" w:fill="auto"/>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 xml:space="preserve">High </w:t>
            </w:r>
          </w:p>
        </w:tc>
        <w:tc>
          <w:tcPr>
            <w:tcW w:w="715" w:type="pct"/>
            <w:tcBorders>
              <w:top w:val="nil"/>
              <w:left w:val="single" w:sz="4" w:space="0" w:color="auto"/>
              <w:bottom w:val="double" w:sz="6" w:space="0" w:color="auto"/>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2.59 (.48)</w:t>
            </w:r>
          </w:p>
        </w:tc>
        <w:tc>
          <w:tcPr>
            <w:tcW w:w="628" w:type="pct"/>
            <w:tcBorders>
              <w:top w:val="nil"/>
              <w:left w:val="nil"/>
              <w:bottom w:val="double" w:sz="6" w:space="0" w:color="auto"/>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2.74 (.72)</w:t>
            </w:r>
          </w:p>
        </w:tc>
        <w:tc>
          <w:tcPr>
            <w:tcW w:w="628" w:type="pct"/>
            <w:tcBorders>
              <w:top w:val="nil"/>
              <w:left w:val="nil"/>
              <w:bottom w:val="double" w:sz="6" w:space="0" w:color="auto"/>
              <w:right w:val="single" w:sz="4" w:space="0" w:color="auto"/>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2.64 (.45)</w:t>
            </w:r>
          </w:p>
        </w:tc>
        <w:tc>
          <w:tcPr>
            <w:tcW w:w="715" w:type="pct"/>
            <w:tcBorders>
              <w:top w:val="nil"/>
              <w:left w:val="nil"/>
              <w:bottom w:val="nil"/>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1.03 (.09)</w:t>
            </w:r>
          </w:p>
        </w:tc>
        <w:tc>
          <w:tcPr>
            <w:tcW w:w="628" w:type="pct"/>
            <w:tcBorders>
              <w:top w:val="nil"/>
              <w:left w:val="nil"/>
              <w:bottom w:val="nil"/>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1.03 (.09)</w:t>
            </w:r>
          </w:p>
        </w:tc>
        <w:tc>
          <w:tcPr>
            <w:tcW w:w="628" w:type="pct"/>
            <w:tcBorders>
              <w:top w:val="nil"/>
              <w:left w:val="nil"/>
              <w:bottom w:val="nil"/>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color w:val="000000"/>
                <w:lang w:eastAsia="en-GB"/>
              </w:rPr>
            </w:pPr>
            <w:r w:rsidRPr="00AB0B51">
              <w:rPr>
                <w:rFonts w:eastAsia="Times New Roman" w:cs="Times New Roman"/>
                <w:color w:val="000000"/>
                <w:lang w:eastAsia="en-GB"/>
              </w:rPr>
              <w:t>1.04 (.14)</w:t>
            </w:r>
          </w:p>
        </w:tc>
      </w:tr>
      <w:tr w:rsidR="00FB1389" w:rsidRPr="00AB0B51" w:rsidTr="00D05EBD">
        <w:trPr>
          <w:trHeight w:val="225"/>
        </w:trPr>
        <w:tc>
          <w:tcPr>
            <w:tcW w:w="5000" w:type="pct"/>
            <w:gridSpan w:val="7"/>
            <w:tcBorders>
              <w:top w:val="double" w:sz="6" w:space="0" w:color="auto"/>
              <w:left w:val="nil"/>
              <w:bottom w:val="nil"/>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i/>
                <w:color w:val="000000"/>
                <w:sz w:val="18"/>
                <w:szCs w:val="18"/>
                <w:lang w:eastAsia="en-GB"/>
              </w:rPr>
            </w:pPr>
            <w:r w:rsidRPr="00AB0B51">
              <w:rPr>
                <w:rFonts w:eastAsia="Times New Roman" w:cs="Times New Roman"/>
                <w:i/>
                <w:iCs/>
                <w:color w:val="000000"/>
                <w:sz w:val="18"/>
                <w:szCs w:val="18"/>
                <w:lang w:eastAsia="en-GB"/>
              </w:rPr>
              <w:t xml:space="preserve">N </w:t>
            </w:r>
            <w:r w:rsidRPr="00AB0B51">
              <w:rPr>
                <w:rFonts w:eastAsia="Times New Roman" w:cs="Times New Roman"/>
                <w:i/>
                <w:color w:val="000000"/>
                <w:sz w:val="18"/>
                <w:szCs w:val="18"/>
                <w:lang w:eastAsia="en-GB"/>
              </w:rPr>
              <w:t xml:space="preserve">= 96 in the low cognitive load condition, </w:t>
            </w:r>
            <w:r w:rsidRPr="00AB0B51">
              <w:rPr>
                <w:rFonts w:eastAsia="Times New Roman" w:cs="Times New Roman"/>
                <w:i/>
                <w:iCs/>
                <w:color w:val="000000"/>
                <w:sz w:val="18"/>
                <w:szCs w:val="18"/>
                <w:lang w:eastAsia="en-GB"/>
              </w:rPr>
              <w:t xml:space="preserve">N </w:t>
            </w:r>
            <w:r w:rsidRPr="00AB0B51">
              <w:rPr>
                <w:rFonts w:eastAsia="Times New Roman" w:cs="Times New Roman"/>
                <w:i/>
                <w:color w:val="000000"/>
                <w:sz w:val="18"/>
                <w:szCs w:val="18"/>
                <w:lang w:eastAsia="en-GB"/>
              </w:rPr>
              <w:t xml:space="preserve">= 50 in the high cognitive load condition. </w:t>
            </w:r>
          </w:p>
        </w:tc>
      </w:tr>
      <w:tr w:rsidR="00FB1389" w:rsidRPr="00AB0B51" w:rsidTr="00D05EBD">
        <w:trPr>
          <w:trHeight w:val="225"/>
        </w:trPr>
        <w:tc>
          <w:tcPr>
            <w:tcW w:w="2401" w:type="pct"/>
            <w:gridSpan w:val="3"/>
            <w:tcBorders>
              <w:top w:val="nil"/>
              <w:left w:val="nil"/>
              <w:bottom w:val="nil"/>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i/>
                <w:color w:val="000000"/>
                <w:sz w:val="18"/>
                <w:szCs w:val="18"/>
                <w:lang w:eastAsia="en-GB"/>
              </w:rPr>
            </w:pPr>
            <w:r w:rsidRPr="00AB0B51">
              <w:rPr>
                <w:rFonts w:eastAsia="Times New Roman" w:cs="Times New Roman"/>
                <w:i/>
                <w:color w:val="000000"/>
                <w:sz w:val="18"/>
                <w:szCs w:val="18"/>
                <w:lang w:eastAsia="en-GB"/>
              </w:rPr>
              <w:t>Standard deviations are in parentheses</w:t>
            </w:r>
          </w:p>
        </w:tc>
        <w:tc>
          <w:tcPr>
            <w:tcW w:w="628" w:type="pct"/>
            <w:tcBorders>
              <w:top w:val="nil"/>
              <w:left w:val="nil"/>
              <w:bottom w:val="nil"/>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i/>
                <w:color w:val="000000"/>
                <w:sz w:val="18"/>
                <w:szCs w:val="18"/>
                <w:lang w:eastAsia="en-GB"/>
              </w:rPr>
            </w:pPr>
          </w:p>
        </w:tc>
        <w:tc>
          <w:tcPr>
            <w:tcW w:w="715" w:type="pct"/>
            <w:tcBorders>
              <w:top w:val="nil"/>
              <w:left w:val="nil"/>
              <w:bottom w:val="nil"/>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i/>
                <w:color w:val="000000"/>
                <w:sz w:val="18"/>
                <w:szCs w:val="18"/>
                <w:lang w:eastAsia="en-GB"/>
              </w:rPr>
            </w:pPr>
          </w:p>
        </w:tc>
        <w:tc>
          <w:tcPr>
            <w:tcW w:w="628" w:type="pct"/>
            <w:tcBorders>
              <w:top w:val="nil"/>
              <w:left w:val="nil"/>
              <w:bottom w:val="nil"/>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i/>
                <w:color w:val="000000"/>
                <w:sz w:val="18"/>
                <w:szCs w:val="18"/>
                <w:lang w:eastAsia="en-GB"/>
              </w:rPr>
            </w:pPr>
          </w:p>
        </w:tc>
        <w:tc>
          <w:tcPr>
            <w:tcW w:w="628" w:type="pct"/>
            <w:tcBorders>
              <w:top w:val="nil"/>
              <w:left w:val="nil"/>
              <w:bottom w:val="nil"/>
              <w:right w:val="nil"/>
            </w:tcBorders>
            <w:shd w:val="clear" w:color="auto" w:fill="auto"/>
            <w:noWrap/>
            <w:vAlign w:val="bottom"/>
            <w:hideMark/>
          </w:tcPr>
          <w:p w:rsidR="00FB1389" w:rsidRPr="00AB0B51" w:rsidRDefault="00FB1389" w:rsidP="00AB0B51">
            <w:pPr>
              <w:spacing w:after="0" w:line="240" w:lineRule="auto"/>
              <w:jc w:val="both"/>
              <w:rPr>
                <w:rFonts w:eastAsia="Times New Roman" w:cs="Times New Roman"/>
                <w:i/>
                <w:color w:val="000000"/>
                <w:sz w:val="18"/>
                <w:szCs w:val="18"/>
                <w:lang w:eastAsia="en-GB"/>
              </w:rPr>
            </w:pPr>
          </w:p>
        </w:tc>
      </w:tr>
      <w:tr w:rsidR="00FB1389" w:rsidRPr="00AB0B51" w:rsidTr="00D05EBD">
        <w:trPr>
          <w:trHeight w:val="225"/>
        </w:trPr>
        <w:tc>
          <w:tcPr>
            <w:tcW w:w="5000" w:type="pct"/>
            <w:gridSpan w:val="7"/>
            <w:tcBorders>
              <w:top w:val="nil"/>
              <w:left w:val="nil"/>
              <w:bottom w:val="nil"/>
              <w:right w:val="nil"/>
            </w:tcBorders>
            <w:shd w:val="clear" w:color="auto" w:fill="auto"/>
            <w:vAlign w:val="bottom"/>
            <w:hideMark/>
          </w:tcPr>
          <w:p w:rsidR="00FB1389" w:rsidRPr="00AB0B51" w:rsidRDefault="00FB1389" w:rsidP="00AB0B51">
            <w:pPr>
              <w:spacing w:after="0" w:line="240" w:lineRule="auto"/>
              <w:jc w:val="both"/>
              <w:rPr>
                <w:rFonts w:eastAsia="Times New Roman" w:cs="Times New Roman"/>
                <w:i/>
                <w:color w:val="000000"/>
                <w:sz w:val="18"/>
                <w:szCs w:val="18"/>
                <w:lang w:eastAsia="en-GB"/>
              </w:rPr>
            </w:pPr>
            <w:r w:rsidRPr="00AB0B51">
              <w:rPr>
                <w:rFonts w:eastAsia="Times New Roman" w:cs="Times New Roman"/>
                <w:i/>
                <w:color w:val="000000"/>
                <w:sz w:val="18"/>
                <w:szCs w:val="18"/>
                <w:lang w:eastAsia="en-GB"/>
              </w:rPr>
              <w:t xml:space="preserve">Participants answers ranged from 1 to 4, with 4 being the highest level of awareness, intention and effort respectively  </w:t>
            </w:r>
          </w:p>
        </w:tc>
      </w:tr>
    </w:tbl>
    <w:p w:rsidR="00FB1389" w:rsidRPr="00D05EBD" w:rsidRDefault="00FB1389" w:rsidP="00AE640B">
      <w:pPr>
        <w:spacing w:line="480" w:lineRule="auto"/>
        <w:jc w:val="both"/>
        <w:rPr>
          <w:sz w:val="24"/>
          <w:szCs w:val="24"/>
        </w:rPr>
      </w:pPr>
    </w:p>
    <w:p w:rsidR="00FB1389" w:rsidRPr="00D05EBD" w:rsidRDefault="00FB1389" w:rsidP="00AE640B">
      <w:pPr>
        <w:spacing w:line="480" w:lineRule="auto"/>
        <w:ind w:firstLine="720"/>
        <w:jc w:val="both"/>
        <w:rPr>
          <w:sz w:val="24"/>
          <w:szCs w:val="24"/>
        </w:rPr>
      </w:pPr>
      <w:r w:rsidRPr="00D05EBD">
        <w:rPr>
          <w:b/>
          <w:sz w:val="24"/>
          <w:szCs w:val="24"/>
        </w:rPr>
        <w:t xml:space="preserve">V. Did men or women express greater willingness for a second date, or think they used more improving IER when dating and, did this depend on the condition they belonged to? </w:t>
      </w:r>
      <w:r w:rsidRPr="00D05EBD">
        <w:rPr>
          <w:sz w:val="24"/>
          <w:szCs w:val="24"/>
        </w:rPr>
        <w:t>To explore if there were differences in the willingness of participants to go on a second date depending on whether the participant was a woman or a man, a Chi square test was conducted with gender as the independent variable and willingness to go on a second date as the dependent variable. There was a significant association between the gender of the participant and whether or not they would say “yes” when asked if they would like to go on a second date with their partner χ</w:t>
      </w:r>
      <w:r w:rsidRPr="00D05EBD">
        <w:rPr>
          <w:sz w:val="24"/>
          <w:szCs w:val="24"/>
          <w:vertAlign w:val="superscript"/>
        </w:rPr>
        <w:t>2</w:t>
      </w:r>
      <w:r w:rsidRPr="00D05EBD">
        <w:rPr>
          <w:sz w:val="24"/>
          <w:szCs w:val="24"/>
        </w:rPr>
        <w:t xml:space="preserve"> (1) = 12.66, </w:t>
      </w:r>
      <w:r w:rsidRPr="00D05EBD">
        <w:rPr>
          <w:i/>
          <w:sz w:val="24"/>
          <w:szCs w:val="24"/>
        </w:rPr>
        <w:t xml:space="preserve">p </w:t>
      </w:r>
      <w:r w:rsidRPr="00D05EBD">
        <w:rPr>
          <w:sz w:val="24"/>
          <w:szCs w:val="24"/>
        </w:rPr>
        <w:t>&lt; .00</w:t>
      </w:r>
      <w:r w:rsidR="002E431C">
        <w:rPr>
          <w:sz w:val="24"/>
          <w:szCs w:val="24"/>
        </w:rPr>
        <w:t>1. As can be observed in Table V</w:t>
      </w:r>
      <w:r w:rsidRPr="00D05EBD">
        <w:rPr>
          <w:sz w:val="24"/>
          <w:szCs w:val="24"/>
        </w:rPr>
        <w:t xml:space="preserve">.2, this seems to represent, based on the odds ratio, that men were 2.98 times more likely to report they would like to go on a second date than women. To rule out that the condition participants belonged to made them more likely to say “yes” to go on a second date, another Chi square test with condition as the IV and </w:t>
      </w:r>
      <w:r w:rsidRPr="00D05EBD">
        <w:rPr>
          <w:sz w:val="24"/>
          <w:szCs w:val="24"/>
        </w:rPr>
        <w:lastRenderedPageBreak/>
        <w:t>willingness to go on a second date as the DV was conducted. There was no significant association between condition and second date χ</w:t>
      </w:r>
      <w:r w:rsidRPr="00D05EBD">
        <w:rPr>
          <w:sz w:val="24"/>
          <w:szCs w:val="24"/>
          <w:vertAlign w:val="superscript"/>
        </w:rPr>
        <w:t>2</w:t>
      </w:r>
      <w:r w:rsidRPr="00D05EBD">
        <w:rPr>
          <w:sz w:val="24"/>
          <w:szCs w:val="24"/>
        </w:rPr>
        <w:t xml:space="preserve"> (1) = .024, </w:t>
      </w:r>
      <w:r w:rsidRPr="00D05EBD">
        <w:rPr>
          <w:i/>
          <w:sz w:val="24"/>
          <w:szCs w:val="24"/>
        </w:rPr>
        <w:t xml:space="preserve">p </w:t>
      </w:r>
      <w:r w:rsidRPr="00D05EBD">
        <w:rPr>
          <w:sz w:val="24"/>
          <w:szCs w:val="24"/>
        </w:rPr>
        <w:t xml:space="preserve">&gt; .05. </w:t>
      </w:r>
    </w:p>
    <w:tbl>
      <w:tblPr>
        <w:tblW w:w="5000" w:type="pct"/>
        <w:tblLook w:val="04A0"/>
      </w:tblPr>
      <w:tblGrid>
        <w:gridCol w:w="2011"/>
        <w:gridCol w:w="1771"/>
        <w:gridCol w:w="1835"/>
        <w:gridCol w:w="3265"/>
      </w:tblGrid>
      <w:tr w:rsidR="00FB1389" w:rsidRPr="008402B6" w:rsidTr="00D05EBD">
        <w:trPr>
          <w:trHeight w:val="300"/>
        </w:trPr>
        <w:tc>
          <w:tcPr>
            <w:tcW w:w="5000" w:type="pct"/>
            <w:gridSpan w:val="4"/>
            <w:tcBorders>
              <w:top w:val="nil"/>
              <w:left w:val="nil"/>
              <w:bottom w:val="single" w:sz="4" w:space="0" w:color="auto"/>
              <w:right w:val="nil"/>
            </w:tcBorders>
            <w:shd w:val="clear" w:color="auto" w:fill="auto"/>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 xml:space="preserve">Table </w:t>
            </w:r>
            <w:r w:rsidR="008402B6" w:rsidRPr="008402B6">
              <w:rPr>
                <w:rFonts w:eastAsia="Times New Roman" w:cs="Times New Roman"/>
                <w:color w:val="000000"/>
              </w:rPr>
              <w:t>V</w:t>
            </w:r>
            <w:r w:rsidRPr="008402B6">
              <w:rPr>
                <w:rFonts w:eastAsia="Times New Roman" w:cs="Times New Roman"/>
                <w:color w:val="000000"/>
              </w:rPr>
              <w:t>.2  Gender of the participant and willingness to go on a second date</w:t>
            </w:r>
          </w:p>
        </w:tc>
      </w:tr>
      <w:tr w:rsidR="00FB1389" w:rsidRPr="008402B6" w:rsidTr="00D05EBD">
        <w:trPr>
          <w:trHeight w:val="300"/>
        </w:trPr>
        <w:tc>
          <w:tcPr>
            <w:tcW w:w="5000" w:type="pct"/>
            <w:gridSpan w:val="4"/>
            <w:tcBorders>
              <w:top w:val="single" w:sz="4" w:space="0" w:color="auto"/>
              <w:left w:val="nil"/>
              <w:bottom w:val="single" w:sz="4" w:space="0" w:color="auto"/>
              <w:right w:val="nil"/>
            </w:tcBorders>
            <w:shd w:val="clear" w:color="auto" w:fill="auto"/>
            <w:vAlign w:val="center"/>
            <w:hideMark/>
          </w:tcPr>
          <w:p w:rsidR="00FB1389" w:rsidRPr="008402B6" w:rsidRDefault="00FB1389" w:rsidP="008402B6">
            <w:pPr>
              <w:spacing w:after="0" w:line="240" w:lineRule="auto"/>
              <w:jc w:val="both"/>
              <w:rPr>
                <w:rFonts w:eastAsia="Times New Roman" w:cs="Times New Roman"/>
                <w:color w:val="000000"/>
              </w:rPr>
            </w:pPr>
            <w:proofErr w:type="spellStart"/>
            <w:r w:rsidRPr="008402B6">
              <w:rPr>
                <w:rFonts w:eastAsia="Times New Roman" w:cs="Times New Roman"/>
                <w:color w:val="000000"/>
              </w:rPr>
              <w:t>Crosstabulation</w:t>
            </w:r>
            <w:proofErr w:type="spellEnd"/>
            <w:r w:rsidRPr="008402B6">
              <w:rPr>
                <w:rFonts w:eastAsia="Times New Roman" w:cs="Times New Roman"/>
                <w:color w:val="000000"/>
              </w:rPr>
              <w:t xml:space="preserve"> of gender and second date</w:t>
            </w:r>
          </w:p>
        </w:tc>
      </w:tr>
      <w:tr w:rsidR="00FB1389" w:rsidRPr="008402B6" w:rsidTr="00D05EBD">
        <w:trPr>
          <w:trHeight w:val="300"/>
        </w:trPr>
        <w:tc>
          <w:tcPr>
            <w:tcW w:w="1132" w:type="pct"/>
            <w:vMerge w:val="restart"/>
            <w:tcBorders>
              <w:top w:val="nil"/>
              <w:left w:val="nil"/>
              <w:bottom w:val="single" w:sz="4" w:space="0" w:color="000000"/>
              <w:right w:val="single" w:sz="4" w:space="0" w:color="auto"/>
            </w:tcBorders>
            <w:shd w:val="clear" w:color="auto" w:fill="auto"/>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 </w:t>
            </w:r>
          </w:p>
        </w:tc>
        <w:tc>
          <w:tcPr>
            <w:tcW w:w="2030" w:type="pct"/>
            <w:gridSpan w:val="2"/>
            <w:tcBorders>
              <w:top w:val="single" w:sz="4" w:space="0" w:color="auto"/>
              <w:left w:val="nil"/>
              <w:bottom w:val="single" w:sz="4" w:space="0" w:color="auto"/>
              <w:right w:val="single" w:sz="4" w:space="0" w:color="000000"/>
            </w:tcBorders>
            <w:shd w:val="clear" w:color="auto" w:fill="auto"/>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Willingness to go on a second date</w:t>
            </w:r>
          </w:p>
        </w:tc>
        <w:tc>
          <w:tcPr>
            <w:tcW w:w="1838" w:type="pct"/>
            <w:vMerge w:val="restart"/>
            <w:tcBorders>
              <w:top w:val="nil"/>
              <w:left w:val="single" w:sz="4" w:space="0" w:color="auto"/>
              <w:bottom w:val="single" w:sz="4" w:space="0" w:color="000000"/>
              <w:right w:val="nil"/>
            </w:tcBorders>
            <w:shd w:val="clear" w:color="auto" w:fill="auto"/>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Total</w:t>
            </w:r>
          </w:p>
        </w:tc>
      </w:tr>
      <w:tr w:rsidR="00FB1389" w:rsidRPr="008402B6" w:rsidTr="00D05EBD">
        <w:trPr>
          <w:trHeight w:val="300"/>
        </w:trPr>
        <w:tc>
          <w:tcPr>
            <w:tcW w:w="1132" w:type="pct"/>
            <w:vMerge/>
            <w:tcBorders>
              <w:top w:val="nil"/>
              <w:left w:val="nil"/>
              <w:bottom w:val="single" w:sz="4" w:space="0" w:color="000000"/>
              <w:right w:val="single" w:sz="4" w:space="0" w:color="auto"/>
            </w:tcBorders>
            <w:vAlign w:val="center"/>
            <w:hideMark/>
          </w:tcPr>
          <w:p w:rsidR="00FB1389" w:rsidRPr="008402B6" w:rsidRDefault="00FB1389" w:rsidP="008402B6">
            <w:pPr>
              <w:spacing w:after="0" w:line="240" w:lineRule="auto"/>
              <w:jc w:val="both"/>
              <w:rPr>
                <w:rFonts w:eastAsia="Times New Roman" w:cs="Times New Roman"/>
                <w:color w:val="000000"/>
              </w:rPr>
            </w:pPr>
          </w:p>
        </w:tc>
        <w:tc>
          <w:tcPr>
            <w:tcW w:w="997" w:type="pct"/>
            <w:tcBorders>
              <w:top w:val="nil"/>
              <w:left w:val="nil"/>
              <w:bottom w:val="single" w:sz="4" w:space="0" w:color="auto"/>
              <w:right w:val="single" w:sz="4" w:space="0" w:color="auto"/>
            </w:tcBorders>
            <w:shd w:val="clear" w:color="auto" w:fill="auto"/>
            <w:noWrap/>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No</w:t>
            </w:r>
          </w:p>
        </w:tc>
        <w:tc>
          <w:tcPr>
            <w:tcW w:w="1033" w:type="pct"/>
            <w:tcBorders>
              <w:top w:val="nil"/>
              <w:left w:val="nil"/>
              <w:bottom w:val="single" w:sz="4" w:space="0" w:color="auto"/>
              <w:right w:val="single" w:sz="4" w:space="0" w:color="auto"/>
            </w:tcBorders>
            <w:shd w:val="clear" w:color="auto" w:fill="auto"/>
            <w:noWrap/>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Yes</w:t>
            </w:r>
          </w:p>
        </w:tc>
        <w:tc>
          <w:tcPr>
            <w:tcW w:w="1838" w:type="pct"/>
            <w:vMerge/>
            <w:tcBorders>
              <w:top w:val="nil"/>
              <w:left w:val="single" w:sz="4" w:space="0" w:color="auto"/>
              <w:bottom w:val="single" w:sz="4" w:space="0" w:color="000000"/>
              <w:right w:val="nil"/>
            </w:tcBorders>
            <w:vAlign w:val="center"/>
            <w:hideMark/>
          </w:tcPr>
          <w:p w:rsidR="00FB1389" w:rsidRPr="008402B6" w:rsidRDefault="00FB1389" w:rsidP="008402B6">
            <w:pPr>
              <w:spacing w:after="0" w:line="240" w:lineRule="auto"/>
              <w:jc w:val="both"/>
              <w:rPr>
                <w:rFonts w:eastAsia="Times New Roman" w:cs="Times New Roman"/>
                <w:color w:val="000000"/>
              </w:rPr>
            </w:pPr>
          </w:p>
        </w:tc>
      </w:tr>
      <w:tr w:rsidR="00FB1389" w:rsidRPr="008402B6" w:rsidTr="00D05EBD">
        <w:trPr>
          <w:trHeight w:val="300"/>
        </w:trPr>
        <w:tc>
          <w:tcPr>
            <w:tcW w:w="1132" w:type="pct"/>
            <w:tcBorders>
              <w:top w:val="nil"/>
              <w:left w:val="nil"/>
              <w:bottom w:val="nil"/>
              <w:right w:val="nil"/>
            </w:tcBorders>
            <w:shd w:val="clear" w:color="auto" w:fill="auto"/>
            <w:noWrap/>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Women</w:t>
            </w:r>
          </w:p>
        </w:tc>
        <w:tc>
          <w:tcPr>
            <w:tcW w:w="997" w:type="pct"/>
            <w:tcBorders>
              <w:top w:val="nil"/>
              <w:left w:val="single" w:sz="4" w:space="0" w:color="auto"/>
              <w:bottom w:val="nil"/>
              <w:right w:val="single" w:sz="4" w:space="0" w:color="auto"/>
            </w:tcBorders>
            <w:shd w:val="clear" w:color="auto" w:fill="auto"/>
            <w:noWrap/>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68</w:t>
            </w:r>
          </w:p>
        </w:tc>
        <w:tc>
          <w:tcPr>
            <w:tcW w:w="1033" w:type="pct"/>
            <w:tcBorders>
              <w:top w:val="nil"/>
              <w:left w:val="nil"/>
              <w:bottom w:val="nil"/>
              <w:right w:val="single" w:sz="4" w:space="0" w:color="auto"/>
            </w:tcBorders>
            <w:shd w:val="clear" w:color="auto" w:fill="auto"/>
            <w:noWrap/>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26</w:t>
            </w:r>
          </w:p>
        </w:tc>
        <w:tc>
          <w:tcPr>
            <w:tcW w:w="1838" w:type="pct"/>
            <w:tcBorders>
              <w:top w:val="nil"/>
              <w:left w:val="nil"/>
              <w:bottom w:val="nil"/>
              <w:right w:val="nil"/>
            </w:tcBorders>
            <w:shd w:val="clear" w:color="auto" w:fill="auto"/>
            <w:noWrap/>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94</w:t>
            </w:r>
          </w:p>
        </w:tc>
      </w:tr>
      <w:tr w:rsidR="00FB1389" w:rsidRPr="008402B6" w:rsidTr="00D05EBD">
        <w:trPr>
          <w:trHeight w:val="300"/>
        </w:trPr>
        <w:tc>
          <w:tcPr>
            <w:tcW w:w="1132" w:type="pct"/>
            <w:tcBorders>
              <w:top w:val="nil"/>
              <w:left w:val="nil"/>
              <w:bottom w:val="nil"/>
              <w:right w:val="nil"/>
            </w:tcBorders>
            <w:shd w:val="clear" w:color="auto" w:fill="auto"/>
            <w:noWrap/>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Men</w:t>
            </w:r>
          </w:p>
        </w:tc>
        <w:tc>
          <w:tcPr>
            <w:tcW w:w="997" w:type="pct"/>
            <w:tcBorders>
              <w:top w:val="nil"/>
              <w:left w:val="single" w:sz="4" w:space="0" w:color="auto"/>
              <w:bottom w:val="nil"/>
              <w:right w:val="single" w:sz="4" w:space="0" w:color="auto"/>
            </w:tcBorders>
            <w:shd w:val="clear" w:color="auto" w:fill="auto"/>
            <w:noWrap/>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43</w:t>
            </w:r>
          </w:p>
        </w:tc>
        <w:tc>
          <w:tcPr>
            <w:tcW w:w="1033" w:type="pct"/>
            <w:tcBorders>
              <w:top w:val="nil"/>
              <w:left w:val="nil"/>
              <w:bottom w:val="nil"/>
              <w:right w:val="single" w:sz="4" w:space="0" w:color="auto"/>
            </w:tcBorders>
            <w:shd w:val="clear" w:color="auto" w:fill="auto"/>
            <w:noWrap/>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49</w:t>
            </w:r>
          </w:p>
        </w:tc>
        <w:tc>
          <w:tcPr>
            <w:tcW w:w="1838" w:type="pct"/>
            <w:tcBorders>
              <w:top w:val="nil"/>
              <w:left w:val="nil"/>
              <w:bottom w:val="nil"/>
              <w:right w:val="nil"/>
            </w:tcBorders>
            <w:shd w:val="clear" w:color="auto" w:fill="auto"/>
            <w:noWrap/>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92</w:t>
            </w:r>
          </w:p>
        </w:tc>
      </w:tr>
      <w:tr w:rsidR="00FB1389" w:rsidRPr="008402B6" w:rsidTr="00D05EBD">
        <w:trPr>
          <w:trHeight w:val="315"/>
        </w:trPr>
        <w:tc>
          <w:tcPr>
            <w:tcW w:w="1132" w:type="pct"/>
            <w:tcBorders>
              <w:top w:val="nil"/>
              <w:left w:val="nil"/>
              <w:bottom w:val="double" w:sz="6" w:space="0" w:color="auto"/>
              <w:right w:val="nil"/>
            </w:tcBorders>
            <w:shd w:val="clear" w:color="auto" w:fill="auto"/>
            <w:noWrap/>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Total</w:t>
            </w:r>
          </w:p>
        </w:tc>
        <w:tc>
          <w:tcPr>
            <w:tcW w:w="997" w:type="pct"/>
            <w:tcBorders>
              <w:top w:val="nil"/>
              <w:left w:val="single" w:sz="4" w:space="0" w:color="auto"/>
              <w:bottom w:val="double" w:sz="6" w:space="0" w:color="auto"/>
              <w:right w:val="single" w:sz="4" w:space="0" w:color="auto"/>
            </w:tcBorders>
            <w:shd w:val="clear" w:color="auto" w:fill="auto"/>
            <w:noWrap/>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111</w:t>
            </w:r>
          </w:p>
        </w:tc>
        <w:tc>
          <w:tcPr>
            <w:tcW w:w="1033" w:type="pct"/>
            <w:tcBorders>
              <w:top w:val="nil"/>
              <w:left w:val="nil"/>
              <w:bottom w:val="double" w:sz="6" w:space="0" w:color="auto"/>
              <w:right w:val="single" w:sz="4" w:space="0" w:color="auto"/>
            </w:tcBorders>
            <w:shd w:val="clear" w:color="auto" w:fill="auto"/>
            <w:noWrap/>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75</w:t>
            </w:r>
          </w:p>
        </w:tc>
        <w:tc>
          <w:tcPr>
            <w:tcW w:w="1838" w:type="pct"/>
            <w:tcBorders>
              <w:top w:val="nil"/>
              <w:left w:val="nil"/>
              <w:bottom w:val="double" w:sz="6" w:space="0" w:color="auto"/>
              <w:right w:val="nil"/>
            </w:tcBorders>
            <w:shd w:val="clear" w:color="auto" w:fill="auto"/>
            <w:noWrap/>
            <w:vAlign w:val="center"/>
            <w:hideMark/>
          </w:tcPr>
          <w:p w:rsidR="00FB1389" w:rsidRPr="008402B6" w:rsidRDefault="00FB1389" w:rsidP="008402B6">
            <w:pPr>
              <w:spacing w:after="0" w:line="240" w:lineRule="auto"/>
              <w:jc w:val="both"/>
              <w:rPr>
                <w:rFonts w:eastAsia="Times New Roman" w:cs="Times New Roman"/>
                <w:color w:val="000000"/>
              </w:rPr>
            </w:pPr>
            <w:r w:rsidRPr="008402B6">
              <w:rPr>
                <w:rFonts w:eastAsia="Times New Roman" w:cs="Times New Roman"/>
                <w:color w:val="000000"/>
              </w:rPr>
              <w:t>186</w:t>
            </w:r>
          </w:p>
        </w:tc>
      </w:tr>
    </w:tbl>
    <w:p w:rsidR="00FB1389" w:rsidRPr="00D05EBD" w:rsidRDefault="00FB1389" w:rsidP="00AE640B">
      <w:pPr>
        <w:spacing w:line="480" w:lineRule="auto"/>
        <w:ind w:firstLine="720"/>
        <w:jc w:val="both"/>
        <w:rPr>
          <w:sz w:val="24"/>
          <w:szCs w:val="24"/>
        </w:rPr>
      </w:pPr>
    </w:p>
    <w:p w:rsidR="00FB1389" w:rsidRDefault="00FB1389" w:rsidP="00AE640B">
      <w:pPr>
        <w:spacing w:line="480" w:lineRule="auto"/>
        <w:ind w:firstLine="720"/>
        <w:jc w:val="both"/>
        <w:rPr>
          <w:rFonts w:cs="Times New Roman"/>
          <w:sz w:val="24"/>
          <w:szCs w:val="24"/>
        </w:rPr>
      </w:pPr>
      <w:r w:rsidRPr="00D05EBD">
        <w:rPr>
          <w:sz w:val="24"/>
          <w:szCs w:val="24"/>
        </w:rPr>
        <w:t xml:space="preserve">To investigate whether the selection of an asymmetric block design was the correct choice, sex differences in the use of IER were also explored. A one-way (gender: male, female) MANOVA, with awareness, intention and effort in the use of improving and worsening IER strategies respectively, was conducted. </w:t>
      </w:r>
      <w:r w:rsidRPr="00D05EBD">
        <w:rPr>
          <w:rFonts w:cs="Times New Roman"/>
          <w:sz w:val="24"/>
          <w:szCs w:val="24"/>
        </w:rPr>
        <w:t xml:space="preserve">There was a significant interaction effect between the use of IER (awareness, intention and effort in improving and worsening the emotions of the partner, respectively) and the gender of the participant (male and female), </w:t>
      </w:r>
      <w:r w:rsidRPr="00D05EBD">
        <w:rPr>
          <w:rFonts w:cs="Times New Roman"/>
          <w:i/>
          <w:sz w:val="24"/>
          <w:szCs w:val="24"/>
        </w:rPr>
        <w:t>F</w:t>
      </w:r>
      <w:r w:rsidRPr="00D05EBD">
        <w:rPr>
          <w:rFonts w:cs="Times New Roman"/>
          <w:sz w:val="24"/>
          <w:szCs w:val="24"/>
        </w:rPr>
        <w:t xml:space="preserve">(6,179) = 9.54, </w:t>
      </w:r>
      <w:r w:rsidRPr="00D05EBD">
        <w:rPr>
          <w:rFonts w:cs="Times New Roman"/>
          <w:i/>
          <w:sz w:val="24"/>
          <w:szCs w:val="24"/>
        </w:rPr>
        <w:t xml:space="preserve">p ˂ </w:t>
      </w:r>
      <w:r w:rsidRPr="00D05EBD">
        <w:rPr>
          <w:rFonts w:cs="Times New Roman"/>
          <w:sz w:val="24"/>
          <w:szCs w:val="24"/>
        </w:rPr>
        <w:t xml:space="preserve">.001, </w:t>
      </w:r>
      <w:r w:rsidRPr="00D05EBD">
        <w:rPr>
          <w:rFonts w:cs="Times New Roman"/>
          <w:i/>
          <w:sz w:val="24"/>
          <w:szCs w:val="24"/>
        </w:rPr>
        <w:t xml:space="preserve">d </w:t>
      </w:r>
      <w:r w:rsidRPr="00D05EBD">
        <w:rPr>
          <w:rFonts w:cs="Times New Roman"/>
          <w:sz w:val="24"/>
          <w:szCs w:val="24"/>
        </w:rPr>
        <w:t>= 1.13. This indicated that the gender of the participant affected their awareness, intention and effort when trying to make their partners feel good or bad.</w:t>
      </w:r>
    </w:p>
    <w:p w:rsidR="002E431C" w:rsidRDefault="002E431C" w:rsidP="00AE640B">
      <w:pPr>
        <w:spacing w:line="480" w:lineRule="auto"/>
        <w:ind w:firstLine="720"/>
        <w:jc w:val="both"/>
        <w:rPr>
          <w:rFonts w:cs="Times New Roman"/>
          <w:sz w:val="24"/>
          <w:szCs w:val="24"/>
        </w:rPr>
      </w:pPr>
    </w:p>
    <w:p w:rsidR="002E431C" w:rsidRDefault="002E431C" w:rsidP="00AE640B">
      <w:pPr>
        <w:spacing w:line="480" w:lineRule="auto"/>
        <w:ind w:firstLine="720"/>
        <w:jc w:val="both"/>
        <w:rPr>
          <w:rFonts w:cs="Times New Roman"/>
          <w:sz w:val="24"/>
          <w:szCs w:val="24"/>
        </w:rPr>
      </w:pPr>
    </w:p>
    <w:p w:rsidR="00831D5C" w:rsidRDefault="00831D5C" w:rsidP="00AE640B">
      <w:pPr>
        <w:spacing w:line="480" w:lineRule="auto"/>
        <w:ind w:firstLine="720"/>
        <w:jc w:val="both"/>
        <w:rPr>
          <w:rFonts w:cs="Times New Roman"/>
          <w:sz w:val="24"/>
          <w:szCs w:val="24"/>
        </w:rPr>
      </w:pPr>
    </w:p>
    <w:p w:rsidR="00831D5C" w:rsidRDefault="00831D5C" w:rsidP="00AE640B">
      <w:pPr>
        <w:spacing w:line="480" w:lineRule="auto"/>
        <w:ind w:firstLine="720"/>
        <w:jc w:val="both"/>
        <w:rPr>
          <w:rFonts w:cs="Times New Roman"/>
          <w:sz w:val="24"/>
          <w:szCs w:val="24"/>
        </w:rPr>
      </w:pPr>
    </w:p>
    <w:p w:rsidR="002E431C" w:rsidRPr="00D05EBD" w:rsidRDefault="002E431C" w:rsidP="00AE640B">
      <w:pPr>
        <w:spacing w:line="480" w:lineRule="auto"/>
        <w:ind w:firstLine="720"/>
        <w:jc w:val="both"/>
        <w:rPr>
          <w:sz w:val="24"/>
          <w:szCs w:val="24"/>
        </w:rPr>
      </w:pPr>
    </w:p>
    <w:tbl>
      <w:tblPr>
        <w:tblW w:w="5000" w:type="pct"/>
        <w:tblLook w:val="04A0"/>
      </w:tblPr>
      <w:tblGrid>
        <w:gridCol w:w="1479"/>
        <w:gridCol w:w="1481"/>
        <w:gridCol w:w="1480"/>
        <w:gridCol w:w="1480"/>
        <w:gridCol w:w="1480"/>
        <w:gridCol w:w="1482"/>
      </w:tblGrid>
      <w:tr w:rsidR="00FB1389" w:rsidRPr="002E431C" w:rsidTr="00D05EBD">
        <w:trPr>
          <w:trHeight w:val="300"/>
        </w:trPr>
        <w:tc>
          <w:tcPr>
            <w:tcW w:w="5000" w:type="pct"/>
            <w:gridSpan w:val="6"/>
            <w:tcBorders>
              <w:top w:val="nil"/>
              <w:left w:val="nil"/>
              <w:bottom w:val="single" w:sz="4" w:space="0" w:color="auto"/>
              <w:right w:val="nil"/>
            </w:tcBorders>
            <w:shd w:val="clear" w:color="auto" w:fill="auto"/>
            <w:vAlign w:val="center"/>
            <w:hideMark/>
          </w:tcPr>
          <w:p w:rsidR="00FB1389" w:rsidRPr="002E431C" w:rsidRDefault="002E431C" w:rsidP="002E431C">
            <w:pPr>
              <w:spacing w:after="0" w:line="240" w:lineRule="auto"/>
              <w:jc w:val="both"/>
              <w:rPr>
                <w:rFonts w:eastAsia="Times New Roman" w:cs="Times New Roman"/>
                <w:color w:val="000000"/>
              </w:rPr>
            </w:pPr>
            <w:r>
              <w:rPr>
                <w:rFonts w:eastAsia="Times New Roman" w:cs="Times New Roman"/>
                <w:color w:val="000000"/>
              </w:rPr>
              <w:lastRenderedPageBreak/>
              <w:t>Table V</w:t>
            </w:r>
            <w:r w:rsidR="00FB1389" w:rsidRPr="002E431C">
              <w:rPr>
                <w:rFonts w:eastAsia="Times New Roman" w:cs="Times New Roman"/>
                <w:color w:val="000000"/>
              </w:rPr>
              <w:t>.3 Means and standard deviations of use of IER as a function of gender</w:t>
            </w:r>
          </w:p>
        </w:tc>
      </w:tr>
      <w:tr w:rsidR="00FB1389" w:rsidRPr="002E431C" w:rsidTr="00D05EBD">
        <w:trPr>
          <w:trHeight w:val="495"/>
        </w:trPr>
        <w:tc>
          <w:tcPr>
            <w:tcW w:w="1667" w:type="pct"/>
            <w:gridSpan w:val="2"/>
            <w:tcBorders>
              <w:top w:val="single" w:sz="4" w:space="0" w:color="auto"/>
              <w:left w:val="nil"/>
              <w:bottom w:val="single" w:sz="4" w:space="0" w:color="auto"/>
              <w:right w:val="single" w:sz="4" w:space="0" w:color="000000"/>
            </w:tcBorders>
            <w:shd w:val="clear" w:color="auto" w:fill="auto"/>
            <w:vAlign w:val="bottom"/>
            <w:hideMark/>
          </w:tcPr>
          <w:p w:rsidR="00FB1389" w:rsidRPr="002E431C" w:rsidRDefault="00FB1389" w:rsidP="002E431C">
            <w:pPr>
              <w:spacing w:after="0" w:line="240" w:lineRule="auto"/>
              <w:jc w:val="both"/>
              <w:rPr>
                <w:rFonts w:eastAsia="Times New Roman" w:cs="Times New Roman"/>
                <w:color w:val="000000"/>
              </w:rPr>
            </w:pPr>
            <w:r w:rsidRPr="002E431C">
              <w:rPr>
                <w:rFonts w:eastAsia="Times New Roman" w:cs="Times New Roman"/>
                <w:color w:val="000000"/>
              </w:rPr>
              <w:t>Indicator of AIER</w:t>
            </w:r>
          </w:p>
        </w:tc>
        <w:tc>
          <w:tcPr>
            <w:tcW w:w="833" w:type="pct"/>
            <w:tcBorders>
              <w:top w:val="nil"/>
              <w:left w:val="nil"/>
              <w:bottom w:val="single" w:sz="4" w:space="0" w:color="auto"/>
              <w:right w:val="single" w:sz="4" w:space="0" w:color="auto"/>
            </w:tcBorders>
            <w:shd w:val="clear" w:color="auto" w:fill="auto"/>
            <w:vAlign w:val="bottom"/>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Gender</w:t>
            </w:r>
          </w:p>
        </w:tc>
        <w:tc>
          <w:tcPr>
            <w:tcW w:w="833" w:type="pct"/>
            <w:tcBorders>
              <w:top w:val="nil"/>
              <w:left w:val="nil"/>
              <w:bottom w:val="nil"/>
              <w:right w:val="single" w:sz="4" w:space="0" w:color="auto"/>
            </w:tcBorders>
            <w:shd w:val="clear" w:color="auto" w:fill="auto"/>
            <w:vAlign w:val="bottom"/>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Mean</w:t>
            </w:r>
          </w:p>
        </w:tc>
        <w:tc>
          <w:tcPr>
            <w:tcW w:w="833" w:type="pct"/>
            <w:tcBorders>
              <w:top w:val="nil"/>
              <w:left w:val="nil"/>
              <w:bottom w:val="nil"/>
              <w:right w:val="single" w:sz="4" w:space="0" w:color="auto"/>
            </w:tcBorders>
            <w:shd w:val="clear" w:color="auto" w:fill="auto"/>
            <w:vAlign w:val="bottom"/>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Std. Deviation</w:t>
            </w:r>
          </w:p>
        </w:tc>
        <w:tc>
          <w:tcPr>
            <w:tcW w:w="833" w:type="pct"/>
            <w:tcBorders>
              <w:top w:val="nil"/>
              <w:left w:val="nil"/>
              <w:bottom w:val="nil"/>
              <w:right w:val="nil"/>
            </w:tcBorders>
            <w:shd w:val="clear" w:color="auto" w:fill="auto"/>
            <w:vAlign w:val="bottom"/>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N</w:t>
            </w:r>
          </w:p>
        </w:tc>
      </w:tr>
      <w:tr w:rsidR="00FB1389" w:rsidRPr="002E431C" w:rsidTr="00D05EBD">
        <w:trPr>
          <w:trHeight w:val="315"/>
        </w:trPr>
        <w:tc>
          <w:tcPr>
            <w:tcW w:w="833" w:type="pct"/>
            <w:vMerge w:val="restart"/>
            <w:tcBorders>
              <w:top w:val="nil"/>
              <w:left w:val="nil"/>
              <w:bottom w:val="single" w:sz="4" w:space="0" w:color="000000"/>
              <w:right w:val="nil"/>
            </w:tcBorders>
            <w:shd w:val="clear" w:color="auto" w:fill="auto"/>
            <w:vAlign w:val="center"/>
            <w:hideMark/>
          </w:tcPr>
          <w:p w:rsidR="00FB1389" w:rsidRPr="002E431C" w:rsidRDefault="00FB1389" w:rsidP="002E431C">
            <w:pPr>
              <w:spacing w:after="0" w:line="240" w:lineRule="auto"/>
              <w:jc w:val="both"/>
              <w:rPr>
                <w:rFonts w:eastAsia="Times New Roman" w:cs="Times New Roman"/>
                <w:color w:val="000000"/>
              </w:rPr>
            </w:pPr>
            <w:r w:rsidRPr="002E431C">
              <w:rPr>
                <w:rFonts w:eastAsia="Times New Roman" w:cs="Times New Roman"/>
                <w:color w:val="000000"/>
              </w:rPr>
              <w:t>Make the partner feel good</w:t>
            </w:r>
          </w:p>
        </w:tc>
        <w:tc>
          <w:tcPr>
            <w:tcW w:w="833" w:type="pct"/>
            <w:vMerge w:val="restart"/>
            <w:tcBorders>
              <w:top w:val="nil"/>
              <w:left w:val="nil"/>
              <w:bottom w:val="single" w:sz="4" w:space="0" w:color="000000"/>
              <w:right w:val="single" w:sz="4" w:space="0" w:color="auto"/>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Awareness</w:t>
            </w:r>
          </w:p>
        </w:tc>
        <w:tc>
          <w:tcPr>
            <w:tcW w:w="833" w:type="pct"/>
            <w:tcBorders>
              <w:top w:val="nil"/>
              <w:left w:val="nil"/>
              <w:bottom w:val="nil"/>
              <w:right w:val="nil"/>
            </w:tcBorders>
            <w:shd w:val="clear" w:color="auto" w:fill="auto"/>
            <w:noWrap/>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Female</w:t>
            </w:r>
          </w:p>
        </w:tc>
        <w:tc>
          <w:tcPr>
            <w:tcW w:w="833" w:type="pct"/>
            <w:tcBorders>
              <w:top w:val="single" w:sz="4" w:space="0" w:color="000000"/>
              <w:left w:val="single" w:sz="4" w:space="0" w:color="000000"/>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2.59</w:t>
            </w:r>
          </w:p>
        </w:tc>
        <w:tc>
          <w:tcPr>
            <w:tcW w:w="833" w:type="pct"/>
            <w:tcBorders>
              <w:top w:val="single" w:sz="4" w:space="0" w:color="000000"/>
              <w:left w:val="nil"/>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0.47</w:t>
            </w:r>
          </w:p>
        </w:tc>
        <w:tc>
          <w:tcPr>
            <w:tcW w:w="833" w:type="pct"/>
            <w:tcBorders>
              <w:top w:val="single" w:sz="4" w:space="0" w:color="000000"/>
              <w:left w:val="nil"/>
              <w:bottom w:val="nil"/>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97</w:t>
            </w:r>
          </w:p>
        </w:tc>
      </w:tr>
      <w:tr w:rsidR="00FB1389" w:rsidRPr="002E431C" w:rsidTr="00D05EBD">
        <w:trPr>
          <w:trHeight w:val="300"/>
        </w:trPr>
        <w:tc>
          <w:tcPr>
            <w:tcW w:w="833" w:type="pct"/>
            <w:vMerge/>
            <w:tcBorders>
              <w:top w:val="nil"/>
              <w:left w:val="nil"/>
              <w:bottom w:val="single" w:sz="4"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tcBorders>
              <w:top w:val="nil"/>
              <w:left w:val="nil"/>
              <w:bottom w:val="single" w:sz="4" w:space="0" w:color="000000"/>
              <w:right w:val="single" w:sz="4" w:space="0" w:color="auto"/>
            </w:tcBorders>
            <w:vAlign w:val="center"/>
            <w:hideMark/>
          </w:tcPr>
          <w:p w:rsidR="00FB1389" w:rsidRPr="002E431C" w:rsidRDefault="00FB1389" w:rsidP="002E431C">
            <w:pPr>
              <w:spacing w:after="0" w:line="240" w:lineRule="auto"/>
              <w:jc w:val="both"/>
              <w:rPr>
                <w:rFonts w:eastAsia="Times New Roman" w:cs="Arial"/>
                <w:color w:val="000000"/>
              </w:rPr>
            </w:pPr>
          </w:p>
        </w:tc>
        <w:tc>
          <w:tcPr>
            <w:tcW w:w="833" w:type="pct"/>
            <w:tcBorders>
              <w:top w:val="nil"/>
              <w:left w:val="nil"/>
              <w:bottom w:val="nil"/>
              <w:right w:val="nil"/>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Male</w:t>
            </w:r>
          </w:p>
        </w:tc>
        <w:tc>
          <w:tcPr>
            <w:tcW w:w="833" w:type="pct"/>
            <w:tcBorders>
              <w:top w:val="nil"/>
              <w:left w:val="single" w:sz="4" w:space="0" w:color="000000"/>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2.91</w:t>
            </w:r>
          </w:p>
        </w:tc>
        <w:tc>
          <w:tcPr>
            <w:tcW w:w="833" w:type="pct"/>
            <w:tcBorders>
              <w:top w:val="nil"/>
              <w:left w:val="nil"/>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0.61</w:t>
            </w:r>
          </w:p>
        </w:tc>
        <w:tc>
          <w:tcPr>
            <w:tcW w:w="833" w:type="pct"/>
            <w:tcBorders>
              <w:top w:val="nil"/>
              <w:left w:val="nil"/>
              <w:bottom w:val="nil"/>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89</w:t>
            </w:r>
          </w:p>
        </w:tc>
      </w:tr>
      <w:tr w:rsidR="00FB1389" w:rsidRPr="002E431C" w:rsidTr="00D05EBD">
        <w:trPr>
          <w:trHeight w:val="300"/>
        </w:trPr>
        <w:tc>
          <w:tcPr>
            <w:tcW w:w="833" w:type="pct"/>
            <w:vMerge/>
            <w:tcBorders>
              <w:top w:val="nil"/>
              <w:left w:val="nil"/>
              <w:bottom w:val="single" w:sz="4"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tcBorders>
              <w:top w:val="nil"/>
              <w:left w:val="nil"/>
              <w:bottom w:val="single" w:sz="4" w:space="0" w:color="000000"/>
              <w:right w:val="single" w:sz="4" w:space="0" w:color="auto"/>
            </w:tcBorders>
            <w:vAlign w:val="center"/>
            <w:hideMark/>
          </w:tcPr>
          <w:p w:rsidR="00FB1389" w:rsidRPr="002E431C" w:rsidRDefault="00FB1389" w:rsidP="002E431C">
            <w:pPr>
              <w:spacing w:after="0" w:line="240" w:lineRule="auto"/>
              <w:jc w:val="both"/>
              <w:rPr>
                <w:rFonts w:eastAsia="Times New Roman" w:cs="Arial"/>
                <w:color w:val="000000"/>
              </w:rPr>
            </w:pPr>
          </w:p>
        </w:tc>
        <w:tc>
          <w:tcPr>
            <w:tcW w:w="833" w:type="pct"/>
            <w:tcBorders>
              <w:top w:val="nil"/>
              <w:left w:val="nil"/>
              <w:bottom w:val="single" w:sz="4" w:space="0" w:color="auto"/>
              <w:right w:val="nil"/>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Total</w:t>
            </w:r>
          </w:p>
        </w:tc>
        <w:tc>
          <w:tcPr>
            <w:tcW w:w="833" w:type="pct"/>
            <w:tcBorders>
              <w:top w:val="nil"/>
              <w:left w:val="single" w:sz="4" w:space="0" w:color="000000"/>
              <w:bottom w:val="single" w:sz="4" w:space="0" w:color="000000"/>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2.74</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0.56</w:t>
            </w:r>
          </w:p>
        </w:tc>
        <w:tc>
          <w:tcPr>
            <w:tcW w:w="833" w:type="pct"/>
            <w:tcBorders>
              <w:top w:val="nil"/>
              <w:left w:val="nil"/>
              <w:bottom w:val="single" w:sz="4" w:space="0" w:color="000000"/>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186</w:t>
            </w:r>
          </w:p>
        </w:tc>
      </w:tr>
      <w:tr w:rsidR="00FB1389" w:rsidRPr="002E431C" w:rsidTr="00D05EBD">
        <w:trPr>
          <w:trHeight w:val="300"/>
        </w:trPr>
        <w:tc>
          <w:tcPr>
            <w:tcW w:w="833" w:type="pct"/>
            <w:vMerge/>
            <w:tcBorders>
              <w:top w:val="nil"/>
              <w:left w:val="nil"/>
              <w:bottom w:val="single" w:sz="4"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val="restart"/>
            <w:tcBorders>
              <w:top w:val="nil"/>
              <w:left w:val="nil"/>
              <w:bottom w:val="single" w:sz="4" w:space="0" w:color="000000"/>
              <w:right w:val="single" w:sz="4" w:space="0" w:color="auto"/>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Intention</w:t>
            </w:r>
          </w:p>
        </w:tc>
        <w:tc>
          <w:tcPr>
            <w:tcW w:w="833" w:type="pct"/>
            <w:tcBorders>
              <w:top w:val="nil"/>
              <w:left w:val="nil"/>
              <w:bottom w:val="nil"/>
              <w:right w:val="nil"/>
            </w:tcBorders>
            <w:shd w:val="clear" w:color="auto" w:fill="auto"/>
            <w:noWrap/>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Female</w:t>
            </w:r>
          </w:p>
        </w:tc>
        <w:tc>
          <w:tcPr>
            <w:tcW w:w="833" w:type="pct"/>
            <w:tcBorders>
              <w:top w:val="nil"/>
              <w:left w:val="single" w:sz="4" w:space="0" w:color="000000"/>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2.75</w:t>
            </w:r>
          </w:p>
        </w:tc>
        <w:tc>
          <w:tcPr>
            <w:tcW w:w="833" w:type="pct"/>
            <w:tcBorders>
              <w:top w:val="nil"/>
              <w:left w:val="nil"/>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0.72</w:t>
            </w:r>
          </w:p>
        </w:tc>
        <w:tc>
          <w:tcPr>
            <w:tcW w:w="833" w:type="pct"/>
            <w:tcBorders>
              <w:top w:val="nil"/>
              <w:left w:val="nil"/>
              <w:bottom w:val="nil"/>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97</w:t>
            </w:r>
          </w:p>
        </w:tc>
      </w:tr>
      <w:tr w:rsidR="00FB1389" w:rsidRPr="002E431C" w:rsidTr="00D05EBD">
        <w:trPr>
          <w:trHeight w:val="300"/>
        </w:trPr>
        <w:tc>
          <w:tcPr>
            <w:tcW w:w="833" w:type="pct"/>
            <w:vMerge/>
            <w:tcBorders>
              <w:top w:val="nil"/>
              <w:left w:val="nil"/>
              <w:bottom w:val="single" w:sz="4"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tcBorders>
              <w:top w:val="nil"/>
              <w:left w:val="nil"/>
              <w:bottom w:val="single" w:sz="4" w:space="0" w:color="000000"/>
              <w:right w:val="single" w:sz="4" w:space="0" w:color="auto"/>
            </w:tcBorders>
            <w:vAlign w:val="center"/>
            <w:hideMark/>
          </w:tcPr>
          <w:p w:rsidR="00FB1389" w:rsidRPr="002E431C" w:rsidRDefault="00FB1389" w:rsidP="002E431C">
            <w:pPr>
              <w:spacing w:after="0" w:line="240" w:lineRule="auto"/>
              <w:jc w:val="both"/>
              <w:rPr>
                <w:rFonts w:eastAsia="Times New Roman" w:cs="Arial"/>
                <w:color w:val="000000"/>
              </w:rPr>
            </w:pPr>
          </w:p>
        </w:tc>
        <w:tc>
          <w:tcPr>
            <w:tcW w:w="833" w:type="pct"/>
            <w:tcBorders>
              <w:top w:val="nil"/>
              <w:left w:val="nil"/>
              <w:bottom w:val="nil"/>
              <w:right w:val="nil"/>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Male</w:t>
            </w:r>
          </w:p>
        </w:tc>
        <w:tc>
          <w:tcPr>
            <w:tcW w:w="833" w:type="pct"/>
            <w:tcBorders>
              <w:top w:val="nil"/>
              <w:left w:val="single" w:sz="4" w:space="0" w:color="000000"/>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2.91</w:t>
            </w:r>
          </w:p>
        </w:tc>
        <w:tc>
          <w:tcPr>
            <w:tcW w:w="833" w:type="pct"/>
            <w:tcBorders>
              <w:top w:val="nil"/>
              <w:left w:val="nil"/>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0.63</w:t>
            </w:r>
          </w:p>
        </w:tc>
        <w:tc>
          <w:tcPr>
            <w:tcW w:w="833" w:type="pct"/>
            <w:tcBorders>
              <w:top w:val="nil"/>
              <w:left w:val="nil"/>
              <w:bottom w:val="nil"/>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89</w:t>
            </w:r>
          </w:p>
        </w:tc>
      </w:tr>
      <w:tr w:rsidR="00FB1389" w:rsidRPr="002E431C" w:rsidTr="00D05EBD">
        <w:trPr>
          <w:trHeight w:val="300"/>
        </w:trPr>
        <w:tc>
          <w:tcPr>
            <w:tcW w:w="833" w:type="pct"/>
            <w:vMerge/>
            <w:tcBorders>
              <w:top w:val="nil"/>
              <w:left w:val="nil"/>
              <w:bottom w:val="single" w:sz="4"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tcBorders>
              <w:top w:val="nil"/>
              <w:left w:val="nil"/>
              <w:bottom w:val="single" w:sz="4" w:space="0" w:color="000000"/>
              <w:right w:val="single" w:sz="4" w:space="0" w:color="auto"/>
            </w:tcBorders>
            <w:vAlign w:val="center"/>
            <w:hideMark/>
          </w:tcPr>
          <w:p w:rsidR="00FB1389" w:rsidRPr="002E431C" w:rsidRDefault="00FB1389" w:rsidP="002E431C">
            <w:pPr>
              <w:spacing w:after="0" w:line="240" w:lineRule="auto"/>
              <w:jc w:val="both"/>
              <w:rPr>
                <w:rFonts w:eastAsia="Times New Roman" w:cs="Arial"/>
                <w:color w:val="000000"/>
              </w:rPr>
            </w:pPr>
          </w:p>
        </w:tc>
        <w:tc>
          <w:tcPr>
            <w:tcW w:w="833" w:type="pct"/>
            <w:tcBorders>
              <w:top w:val="nil"/>
              <w:left w:val="nil"/>
              <w:bottom w:val="single" w:sz="4" w:space="0" w:color="auto"/>
              <w:right w:val="nil"/>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Total</w:t>
            </w:r>
          </w:p>
        </w:tc>
        <w:tc>
          <w:tcPr>
            <w:tcW w:w="833" w:type="pct"/>
            <w:tcBorders>
              <w:top w:val="nil"/>
              <w:left w:val="single" w:sz="4" w:space="0" w:color="000000"/>
              <w:bottom w:val="single" w:sz="4" w:space="0" w:color="000000"/>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2.82</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0.68</w:t>
            </w:r>
          </w:p>
        </w:tc>
        <w:tc>
          <w:tcPr>
            <w:tcW w:w="833" w:type="pct"/>
            <w:tcBorders>
              <w:top w:val="nil"/>
              <w:left w:val="nil"/>
              <w:bottom w:val="single" w:sz="4" w:space="0" w:color="000000"/>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186</w:t>
            </w:r>
          </w:p>
        </w:tc>
      </w:tr>
      <w:tr w:rsidR="00FB1389" w:rsidRPr="002E431C" w:rsidTr="00D05EBD">
        <w:trPr>
          <w:trHeight w:val="300"/>
        </w:trPr>
        <w:tc>
          <w:tcPr>
            <w:tcW w:w="833" w:type="pct"/>
            <w:vMerge/>
            <w:tcBorders>
              <w:top w:val="nil"/>
              <w:left w:val="nil"/>
              <w:bottom w:val="single" w:sz="4"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val="restart"/>
            <w:tcBorders>
              <w:top w:val="nil"/>
              <w:left w:val="nil"/>
              <w:bottom w:val="single" w:sz="4" w:space="0" w:color="000000"/>
              <w:right w:val="single" w:sz="4" w:space="0" w:color="auto"/>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Effort</w:t>
            </w:r>
          </w:p>
        </w:tc>
        <w:tc>
          <w:tcPr>
            <w:tcW w:w="833" w:type="pct"/>
            <w:tcBorders>
              <w:top w:val="nil"/>
              <w:left w:val="nil"/>
              <w:bottom w:val="nil"/>
              <w:right w:val="nil"/>
            </w:tcBorders>
            <w:shd w:val="clear" w:color="auto" w:fill="auto"/>
            <w:noWrap/>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Female</w:t>
            </w:r>
          </w:p>
        </w:tc>
        <w:tc>
          <w:tcPr>
            <w:tcW w:w="833" w:type="pct"/>
            <w:tcBorders>
              <w:top w:val="nil"/>
              <w:left w:val="single" w:sz="4" w:space="0" w:color="000000"/>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2.62</w:t>
            </w:r>
          </w:p>
        </w:tc>
        <w:tc>
          <w:tcPr>
            <w:tcW w:w="833" w:type="pct"/>
            <w:tcBorders>
              <w:top w:val="nil"/>
              <w:left w:val="nil"/>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0.63</w:t>
            </w:r>
          </w:p>
        </w:tc>
        <w:tc>
          <w:tcPr>
            <w:tcW w:w="833" w:type="pct"/>
            <w:tcBorders>
              <w:top w:val="nil"/>
              <w:left w:val="nil"/>
              <w:bottom w:val="nil"/>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97</w:t>
            </w:r>
          </w:p>
        </w:tc>
      </w:tr>
      <w:tr w:rsidR="00FB1389" w:rsidRPr="002E431C" w:rsidTr="00D05EBD">
        <w:trPr>
          <w:trHeight w:val="300"/>
        </w:trPr>
        <w:tc>
          <w:tcPr>
            <w:tcW w:w="833" w:type="pct"/>
            <w:vMerge/>
            <w:tcBorders>
              <w:top w:val="nil"/>
              <w:left w:val="nil"/>
              <w:bottom w:val="single" w:sz="4"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tcBorders>
              <w:top w:val="nil"/>
              <w:left w:val="nil"/>
              <w:bottom w:val="single" w:sz="4" w:space="0" w:color="000000"/>
              <w:right w:val="single" w:sz="4" w:space="0" w:color="auto"/>
            </w:tcBorders>
            <w:vAlign w:val="center"/>
            <w:hideMark/>
          </w:tcPr>
          <w:p w:rsidR="00FB1389" w:rsidRPr="002E431C" w:rsidRDefault="00FB1389" w:rsidP="002E431C">
            <w:pPr>
              <w:spacing w:after="0" w:line="240" w:lineRule="auto"/>
              <w:jc w:val="both"/>
              <w:rPr>
                <w:rFonts w:eastAsia="Times New Roman" w:cs="Arial"/>
                <w:color w:val="000000"/>
              </w:rPr>
            </w:pPr>
          </w:p>
        </w:tc>
        <w:tc>
          <w:tcPr>
            <w:tcW w:w="833" w:type="pct"/>
            <w:tcBorders>
              <w:top w:val="nil"/>
              <w:left w:val="nil"/>
              <w:bottom w:val="nil"/>
              <w:right w:val="nil"/>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Male</w:t>
            </w:r>
          </w:p>
        </w:tc>
        <w:tc>
          <w:tcPr>
            <w:tcW w:w="833" w:type="pct"/>
            <w:tcBorders>
              <w:top w:val="nil"/>
              <w:left w:val="single" w:sz="4" w:space="0" w:color="000000"/>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3.01</w:t>
            </w:r>
          </w:p>
        </w:tc>
        <w:tc>
          <w:tcPr>
            <w:tcW w:w="833" w:type="pct"/>
            <w:tcBorders>
              <w:top w:val="nil"/>
              <w:left w:val="nil"/>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0.47</w:t>
            </w:r>
          </w:p>
        </w:tc>
        <w:tc>
          <w:tcPr>
            <w:tcW w:w="833" w:type="pct"/>
            <w:tcBorders>
              <w:top w:val="nil"/>
              <w:left w:val="nil"/>
              <w:bottom w:val="nil"/>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89</w:t>
            </w:r>
          </w:p>
        </w:tc>
      </w:tr>
      <w:tr w:rsidR="00FB1389" w:rsidRPr="002E431C" w:rsidTr="00D05EBD">
        <w:trPr>
          <w:trHeight w:val="300"/>
        </w:trPr>
        <w:tc>
          <w:tcPr>
            <w:tcW w:w="833" w:type="pct"/>
            <w:vMerge/>
            <w:tcBorders>
              <w:top w:val="nil"/>
              <w:left w:val="nil"/>
              <w:bottom w:val="single" w:sz="4"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tcBorders>
              <w:top w:val="nil"/>
              <w:left w:val="nil"/>
              <w:bottom w:val="single" w:sz="4" w:space="0" w:color="000000"/>
              <w:right w:val="single" w:sz="4" w:space="0" w:color="auto"/>
            </w:tcBorders>
            <w:vAlign w:val="center"/>
            <w:hideMark/>
          </w:tcPr>
          <w:p w:rsidR="00FB1389" w:rsidRPr="002E431C" w:rsidRDefault="00FB1389" w:rsidP="002E431C">
            <w:pPr>
              <w:spacing w:after="0" w:line="240" w:lineRule="auto"/>
              <w:jc w:val="both"/>
              <w:rPr>
                <w:rFonts w:eastAsia="Times New Roman" w:cs="Arial"/>
                <w:color w:val="000000"/>
              </w:rPr>
            </w:pPr>
          </w:p>
        </w:tc>
        <w:tc>
          <w:tcPr>
            <w:tcW w:w="833" w:type="pct"/>
            <w:tcBorders>
              <w:top w:val="nil"/>
              <w:left w:val="nil"/>
              <w:bottom w:val="single" w:sz="4" w:space="0" w:color="auto"/>
              <w:right w:val="nil"/>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Total</w:t>
            </w:r>
          </w:p>
        </w:tc>
        <w:tc>
          <w:tcPr>
            <w:tcW w:w="833" w:type="pct"/>
            <w:tcBorders>
              <w:top w:val="nil"/>
              <w:left w:val="single" w:sz="4" w:space="0" w:color="000000"/>
              <w:bottom w:val="single" w:sz="4" w:space="0" w:color="000000"/>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2.80</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0.59</w:t>
            </w:r>
          </w:p>
        </w:tc>
        <w:tc>
          <w:tcPr>
            <w:tcW w:w="833" w:type="pct"/>
            <w:tcBorders>
              <w:top w:val="nil"/>
              <w:left w:val="nil"/>
              <w:bottom w:val="single" w:sz="4" w:space="0" w:color="000000"/>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186</w:t>
            </w:r>
          </w:p>
        </w:tc>
      </w:tr>
      <w:tr w:rsidR="00FB1389" w:rsidRPr="002E431C" w:rsidTr="00D05EBD">
        <w:trPr>
          <w:trHeight w:val="300"/>
        </w:trPr>
        <w:tc>
          <w:tcPr>
            <w:tcW w:w="833" w:type="pct"/>
            <w:vMerge w:val="restart"/>
            <w:tcBorders>
              <w:top w:val="nil"/>
              <w:left w:val="nil"/>
              <w:bottom w:val="double" w:sz="6" w:space="0" w:color="000000"/>
              <w:right w:val="nil"/>
            </w:tcBorders>
            <w:shd w:val="clear" w:color="auto" w:fill="auto"/>
            <w:vAlign w:val="center"/>
            <w:hideMark/>
          </w:tcPr>
          <w:p w:rsidR="00FB1389" w:rsidRPr="002E431C" w:rsidRDefault="00FB1389" w:rsidP="002E431C">
            <w:pPr>
              <w:spacing w:after="0" w:line="240" w:lineRule="auto"/>
              <w:jc w:val="both"/>
              <w:rPr>
                <w:rFonts w:eastAsia="Times New Roman" w:cs="Times New Roman"/>
                <w:color w:val="000000"/>
              </w:rPr>
            </w:pPr>
            <w:r w:rsidRPr="002E431C">
              <w:rPr>
                <w:rFonts w:eastAsia="Times New Roman" w:cs="Times New Roman"/>
                <w:color w:val="000000"/>
              </w:rPr>
              <w:t>Make the partner feel bad</w:t>
            </w:r>
          </w:p>
        </w:tc>
        <w:tc>
          <w:tcPr>
            <w:tcW w:w="833" w:type="pct"/>
            <w:vMerge w:val="restart"/>
            <w:tcBorders>
              <w:top w:val="nil"/>
              <w:left w:val="nil"/>
              <w:bottom w:val="single" w:sz="4" w:space="0" w:color="000000"/>
              <w:right w:val="nil"/>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Awareness</w:t>
            </w:r>
          </w:p>
        </w:tc>
        <w:tc>
          <w:tcPr>
            <w:tcW w:w="833" w:type="pct"/>
            <w:tcBorders>
              <w:top w:val="nil"/>
              <w:left w:val="single" w:sz="4" w:space="0" w:color="auto"/>
              <w:bottom w:val="nil"/>
              <w:right w:val="nil"/>
            </w:tcBorders>
            <w:shd w:val="clear" w:color="auto" w:fill="auto"/>
            <w:noWrap/>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Female</w:t>
            </w:r>
          </w:p>
        </w:tc>
        <w:tc>
          <w:tcPr>
            <w:tcW w:w="833" w:type="pct"/>
            <w:tcBorders>
              <w:top w:val="nil"/>
              <w:left w:val="single" w:sz="4" w:space="0" w:color="000000"/>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1.00</w:t>
            </w:r>
          </w:p>
        </w:tc>
        <w:tc>
          <w:tcPr>
            <w:tcW w:w="833" w:type="pct"/>
            <w:tcBorders>
              <w:top w:val="nil"/>
              <w:left w:val="nil"/>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0.00</w:t>
            </w:r>
          </w:p>
        </w:tc>
        <w:tc>
          <w:tcPr>
            <w:tcW w:w="833" w:type="pct"/>
            <w:tcBorders>
              <w:top w:val="nil"/>
              <w:left w:val="nil"/>
              <w:bottom w:val="nil"/>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97</w:t>
            </w:r>
          </w:p>
        </w:tc>
      </w:tr>
      <w:tr w:rsidR="00FB1389" w:rsidRPr="002E431C" w:rsidTr="00D05EBD">
        <w:trPr>
          <w:trHeight w:val="300"/>
        </w:trPr>
        <w:tc>
          <w:tcPr>
            <w:tcW w:w="833" w:type="pct"/>
            <w:vMerge/>
            <w:tcBorders>
              <w:top w:val="nil"/>
              <w:left w:val="nil"/>
              <w:bottom w:val="double" w:sz="6"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tcBorders>
              <w:top w:val="nil"/>
              <w:left w:val="nil"/>
              <w:bottom w:val="single" w:sz="4" w:space="0" w:color="000000"/>
              <w:right w:val="nil"/>
            </w:tcBorders>
            <w:vAlign w:val="center"/>
            <w:hideMark/>
          </w:tcPr>
          <w:p w:rsidR="00FB1389" w:rsidRPr="002E431C" w:rsidRDefault="00FB1389" w:rsidP="002E431C">
            <w:pPr>
              <w:spacing w:after="0" w:line="240" w:lineRule="auto"/>
              <w:jc w:val="both"/>
              <w:rPr>
                <w:rFonts w:eastAsia="Times New Roman" w:cs="Arial"/>
                <w:color w:val="000000"/>
              </w:rPr>
            </w:pPr>
          </w:p>
        </w:tc>
        <w:tc>
          <w:tcPr>
            <w:tcW w:w="833" w:type="pct"/>
            <w:tcBorders>
              <w:top w:val="nil"/>
              <w:left w:val="single" w:sz="4" w:space="0" w:color="auto"/>
              <w:bottom w:val="nil"/>
              <w:right w:val="nil"/>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Male</w:t>
            </w:r>
          </w:p>
        </w:tc>
        <w:tc>
          <w:tcPr>
            <w:tcW w:w="833" w:type="pct"/>
            <w:tcBorders>
              <w:top w:val="nil"/>
              <w:left w:val="single" w:sz="4" w:space="0" w:color="000000"/>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1.04</w:t>
            </w:r>
          </w:p>
        </w:tc>
        <w:tc>
          <w:tcPr>
            <w:tcW w:w="833" w:type="pct"/>
            <w:tcBorders>
              <w:top w:val="nil"/>
              <w:left w:val="nil"/>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0.11</w:t>
            </w:r>
          </w:p>
        </w:tc>
        <w:tc>
          <w:tcPr>
            <w:tcW w:w="833" w:type="pct"/>
            <w:tcBorders>
              <w:top w:val="nil"/>
              <w:left w:val="nil"/>
              <w:bottom w:val="nil"/>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89</w:t>
            </w:r>
          </w:p>
        </w:tc>
      </w:tr>
      <w:tr w:rsidR="00FB1389" w:rsidRPr="002E431C" w:rsidTr="00D05EBD">
        <w:trPr>
          <w:trHeight w:val="300"/>
        </w:trPr>
        <w:tc>
          <w:tcPr>
            <w:tcW w:w="833" w:type="pct"/>
            <w:vMerge/>
            <w:tcBorders>
              <w:top w:val="nil"/>
              <w:left w:val="nil"/>
              <w:bottom w:val="double" w:sz="6"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tcBorders>
              <w:top w:val="nil"/>
              <w:left w:val="nil"/>
              <w:bottom w:val="single" w:sz="4" w:space="0" w:color="000000"/>
              <w:right w:val="nil"/>
            </w:tcBorders>
            <w:vAlign w:val="center"/>
            <w:hideMark/>
          </w:tcPr>
          <w:p w:rsidR="00FB1389" w:rsidRPr="002E431C" w:rsidRDefault="00FB1389" w:rsidP="002E431C">
            <w:pPr>
              <w:spacing w:after="0" w:line="240" w:lineRule="auto"/>
              <w:jc w:val="both"/>
              <w:rPr>
                <w:rFonts w:eastAsia="Times New Roman" w:cs="Arial"/>
                <w:color w:val="000000"/>
              </w:rPr>
            </w:pPr>
          </w:p>
        </w:tc>
        <w:tc>
          <w:tcPr>
            <w:tcW w:w="833" w:type="pct"/>
            <w:tcBorders>
              <w:top w:val="nil"/>
              <w:left w:val="single" w:sz="4" w:space="0" w:color="auto"/>
              <w:bottom w:val="single" w:sz="4" w:space="0" w:color="auto"/>
              <w:right w:val="nil"/>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Total</w:t>
            </w:r>
          </w:p>
        </w:tc>
        <w:tc>
          <w:tcPr>
            <w:tcW w:w="833" w:type="pct"/>
            <w:tcBorders>
              <w:top w:val="nil"/>
              <w:left w:val="single" w:sz="4" w:space="0" w:color="000000"/>
              <w:bottom w:val="single" w:sz="4" w:space="0" w:color="000000"/>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1.02</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0.08</w:t>
            </w:r>
          </w:p>
        </w:tc>
        <w:tc>
          <w:tcPr>
            <w:tcW w:w="833" w:type="pct"/>
            <w:tcBorders>
              <w:top w:val="nil"/>
              <w:left w:val="nil"/>
              <w:bottom w:val="single" w:sz="4" w:space="0" w:color="000000"/>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186</w:t>
            </w:r>
          </w:p>
        </w:tc>
      </w:tr>
      <w:tr w:rsidR="00FB1389" w:rsidRPr="002E431C" w:rsidTr="00D05EBD">
        <w:trPr>
          <w:trHeight w:val="300"/>
        </w:trPr>
        <w:tc>
          <w:tcPr>
            <w:tcW w:w="833" w:type="pct"/>
            <w:vMerge/>
            <w:tcBorders>
              <w:top w:val="nil"/>
              <w:left w:val="nil"/>
              <w:bottom w:val="double" w:sz="6"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val="restart"/>
            <w:tcBorders>
              <w:top w:val="nil"/>
              <w:left w:val="nil"/>
              <w:bottom w:val="single" w:sz="4" w:space="0" w:color="000000"/>
              <w:right w:val="nil"/>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Intention</w:t>
            </w:r>
          </w:p>
        </w:tc>
        <w:tc>
          <w:tcPr>
            <w:tcW w:w="833" w:type="pct"/>
            <w:tcBorders>
              <w:top w:val="nil"/>
              <w:left w:val="single" w:sz="4" w:space="0" w:color="auto"/>
              <w:bottom w:val="nil"/>
              <w:right w:val="nil"/>
            </w:tcBorders>
            <w:shd w:val="clear" w:color="auto" w:fill="auto"/>
            <w:noWrap/>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Female</w:t>
            </w:r>
          </w:p>
        </w:tc>
        <w:tc>
          <w:tcPr>
            <w:tcW w:w="833" w:type="pct"/>
            <w:tcBorders>
              <w:top w:val="nil"/>
              <w:left w:val="single" w:sz="4" w:space="0" w:color="000000"/>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1.00</w:t>
            </w:r>
          </w:p>
        </w:tc>
        <w:tc>
          <w:tcPr>
            <w:tcW w:w="833" w:type="pct"/>
            <w:tcBorders>
              <w:top w:val="nil"/>
              <w:left w:val="nil"/>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0.00</w:t>
            </w:r>
          </w:p>
        </w:tc>
        <w:tc>
          <w:tcPr>
            <w:tcW w:w="833" w:type="pct"/>
            <w:tcBorders>
              <w:top w:val="nil"/>
              <w:left w:val="nil"/>
              <w:bottom w:val="nil"/>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97</w:t>
            </w:r>
          </w:p>
        </w:tc>
      </w:tr>
      <w:tr w:rsidR="00FB1389" w:rsidRPr="002E431C" w:rsidTr="00D05EBD">
        <w:trPr>
          <w:trHeight w:val="300"/>
        </w:trPr>
        <w:tc>
          <w:tcPr>
            <w:tcW w:w="833" w:type="pct"/>
            <w:vMerge/>
            <w:tcBorders>
              <w:top w:val="nil"/>
              <w:left w:val="nil"/>
              <w:bottom w:val="double" w:sz="6"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tcBorders>
              <w:top w:val="nil"/>
              <w:left w:val="nil"/>
              <w:bottom w:val="single" w:sz="4" w:space="0" w:color="000000"/>
              <w:right w:val="nil"/>
            </w:tcBorders>
            <w:vAlign w:val="center"/>
            <w:hideMark/>
          </w:tcPr>
          <w:p w:rsidR="00FB1389" w:rsidRPr="002E431C" w:rsidRDefault="00FB1389" w:rsidP="002E431C">
            <w:pPr>
              <w:spacing w:after="0" w:line="240" w:lineRule="auto"/>
              <w:jc w:val="both"/>
              <w:rPr>
                <w:rFonts w:eastAsia="Times New Roman" w:cs="Arial"/>
                <w:color w:val="000000"/>
              </w:rPr>
            </w:pPr>
          </w:p>
        </w:tc>
        <w:tc>
          <w:tcPr>
            <w:tcW w:w="833" w:type="pct"/>
            <w:tcBorders>
              <w:top w:val="nil"/>
              <w:left w:val="single" w:sz="4" w:space="0" w:color="auto"/>
              <w:bottom w:val="nil"/>
              <w:right w:val="nil"/>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Male</w:t>
            </w:r>
          </w:p>
        </w:tc>
        <w:tc>
          <w:tcPr>
            <w:tcW w:w="833" w:type="pct"/>
            <w:tcBorders>
              <w:top w:val="nil"/>
              <w:left w:val="single" w:sz="4" w:space="0" w:color="000000"/>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1.02</w:t>
            </w:r>
          </w:p>
        </w:tc>
        <w:tc>
          <w:tcPr>
            <w:tcW w:w="833" w:type="pct"/>
            <w:tcBorders>
              <w:top w:val="nil"/>
              <w:left w:val="nil"/>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0.08</w:t>
            </w:r>
          </w:p>
        </w:tc>
        <w:tc>
          <w:tcPr>
            <w:tcW w:w="833" w:type="pct"/>
            <w:tcBorders>
              <w:top w:val="nil"/>
              <w:left w:val="nil"/>
              <w:bottom w:val="nil"/>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89</w:t>
            </w:r>
          </w:p>
        </w:tc>
      </w:tr>
      <w:tr w:rsidR="00FB1389" w:rsidRPr="002E431C" w:rsidTr="00D05EBD">
        <w:trPr>
          <w:trHeight w:val="300"/>
        </w:trPr>
        <w:tc>
          <w:tcPr>
            <w:tcW w:w="833" w:type="pct"/>
            <w:vMerge/>
            <w:tcBorders>
              <w:top w:val="nil"/>
              <w:left w:val="nil"/>
              <w:bottom w:val="double" w:sz="6"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tcBorders>
              <w:top w:val="nil"/>
              <w:left w:val="nil"/>
              <w:bottom w:val="single" w:sz="4" w:space="0" w:color="000000"/>
              <w:right w:val="nil"/>
            </w:tcBorders>
            <w:vAlign w:val="center"/>
            <w:hideMark/>
          </w:tcPr>
          <w:p w:rsidR="00FB1389" w:rsidRPr="002E431C" w:rsidRDefault="00FB1389" w:rsidP="002E431C">
            <w:pPr>
              <w:spacing w:after="0" w:line="240" w:lineRule="auto"/>
              <w:jc w:val="both"/>
              <w:rPr>
                <w:rFonts w:eastAsia="Times New Roman" w:cs="Arial"/>
                <w:color w:val="000000"/>
              </w:rPr>
            </w:pPr>
          </w:p>
        </w:tc>
        <w:tc>
          <w:tcPr>
            <w:tcW w:w="833" w:type="pct"/>
            <w:tcBorders>
              <w:top w:val="nil"/>
              <w:left w:val="single" w:sz="4" w:space="0" w:color="auto"/>
              <w:bottom w:val="single" w:sz="4" w:space="0" w:color="auto"/>
              <w:right w:val="nil"/>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Total</w:t>
            </w:r>
          </w:p>
        </w:tc>
        <w:tc>
          <w:tcPr>
            <w:tcW w:w="833" w:type="pct"/>
            <w:tcBorders>
              <w:top w:val="nil"/>
              <w:left w:val="single" w:sz="4" w:space="0" w:color="000000"/>
              <w:bottom w:val="single" w:sz="4" w:space="0" w:color="000000"/>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1.01</w:t>
            </w:r>
          </w:p>
        </w:tc>
        <w:tc>
          <w:tcPr>
            <w:tcW w:w="833" w:type="pct"/>
            <w:tcBorders>
              <w:top w:val="nil"/>
              <w:left w:val="nil"/>
              <w:bottom w:val="single" w:sz="4" w:space="0" w:color="000000"/>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0.06</w:t>
            </w:r>
          </w:p>
        </w:tc>
        <w:tc>
          <w:tcPr>
            <w:tcW w:w="833" w:type="pct"/>
            <w:tcBorders>
              <w:top w:val="nil"/>
              <w:left w:val="nil"/>
              <w:bottom w:val="single" w:sz="4" w:space="0" w:color="000000"/>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186</w:t>
            </w:r>
          </w:p>
        </w:tc>
      </w:tr>
      <w:tr w:rsidR="00FB1389" w:rsidRPr="002E431C" w:rsidTr="00D05EBD">
        <w:trPr>
          <w:trHeight w:val="300"/>
        </w:trPr>
        <w:tc>
          <w:tcPr>
            <w:tcW w:w="833" w:type="pct"/>
            <w:vMerge/>
            <w:tcBorders>
              <w:top w:val="nil"/>
              <w:left w:val="nil"/>
              <w:bottom w:val="double" w:sz="6"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val="restart"/>
            <w:tcBorders>
              <w:top w:val="nil"/>
              <w:left w:val="nil"/>
              <w:bottom w:val="double" w:sz="6" w:space="0" w:color="000000"/>
              <w:right w:val="nil"/>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Effort</w:t>
            </w:r>
          </w:p>
        </w:tc>
        <w:tc>
          <w:tcPr>
            <w:tcW w:w="833" w:type="pct"/>
            <w:tcBorders>
              <w:top w:val="nil"/>
              <w:left w:val="single" w:sz="4" w:space="0" w:color="auto"/>
              <w:bottom w:val="nil"/>
              <w:right w:val="nil"/>
            </w:tcBorders>
            <w:shd w:val="clear" w:color="auto" w:fill="auto"/>
            <w:noWrap/>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Female</w:t>
            </w:r>
          </w:p>
        </w:tc>
        <w:tc>
          <w:tcPr>
            <w:tcW w:w="833" w:type="pct"/>
            <w:tcBorders>
              <w:top w:val="nil"/>
              <w:left w:val="single" w:sz="4" w:space="0" w:color="000000"/>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1.01</w:t>
            </w:r>
          </w:p>
        </w:tc>
        <w:tc>
          <w:tcPr>
            <w:tcW w:w="833" w:type="pct"/>
            <w:tcBorders>
              <w:top w:val="nil"/>
              <w:left w:val="nil"/>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0.04</w:t>
            </w:r>
          </w:p>
        </w:tc>
        <w:tc>
          <w:tcPr>
            <w:tcW w:w="833" w:type="pct"/>
            <w:tcBorders>
              <w:top w:val="nil"/>
              <w:left w:val="nil"/>
              <w:bottom w:val="nil"/>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97</w:t>
            </w:r>
          </w:p>
        </w:tc>
      </w:tr>
      <w:tr w:rsidR="00FB1389" w:rsidRPr="002E431C" w:rsidTr="00D05EBD">
        <w:trPr>
          <w:trHeight w:val="300"/>
        </w:trPr>
        <w:tc>
          <w:tcPr>
            <w:tcW w:w="833" w:type="pct"/>
            <w:vMerge/>
            <w:tcBorders>
              <w:top w:val="nil"/>
              <w:left w:val="nil"/>
              <w:bottom w:val="double" w:sz="6"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tcBorders>
              <w:top w:val="nil"/>
              <w:left w:val="nil"/>
              <w:bottom w:val="double" w:sz="6" w:space="0" w:color="000000"/>
              <w:right w:val="nil"/>
            </w:tcBorders>
            <w:vAlign w:val="center"/>
            <w:hideMark/>
          </w:tcPr>
          <w:p w:rsidR="00FB1389" w:rsidRPr="002E431C" w:rsidRDefault="00FB1389" w:rsidP="002E431C">
            <w:pPr>
              <w:spacing w:after="0" w:line="240" w:lineRule="auto"/>
              <w:jc w:val="both"/>
              <w:rPr>
                <w:rFonts w:eastAsia="Times New Roman" w:cs="Arial"/>
                <w:color w:val="000000"/>
              </w:rPr>
            </w:pPr>
          </w:p>
        </w:tc>
        <w:tc>
          <w:tcPr>
            <w:tcW w:w="833" w:type="pct"/>
            <w:tcBorders>
              <w:top w:val="nil"/>
              <w:left w:val="single" w:sz="4" w:space="0" w:color="auto"/>
              <w:bottom w:val="nil"/>
              <w:right w:val="nil"/>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Male</w:t>
            </w:r>
          </w:p>
        </w:tc>
        <w:tc>
          <w:tcPr>
            <w:tcW w:w="833" w:type="pct"/>
            <w:tcBorders>
              <w:top w:val="nil"/>
              <w:left w:val="single" w:sz="4" w:space="0" w:color="000000"/>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1.15</w:t>
            </w:r>
          </w:p>
        </w:tc>
        <w:tc>
          <w:tcPr>
            <w:tcW w:w="833" w:type="pct"/>
            <w:tcBorders>
              <w:top w:val="nil"/>
              <w:left w:val="nil"/>
              <w:bottom w:val="nil"/>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0.43</w:t>
            </w:r>
          </w:p>
        </w:tc>
        <w:tc>
          <w:tcPr>
            <w:tcW w:w="833" w:type="pct"/>
            <w:tcBorders>
              <w:top w:val="nil"/>
              <w:left w:val="nil"/>
              <w:bottom w:val="nil"/>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89</w:t>
            </w:r>
          </w:p>
        </w:tc>
      </w:tr>
      <w:tr w:rsidR="00FB1389" w:rsidRPr="002E431C" w:rsidTr="00D05EBD">
        <w:trPr>
          <w:trHeight w:val="315"/>
        </w:trPr>
        <w:tc>
          <w:tcPr>
            <w:tcW w:w="833" w:type="pct"/>
            <w:vMerge/>
            <w:tcBorders>
              <w:top w:val="nil"/>
              <w:left w:val="nil"/>
              <w:bottom w:val="double" w:sz="6" w:space="0" w:color="000000"/>
              <w:right w:val="nil"/>
            </w:tcBorders>
            <w:vAlign w:val="center"/>
            <w:hideMark/>
          </w:tcPr>
          <w:p w:rsidR="00FB1389" w:rsidRPr="002E431C" w:rsidRDefault="00FB1389" w:rsidP="002E431C">
            <w:pPr>
              <w:spacing w:after="0" w:line="240" w:lineRule="auto"/>
              <w:jc w:val="both"/>
              <w:rPr>
                <w:rFonts w:eastAsia="Times New Roman" w:cs="Times New Roman"/>
                <w:color w:val="000000"/>
              </w:rPr>
            </w:pPr>
          </w:p>
        </w:tc>
        <w:tc>
          <w:tcPr>
            <w:tcW w:w="833" w:type="pct"/>
            <w:vMerge/>
            <w:tcBorders>
              <w:top w:val="nil"/>
              <w:left w:val="nil"/>
              <w:bottom w:val="double" w:sz="6" w:space="0" w:color="000000"/>
              <w:right w:val="nil"/>
            </w:tcBorders>
            <w:vAlign w:val="center"/>
            <w:hideMark/>
          </w:tcPr>
          <w:p w:rsidR="00FB1389" w:rsidRPr="002E431C" w:rsidRDefault="00FB1389" w:rsidP="002E431C">
            <w:pPr>
              <w:spacing w:after="0" w:line="240" w:lineRule="auto"/>
              <w:jc w:val="both"/>
              <w:rPr>
                <w:rFonts w:eastAsia="Times New Roman" w:cs="Arial"/>
                <w:color w:val="000000"/>
              </w:rPr>
            </w:pPr>
          </w:p>
        </w:tc>
        <w:tc>
          <w:tcPr>
            <w:tcW w:w="833" w:type="pct"/>
            <w:tcBorders>
              <w:top w:val="nil"/>
              <w:left w:val="single" w:sz="4" w:space="0" w:color="auto"/>
              <w:bottom w:val="double" w:sz="6" w:space="0" w:color="000000"/>
              <w:right w:val="nil"/>
            </w:tcBorders>
            <w:shd w:val="clear" w:color="auto" w:fill="auto"/>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Total</w:t>
            </w:r>
          </w:p>
        </w:tc>
        <w:tc>
          <w:tcPr>
            <w:tcW w:w="833" w:type="pct"/>
            <w:tcBorders>
              <w:top w:val="nil"/>
              <w:left w:val="single" w:sz="4" w:space="0" w:color="000000"/>
              <w:bottom w:val="double" w:sz="6" w:space="0" w:color="000000"/>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1.08</w:t>
            </w:r>
          </w:p>
        </w:tc>
        <w:tc>
          <w:tcPr>
            <w:tcW w:w="833" w:type="pct"/>
            <w:tcBorders>
              <w:top w:val="nil"/>
              <w:left w:val="nil"/>
              <w:bottom w:val="double" w:sz="6" w:space="0" w:color="000000"/>
              <w:right w:val="single" w:sz="4" w:space="0" w:color="000000"/>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0.31</w:t>
            </w:r>
          </w:p>
        </w:tc>
        <w:tc>
          <w:tcPr>
            <w:tcW w:w="833" w:type="pct"/>
            <w:tcBorders>
              <w:top w:val="nil"/>
              <w:left w:val="nil"/>
              <w:bottom w:val="double" w:sz="6" w:space="0" w:color="000000"/>
              <w:right w:val="nil"/>
            </w:tcBorders>
            <w:shd w:val="clear" w:color="auto" w:fill="auto"/>
            <w:noWrap/>
            <w:vAlign w:val="center"/>
            <w:hideMark/>
          </w:tcPr>
          <w:p w:rsidR="00FB1389" w:rsidRPr="002E431C" w:rsidRDefault="00FB1389" w:rsidP="002E431C">
            <w:pPr>
              <w:spacing w:after="0" w:line="240" w:lineRule="auto"/>
              <w:jc w:val="both"/>
              <w:rPr>
                <w:rFonts w:eastAsia="Times New Roman" w:cs="Arial"/>
                <w:color w:val="000000"/>
              </w:rPr>
            </w:pPr>
            <w:r w:rsidRPr="002E431C">
              <w:rPr>
                <w:rFonts w:eastAsia="Times New Roman" w:cs="Arial"/>
                <w:color w:val="000000"/>
              </w:rPr>
              <w:t>186</w:t>
            </w:r>
          </w:p>
        </w:tc>
      </w:tr>
    </w:tbl>
    <w:p w:rsidR="00FB1389" w:rsidRPr="00D05EBD" w:rsidRDefault="00FB1389" w:rsidP="00AE640B">
      <w:pPr>
        <w:spacing w:line="480" w:lineRule="auto"/>
        <w:ind w:firstLine="720"/>
        <w:jc w:val="both"/>
        <w:rPr>
          <w:sz w:val="24"/>
          <w:szCs w:val="24"/>
        </w:rPr>
      </w:pP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t>The previous analysis indicates that there were differences in the amounts of awareness, intention and effort men and women exerted when trying to make their dates feel good or bad. Nevertheless, the results do not explain whether significant differences were found for each of the 6 DVs. Therefore, to look for these differences six separate one-way between groups ANOVAs were used for each of the DVs (awareness in making the partner feel good, intention in making the partner feel good, effort in making the partner feel good, awareness in making the partner feel bad, intention in making the partner feel bad and, effort in making the partner feel bad)</w:t>
      </w:r>
      <w:r w:rsidRPr="00973AEB">
        <w:rPr>
          <w:rStyle w:val="Refdenotaalpie"/>
        </w:rPr>
        <w:footnoteReference w:id="52"/>
      </w:r>
      <w:r w:rsidRPr="00D05EBD">
        <w:rPr>
          <w:rFonts w:cs="Times New Roman"/>
          <w:sz w:val="24"/>
          <w:szCs w:val="24"/>
        </w:rPr>
        <w:t xml:space="preserve">. </w:t>
      </w:r>
    </w:p>
    <w:p w:rsidR="00FB1389" w:rsidRPr="00D05EBD" w:rsidRDefault="00FB1389" w:rsidP="00AE640B">
      <w:pPr>
        <w:spacing w:before="240" w:line="480" w:lineRule="auto"/>
        <w:jc w:val="both"/>
        <w:rPr>
          <w:rFonts w:cs="Times New Roman"/>
          <w:sz w:val="24"/>
          <w:szCs w:val="24"/>
        </w:rPr>
      </w:pPr>
      <w:r w:rsidRPr="00D05EBD">
        <w:rPr>
          <w:rFonts w:cs="Times New Roman"/>
          <w:sz w:val="24"/>
          <w:szCs w:val="24"/>
        </w:rPr>
        <w:lastRenderedPageBreak/>
        <w:tab/>
        <w:t xml:space="preserve">The first three one-way between-subjects ANOVAs were conducted to compare the effect of gender (female, male) on awareness in making the partner feel good, intention in making the partner feel good, and effort in making the partner feel good respectively. There was a significant effect of gender on awareness, </w:t>
      </w:r>
      <w:r w:rsidRPr="00D05EBD">
        <w:rPr>
          <w:rFonts w:cs="Times New Roman"/>
          <w:i/>
          <w:sz w:val="24"/>
          <w:szCs w:val="24"/>
        </w:rPr>
        <w:t>F</w:t>
      </w:r>
      <w:r w:rsidRPr="00D05EBD">
        <w:rPr>
          <w:rFonts w:cs="Times New Roman"/>
          <w:sz w:val="24"/>
          <w:szCs w:val="24"/>
        </w:rPr>
        <w:t xml:space="preserve">(1,189) = 19.82, </w:t>
      </w:r>
      <w:r w:rsidRPr="00D05EBD">
        <w:rPr>
          <w:rFonts w:cs="Times New Roman"/>
          <w:i/>
          <w:sz w:val="24"/>
          <w:szCs w:val="24"/>
        </w:rPr>
        <w:t xml:space="preserve">p </w:t>
      </w:r>
      <w:r w:rsidRPr="00D05EBD">
        <w:rPr>
          <w:rFonts w:cs="Times New Roman"/>
          <w:sz w:val="24"/>
          <w:szCs w:val="24"/>
        </w:rPr>
        <w:t xml:space="preserve">&lt; .001, </w:t>
      </w:r>
      <w:r w:rsidRPr="00D05EBD">
        <w:rPr>
          <w:rFonts w:cs="Times New Roman"/>
          <w:i/>
          <w:sz w:val="24"/>
          <w:szCs w:val="24"/>
        </w:rPr>
        <w:t xml:space="preserve">d </w:t>
      </w:r>
      <w:r w:rsidRPr="00D05EBD">
        <w:rPr>
          <w:rFonts w:cs="Times New Roman"/>
          <w:sz w:val="24"/>
          <w:szCs w:val="24"/>
        </w:rPr>
        <w:t xml:space="preserve">= 0.65; on intention </w:t>
      </w:r>
      <w:r w:rsidRPr="00D05EBD">
        <w:rPr>
          <w:rFonts w:cs="Times New Roman"/>
          <w:i/>
          <w:sz w:val="24"/>
          <w:szCs w:val="24"/>
        </w:rPr>
        <w:t>F</w:t>
      </w:r>
      <w:r w:rsidRPr="00D05EBD">
        <w:rPr>
          <w:rFonts w:cs="Times New Roman"/>
          <w:sz w:val="24"/>
          <w:szCs w:val="24"/>
        </w:rPr>
        <w:t xml:space="preserve">(1,189) = 4.93, </w:t>
      </w:r>
      <w:r w:rsidRPr="00D05EBD">
        <w:rPr>
          <w:rFonts w:cs="Times New Roman"/>
          <w:i/>
          <w:sz w:val="24"/>
          <w:szCs w:val="24"/>
        </w:rPr>
        <w:t xml:space="preserve">p </w:t>
      </w:r>
      <w:r w:rsidRPr="00D05EBD">
        <w:rPr>
          <w:rFonts w:cs="Times New Roman"/>
          <w:sz w:val="24"/>
          <w:szCs w:val="24"/>
        </w:rPr>
        <w:t xml:space="preserve">&lt; .05, </w:t>
      </w:r>
      <w:r w:rsidRPr="00D05EBD">
        <w:rPr>
          <w:rFonts w:cs="Times New Roman"/>
          <w:i/>
          <w:sz w:val="24"/>
          <w:szCs w:val="24"/>
        </w:rPr>
        <w:t xml:space="preserve">d </w:t>
      </w:r>
      <w:r w:rsidRPr="00D05EBD">
        <w:rPr>
          <w:rFonts w:cs="Times New Roman"/>
          <w:sz w:val="24"/>
          <w:szCs w:val="24"/>
        </w:rPr>
        <w:t xml:space="preserve">= 0.30 and; on effort, </w:t>
      </w:r>
      <w:r w:rsidRPr="00D05EBD">
        <w:rPr>
          <w:rFonts w:cs="Times New Roman"/>
          <w:i/>
          <w:sz w:val="24"/>
          <w:szCs w:val="24"/>
        </w:rPr>
        <w:t>F</w:t>
      </w:r>
      <w:r w:rsidRPr="00D05EBD">
        <w:rPr>
          <w:rFonts w:cs="Times New Roman"/>
          <w:sz w:val="24"/>
          <w:szCs w:val="24"/>
        </w:rPr>
        <w:t xml:space="preserve">(1,189) = 26.23, </w:t>
      </w:r>
      <w:r w:rsidRPr="00D05EBD">
        <w:rPr>
          <w:rFonts w:cs="Times New Roman"/>
          <w:i/>
          <w:sz w:val="24"/>
          <w:szCs w:val="24"/>
        </w:rPr>
        <w:t xml:space="preserve">p </w:t>
      </w:r>
      <w:r w:rsidRPr="00D05EBD">
        <w:rPr>
          <w:rFonts w:cs="Times New Roman"/>
          <w:sz w:val="24"/>
          <w:szCs w:val="24"/>
        </w:rPr>
        <w:t xml:space="preserve">&lt; .001, </w:t>
      </w:r>
      <w:r w:rsidRPr="00D05EBD">
        <w:rPr>
          <w:rFonts w:cs="Times New Roman"/>
          <w:i/>
          <w:sz w:val="24"/>
          <w:szCs w:val="24"/>
        </w:rPr>
        <w:t xml:space="preserve">d </w:t>
      </w:r>
      <w:r w:rsidRPr="00D05EBD">
        <w:rPr>
          <w:rFonts w:cs="Times New Roman"/>
          <w:sz w:val="24"/>
          <w:szCs w:val="24"/>
        </w:rPr>
        <w:t>= 0.74.</w:t>
      </w:r>
    </w:p>
    <w:p w:rsidR="00FB1389" w:rsidRPr="00D05EBD" w:rsidRDefault="00FB1389" w:rsidP="00AE640B">
      <w:pPr>
        <w:spacing w:line="480" w:lineRule="auto"/>
        <w:ind w:firstLine="720"/>
        <w:jc w:val="both"/>
        <w:rPr>
          <w:rFonts w:cs="Times New Roman"/>
          <w:sz w:val="24"/>
          <w:szCs w:val="24"/>
        </w:rPr>
      </w:pPr>
      <w:r w:rsidRPr="00D05EBD">
        <w:rPr>
          <w:rFonts w:cs="Times New Roman"/>
          <w:sz w:val="24"/>
          <w:szCs w:val="24"/>
        </w:rPr>
        <w:t xml:space="preserve">The second three one-way between-subjects ANOVAs were conducted to compare the effect of gender (female, male) on awareness in making the partner feel bad, intention in making the partner feel bad, and effort in making the partner feel bad respectively. There was a significant effect of gender on awareness, </w:t>
      </w:r>
      <w:r w:rsidRPr="00D05EBD">
        <w:rPr>
          <w:rFonts w:cs="Times New Roman"/>
          <w:i/>
          <w:sz w:val="24"/>
          <w:szCs w:val="24"/>
        </w:rPr>
        <w:t>F</w:t>
      </w:r>
      <w:r w:rsidRPr="00D05EBD">
        <w:rPr>
          <w:rFonts w:cs="Times New Roman"/>
          <w:sz w:val="24"/>
          <w:szCs w:val="24"/>
        </w:rPr>
        <w:t xml:space="preserve">(1,189) = 14.05, </w:t>
      </w:r>
      <w:r w:rsidRPr="00D05EBD">
        <w:rPr>
          <w:rFonts w:cs="Times New Roman"/>
          <w:i/>
          <w:sz w:val="24"/>
          <w:szCs w:val="24"/>
        </w:rPr>
        <w:t xml:space="preserve">p </w:t>
      </w:r>
      <w:r w:rsidRPr="00D05EBD">
        <w:rPr>
          <w:rFonts w:cs="Times New Roman"/>
          <w:sz w:val="24"/>
          <w:szCs w:val="24"/>
        </w:rPr>
        <w:t xml:space="preserve">&lt; .001, </w:t>
      </w:r>
      <w:r w:rsidRPr="00D05EBD">
        <w:rPr>
          <w:rFonts w:cs="Times New Roman"/>
          <w:i/>
          <w:sz w:val="24"/>
          <w:szCs w:val="24"/>
        </w:rPr>
        <w:t xml:space="preserve">d </w:t>
      </w:r>
      <w:r w:rsidRPr="00D05EBD">
        <w:rPr>
          <w:rFonts w:cs="Times New Roman"/>
          <w:sz w:val="24"/>
          <w:szCs w:val="24"/>
        </w:rPr>
        <w:t xml:space="preserve">= 0.52; a significant effect of gender on intention </w:t>
      </w:r>
      <w:r w:rsidRPr="00D05EBD">
        <w:rPr>
          <w:rFonts w:cs="Times New Roman"/>
          <w:i/>
          <w:sz w:val="24"/>
          <w:szCs w:val="24"/>
        </w:rPr>
        <w:t>F</w:t>
      </w:r>
      <w:r w:rsidRPr="00D05EBD">
        <w:rPr>
          <w:rFonts w:cs="Times New Roman"/>
          <w:sz w:val="24"/>
          <w:szCs w:val="24"/>
        </w:rPr>
        <w:t xml:space="preserve">(1,189) = 6.54, </w:t>
      </w:r>
      <w:r w:rsidRPr="00D05EBD">
        <w:rPr>
          <w:rFonts w:cs="Times New Roman"/>
          <w:i/>
          <w:sz w:val="24"/>
          <w:szCs w:val="24"/>
        </w:rPr>
        <w:t xml:space="preserve">p </w:t>
      </w:r>
      <w:r w:rsidRPr="00D05EBD">
        <w:rPr>
          <w:rFonts w:cs="Times New Roman"/>
          <w:sz w:val="24"/>
          <w:szCs w:val="24"/>
        </w:rPr>
        <w:t xml:space="preserve">&lt; .05, </w:t>
      </w:r>
      <w:r w:rsidRPr="00D05EBD">
        <w:rPr>
          <w:rFonts w:cs="Times New Roman"/>
          <w:i/>
          <w:sz w:val="24"/>
          <w:szCs w:val="24"/>
        </w:rPr>
        <w:t xml:space="preserve">d </w:t>
      </w:r>
      <w:r w:rsidRPr="00D05EBD">
        <w:rPr>
          <w:rFonts w:cs="Times New Roman"/>
          <w:sz w:val="24"/>
          <w:szCs w:val="24"/>
        </w:rPr>
        <w:t xml:space="preserve">= 0.36 and; a significant effect of gender on effort, </w:t>
      </w:r>
      <w:r w:rsidRPr="00D05EBD">
        <w:rPr>
          <w:rFonts w:cs="Times New Roman"/>
          <w:i/>
          <w:sz w:val="24"/>
          <w:szCs w:val="24"/>
        </w:rPr>
        <w:t>F</w:t>
      </w:r>
      <w:r w:rsidRPr="00D05EBD">
        <w:rPr>
          <w:rFonts w:cs="Times New Roman"/>
          <w:sz w:val="24"/>
          <w:szCs w:val="24"/>
        </w:rPr>
        <w:t xml:space="preserve">(1,184) = 9.55, </w:t>
      </w:r>
      <w:r w:rsidRPr="00D05EBD">
        <w:rPr>
          <w:rFonts w:cs="Times New Roman"/>
          <w:i/>
          <w:sz w:val="24"/>
          <w:szCs w:val="24"/>
        </w:rPr>
        <w:t xml:space="preserve">p </w:t>
      </w:r>
      <w:r w:rsidRPr="00D05EBD">
        <w:rPr>
          <w:rFonts w:cs="Times New Roman"/>
          <w:sz w:val="24"/>
          <w:szCs w:val="24"/>
        </w:rPr>
        <w:t xml:space="preserve">&lt; .05, </w:t>
      </w:r>
      <w:r w:rsidRPr="00D05EBD">
        <w:rPr>
          <w:rFonts w:cs="Times New Roman"/>
          <w:i/>
          <w:sz w:val="24"/>
          <w:szCs w:val="24"/>
        </w:rPr>
        <w:t xml:space="preserve">d </w:t>
      </w:r>
      <w:r w:rsidRPr="00D05EBD">
        <w:rPr>
          <w:rFonts w:cs="Times New Roman"/>
          <w:sz w:val="24"/>
          <w:szCs w:val="24"/>
        </w:rPr>
        <w:t>= 0.47.</w:t>
      </w:r>
    </w:p>
    <w:p w:rsidR="00FB1389" w:rsidRPr="00975811" w:rsidRDefault="00FB1389" w:rsidP="00975811">
      <w:pPr>
        <w:spacing w:line="480" w:lineRule="auto"/>
        <w:ind w:firstLine="720"/>
        <w:jc w:val="both"/>
        <w:rPr>
          <w:rFonts w:cs="Times New Roman"/>
          <w:sz w:val="24"/>
          <w:szCs w:val="24"/>
        </w:rPr>
      </w:pPr>
      <w:r w:rsidRPr="00D05EBD">
        <w:rPr>
          <w:rFonts w:cs="Times New Roman"/>
          <w:sz w:val="24"/>
          <w:szCs w:val="24"/>
        </w:rPr>
        <w:t xml:space="preserve">The results indicate, as illustrated in Table </w:t>
      </w:r>
      <w:r w:rsidR="002E431C">
        <w:rPr>
          <w:rFonts w:cs="Times New Roman"/>
          <w:sz w:val="24"/>
          <w:szCs w:val="24"/>
        </w:rPr>
        <w:t>V</w:t>
      </w:r>
      <w:r w:rsidRPr="00D05EBD">
        <w:rPr>
          <w:rFonts w:cs="Times New Roman"/>
          <w:sz w:val="24"/>
          <w:szCs w:val="24"/>
        </w:rPr>
        <w:t>.3, that men generally reported using more improving IER than women in their dates in that they were more aware, intended more, and exerted more effort to make their partners feel better than women participants. These results confirm that the selection of an asymmetric block design was the correct choice.</w:t>
      </w:r>
    </w:p>
    <w:p w:rsidR="00FB1389" w:rsidRPr="00D05EBD" w:rsidRDefault="00975811" w:rsidP="00AE640B">
      <w:pPr>
        <w:spacing w:line="480" w:lineRule="auto"/>
        <w:ind w:firstLine="720"/>
        <w:jc w:val="both"/>
        <w:rPr>
          <w:sz w:val="24"/>
          <w:szCs w:val="24"/>
          <w:highlight w:val="yellow"/>
        </w:rPr>
      </w:pPr>
      <w:r>
        <w:rPr>
          <w:rFonts w:cs="Times New Roman"/>
          <w:b/>
          <w:sz w:val="24"/>
          <w:szCs w:val="24"/>
        </w:rPr>
        <w:t>VI</w:t>
      </w:r>
      <w:r w:rsidR="00FB1389" w:rsidRPr="00D05EBD">
        <w:rPr>
          <w:rFonts w:cs="Times New Roman"/>
          <w:b/>
          <w:sz w:val="24"/>
          <w:szCs w:val="24"/>
        </w:rPr>
        <w:t xml:space="preserve">) </w:t>
      </w:r>
      <w:r w:rsidR="00FB1389" w:rsidRPr="00D05EBD">
        <w:rPr>
          <w:b/>
          <w:sz w:val="24"/>
          <w:szCs w:val="24"/>
        </w:rPr>
        <w:t>Cognitive load as predictor of AIER - amount of awareness, intention and effort</w:t>
      </w:r>
      <w:r w:rsidR="00FB1389" w:rsidRPr="00D05EBD">
        <w:rPr>
          <w:sz w:val="24"/>
          <w:szCs w:val="24"/>
        </w:rPr>
        <w:t xml:space="preserve">. The main analyses focused on how cognitive load (high cognitive load and low cognitive load), affected the participants self-reported levels of awareness, intention and effort in using IER. The analyses only focused on positive IER (i.e., trying to make the partner feel good) as there were too few instances of regulation of negative emotion reported by the participants for the model to be fitted. The analyses included only the </w:t>
      </w:r>
      <w:r w:rsidR="00FB1389" w:rsidRPr="00D05EBD">
        <w:rPr>
          <w:sz w:val="24"/>
          <w:szCs w:val="24"/>
        </w:rPr>
        <w:lastRenderedPageBreak/>
        <w:t>cases where the actor was engaged in the cognitive load task. The analyses will be presented by dependent variable (awareness, intentionality and effort), starting with awareness in the use of IER to make the partner feel good.</w:t>
      </w:r>
    </w:p>
    <w:p w:rsidR="00FB1389" w:rsidRPr="00D05EBD" w:rsidRDefault="00975811" w:rsidP="00AE640B">
      <w:pPr>
        <w:spacing w:line="480" w:lineRule="auto"/>
        <w:ind w:left="360"/>
        <w:jc w:val="both"/>
        <w:rPr>
          <w:sz w:val="24"/>
          <w:szCs w:val="24"/>
        </w:rPr>
      </w:pPr>
      <w:r>
        <w:rPr>
          <w:i/>
          <w:sz w:val="24"/>
          <w:szCs w:val="24"/>
        </w:rPr>
        <w:t>VI</w:t>
      </w:r>
      <w:r w:rsidR="00FB1389" w:rsidRPr="00D05EBD">
        <w:rPr>
          <w:i/>
          <w:sz w:val="24"/>
          <w:szCs w:val="24"/>
        </w:rPr>
        <w:t>.1 Awareness of use of IER to make the partner feel good</w:t>
      </w:r>
      <w:r w:rsidR="00FB1389" w:rsidRPr="00D05EBD">
        <w:rPr>
          <w:sz w:val="24"/>
          <w:szCs w:val="24"/>
        </w:rPr>
        <w:t xml:space="preserve">. </w:t>
      </w:r>
    </w:p>
    <w:p w:rsidR="00975811" w:rsidRPr="00D05EBD" w:rsidRDefault="00FB1389" w:rsidP="00736403">
      <w:pPr>
        <w:spacing w:line="480" w:lineRule="auto"/>
        <w:ind w:firstLine="360"/>
        <w:jc w:val="both"/>
        <w:rPr>
          <w:sz w:val="24"/>
          <w:szCs w:val="24"/>
        </w:rPr>
      </w:pPr>
      <w:r w:rsidRPr="00D05EBD">
        <w:rPr>
          <w:sz w:val="24"/>
          <w:szCs w:val="24"/>
        </w:rPr>
        <w:t>A mixed model analysis was used to look at the effects of cognitive load (high cognitive load vs. low cognitive load) on the actor’s awareness of using IER to make the partner feel good (as indicated by the actor reporting he/she did or said something nice to try to make his/her date feel good). No relationship between cognitive load and awareness of using IER to make the partner feel good</w:t>
      </w:r>
      <w:r w:rsidRPr="00D05EBD">
        <w:rPr>
          <w:i/>
          <w:sz w:val="24"/>
          <w:szCs w:val="24"/>
        </w:rPr>
        <w:t xml:space="preserve"> t</w:t>
      </w:r>
      <w:r w:rsidRPr="00D05EBD">
        <w:rPr>
          <w:sz w:val="24"/>
          <w:szCs w:val="24"/>
        </w:rPr>
        <w:t xml:space="preserve">(23.63) = 1.02, </w:t>
      </w:r>
      <w:r w:rsidRPr="00D05EBD">
        <w:rPr>
          <w:i/>
          <w:sz w:val="24"/>
          <w:szCs w:val="24"/>
        </w:rPr>
        <w:t xml:space="preserve">p </w:t>
      </w:r>
      <w:r w:rsidRPr="00D05EBD">
        <w:rPr>
          <w:sz w:val="24"/>
          <w:szCs w:val="24"/>
        </w:rPr>
        <w:t xml:space="preserve">= 0.32 was found. These results suggest that being under cognitive load did not affect the actors’ awareness of using IER strategies to make their dates feel good. However, the present findings are based on the perspective of the actors’ use of IER only and one of the advantages of the present design is that it is possible to look into the perspective of the partner. Observing a discrepancy between what the actor reports he/she did and what the partner reports he/she perceived the actor did, could potentially indicate that the actor was not fully aware of his/her use of IER strategies (i.e. the actor could report he/she used IER to make the partner feel good, but the partner could report she/he did not). To investigate this, a correlation analysis between the actor’s awareness of use of IER to make his/her partner feel good and the partner’s report of whether or not he/she perceived the actor used IER to make him/her feel good was carried out. The cases where the actor reported remembering more than four digits were kept selected to make sure participants were engaged in the cognitive load task. No significant relationship between the actor’s report of his/her awareness of use of IER to make the </w:t>
      </w:r>
      <w:r w:rsidRPr="00D05EBD">
        <w:rPr>
          <w:sz w:val="24"/>
          <w:szCs w:val="24"/>
        </w:rPr>
        <w:lastRenderedPageBreak/>
        <w:t>partner feel good and the partner’s report of the actors use of IER to make him/her feel good was found (</w:t>
      </w:r>
      <w:r w:rsidRPr="00D05EBD">
        <w:rPr>
          <w:i/>
          <w:sz w:val="24"/>
          <w:szCs w:val="24"/>
        </w:rPr>
        <w:t xml:space="preserve">r </w:t>
      </w:r>
      <w:r w:rsidRPr="00D05EBD">
        <w:rPr>
          <w:sz w:val="24"/>
          <w:szCs w:val="24"/>
        </w:rPr>
        <w:t xml:space="preserve">=  .06, </w:t>
      </w:r>
      <w:r w:rsidRPr="00D05EBD">
        <w:rPr>
          <w:i/>
          <w:sz w:val="24"/>
          <w:szCs w:val="24"/>
        </w:rPr>
        <w:t xml:space="preserve">p </w:t>
      </w:r>
      <w:r w:rsidRPr="00D05EBD">
        <w:rPr>
          <w:sz w:val="24"/>
          <w:szCs w:val="24"/>
        </w:rPr>
        <w:t>&gt; .05). To make sense of these findings the frequencies between the actor’s reports while under high cognitive load and under low cognitive load and the partner’s perception of the actor using IER were calculated</w:t>
      </w:r>
      <w:r w:rsidRPr="00973AEB">
        <w:rPr>
          <w:rStyle w:val="Refdenotaalpie"/>
        </w:rPr>
        <w:footnoteReference w:id="53"/>
      </w:r>
      <w:r w:rsidR="00736403">
        <w:rPr>
          <w:sz w:val="24"/>
          <w:szCs w:val="24"/>
        </w:rPr>
        <w:t>. Table V.4</w:t>
      </w:r>
      <w:r w:rsidRPr="00D05EBD">
        <w:rPr>
          <w:sz w:val="24"/>
          <w:szCs w:val="24"/>
        </w:rPr>
        <w:t xml:space="preserve"> suggests that the non-significant correlation between the actor’s report on their use of IER and the partner’s report on the actor’s use of IER might be due to the actor generally reporting less use of IER than what the partner perceives he/she uses irrespective of the cognitive load condition they belonged to. It seems that partners overestimate how much IER actors report they use. </w:t>
      </w:r>
    </w:p>
    <w:tbl>
      <w:tblPr>
        <w:tblW w:w="8160" w:type="dxa"/>
        <w:tblInd w:w="95" w:type="dxa"/>
        <w:tblLook w:val="04A0"/>
      </w:tblPr>
      <w:tblGrid>
        <w:gridCol w:w="1197"/>
        <w:gridCol w:w="1786"/>
        <w:gridCol w:w="1547"/>
        <w:gridCol w:w="1200"/>
        <w:gridCol w:w="1200"/>
        <w:gridCol w:w="1230"/>
      </w:tblGrid>
      <w:tr w:rsidR="00FB1389" w:rsidRPr="00736403" w:rsidTr="00D05EBD">
        <w:trPr>
          <w:trHeight w:val="300"/>
        </w:trPr>
        <w:tc>
          <w:tcPr>
            <w:tcW w:w="8160" w:type="dxa"/>
            <w:gridSpan w:val="6"/>
            <w:tcBorders>
              <w:top w:val="nil"/>
              <w:left w:val="nil"/>
              <w:bottom w:val="single" w:sz="4" w:space="0" w:color="auto"/>
              <w:right w:val="nil"/>
            </w:tcBorders>
            <w:shd w:val="clear" w:color="auto" w:fill="auto"/>
            <w:vAlign w:val="center"/>
            <w:hideMark/>
          </w:tcPr>
          <w:p w:rsidR="00FB1389" w:rsidRPr="00736403" w:rsidRDefault="00736403" w:rsidP="00736403">
            <w:pPr>
              <w:spacing w:after="0" w:line="240" w:lineRule="auto"/>
              <w:jc w:val="both"/>
              <w:rPr>
                <w:rFonts w:eastAsia="Times New Roman" w:cs="Times New Roman"/>
                <w:color w:val="000000"/>
                <w:lang w:eastAsia="en-GB"/>
              </w:rPr>
            </w:pPr>
            <w:r w:rsidRPr="00736403">
              <w:rPr>
                <w:rFonts w:eastAsia="Times New Roman" w:cs="Times New Roman"/>
                <w:color w:val="000000"/>
                <w:lang w:eastAsia="en-GB"/>
              </w:rPr>
              <w:t>Table V</w:t>
            </w:r>
            <w:r>
              <w:rPr>
                <w:rFonts w:eastAsia="Times New Roman" w:cs="Times New Roman"/>
                <w:color w:val="000000"/>
                <w:lang w:eastAsia="en-GB"/>
              </w:rPr>
              <w:t>.4</w:t>
            </w:r>
            <w:r w:rsidR="00FB1389" w:rsidRPr="00736403">
              <w:rPr>
                <w:rFonts w:eastAsia="Times New Roman" w:cs="Times New Roman"/>
                <w:color w:val="000000"/>
                <w:lang w:eastAsia="en-GB"/>
              </w:rPr>
              <w:t xml:space="preserve"> Actor's and partner's reports on actors use of IER</w:t>
            </w:r>
          </w:p>
        </w:tc>
      </w:tr>
      <w:tr w:rsidR="00FB1389" w:rsidRPr="00736403" w:rsidTr="00D05EBD">
        <w:trPr>
          <w:trHeight w:val="495"/>
        </w:trPr>
        <w:tc>
          <w:tcPr>
            <w:tcW w:w="1200" w:type="dxa"/>
            <w:tcBorders>
              <w:top w:val="nil"/>
              <w:left w:val="nil"/>
              <w:bottom w:val="nil"/>
              <w:right w:val="nil"/>
            </w:tcBorders>
            <w:shd w:val="clear" w:color="auto" w:fill="auto"/>
            <w:vAlign w:val="bottom"/>
            <w:hideMark/>
          </w:tcPr>
          <w:p w:rsidR="00FB1389" w:rsidRPr="00736403" w:rsidRDefault="00FB1389" w:rsidP="00736403">
            <w:pPr>
              <w:spacing w:after="0" w:line="240" w:lineRule="auto"/>
              <w:jc w:val="both"/>
              <w:rPr>
                <w:rFonts w:eastAsia="Times New Roman" w:cs="Arial"/>
                <w:color w:val="000000"/>
                <w:lang w:eastAsia="en-GB"/>
              </w:rPr>
            </w:pPr>
          </w:p>
        </w:tc>
        <w:tc>
          <w:tcPr>
            <w:tcW w:w="1800" w:type="dxa"/>
            <w:tcBorders>
              <w:top w:val="nil"/>
              <w:left w:val="nil"/>
              <w:bottom w:val="nil"/>
              <w:right w:val="nil"/>
            </w:tcBorders>
            <w:shd w:val="clear" w:color="auto" w:fill="auto"/>
            <w:vAlign w:val="bottom"/>
            <w:hideMark/>
          </w:tcPr>
          <w:p w:rsidR="00FB1389" w:rsidRPr="00736403" w:rsidRDefault="00FB1389" w:rsidP="00736403">
            <w:pPr>
              <w:spacing w:after="0" w:line="240" w:lineRule="auto"/>
              <w:jc w:val="both"/>
              <w:rPr>
                <w:rFonts w:eastAsia="Times New Roman" w:cs="Arial"/>
                <w:color w:val="000000"/>
                <w:lang w:eastAsia="en-GB"/>
              </w:rPr>
            </w:pPr>
          </w:p>
        </w:tc>
        <w:tc>
          <w:tcPr>
            <w:tcW w:w="1560" w:type="dxa"/>
            <w:tcBorders>
              <w:top w:val="nil"/>
              <w:left w:val="nil"/>
              <w:bottom w:val="nil"/>
              <w:right w:val="nil"/>
            </w:tcBorders>
            <w:shd w:val="clear" w:color="auto" w:fill="auto"/>
            <w:vAlign w:val="bottom"/>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IER use</w:t>
            </w:r>
          </w:p>
        </w:tc>
        <w:tc>
          <w:tcPr>
            <w:tcW w:w="1200" w:type="dxa"/>
            <w:tcBorders>
              <w:top w:val="nil"/>
              <w:left w:val="nil"/>
              <w:bottom w:val="nil"/>
              <w:right w:val="nil"/>
            </w:tcBorders>
            <w:shd w:val="clear" w:color="auto" w:fill="auto"/>
            <w:vAlign w:val="bottom"/>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Frequency</w:t>
            </w:r>
          </w:p>
        </w:tc>
        <w:tc>
          <w:tcPr>
            <w:tcW w:w="1200" w:type="dxa"/>
            <w:tcBorders>
              <w:top w:val="nil"/>
              <w:left w:val="nil"/>
              <w:bottom w:val="nil"/>
              <w:right w:val="nil"/>
            </w:tcBorders>
            <w:shd w:val="clear" w:color="auto" w:fill="auto"/>
            <w:vAlign w:val="bottom"/>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Valid Percent</w:t>
            </w:r>
          </w:p>
        </w:tc>
        <w:tc>
          <w:tcPr>
            <w:tcW w:w="1200" w:type="dxa"/>
            <w:tcBorders>
              <w:top w:val="nil"/>
              <w:left w:val="nil"/>
              <w:bottom w:val="nil"/>
              <w:right w:val="nil"/>
            </w:tcBorders>
            <w:shd w:val="clear" w:color="auto" w:fill="auto"/>
            <w:vAlign w:val="bottom"/>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Cumulative Percent</w:t>
            </w:r>
          </w:p>
        </w:tc>
      </w:tr>
      <w:tr w:rsidR="00FB1389" w:rsidRPr="00736403" w:rsidTr="00D05EBD">
        <w:trPr>
          <w:trHeight w:val="255"/>
        </w:trPr>
        <w:tc>
          <w:tcPr>
            <w:tcW w:w="1200" w:type="dxa"/>
            <w:vMerge w:val="restart"/>
            <w:tcBorders>
              <w:top w:val="single" w:sz="4" w:space="0" w:color="auto"/>
              <w:left w:val="nil"/>
              <w:bottom w:val="single" w:sz="4" w:space="0" w:color="000000"/>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Actors' self-report of use of IER</w:t>
            </w:r>
          </w:p>
        </w:tc>
        <w:tc>
          <w:tcPr>
            <w:tcW w:w="1800" w:type="dxa"/>
            <w:vMerge w:val="restart"/>
            <w:tcBorders>
              <w:top w:val="single" w:sz="4" w:space="0" w:color="auto"/>
              <w:left w:val="nil"/>
              <w:bottom w:val="single" w:sz="4" w:space="0" w:color="7F7F7F"/>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when under high cognitive load</w:t>
            </w:r>
          </w:p>
        </w:tc>
        <w:tc>
          <w:tcPr>
            <w:tcW w:w="1560" w:type="dxa"/>
            <w:tcBorders>
              <w:top w:val="single" w:sz="4" w:space="0" w:color="auto"/>
              <w:left w:val="nil"/>
              <w:bottom w:val="nil"/>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Weak use of IER</w:t>
            </w:r>
          </w:p>
        </w:tc>
        <w:tc>
          <w:tcPr>
            <w:tcW w:w="1200" w:type="dxa"/>
            <w:tcBorders>
              <w:top w:val="single" w:sz="4" w:space="0" w:color="auto"/>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29</w:t>
            </w:r>
          </w:p>
        </w:tc>
        <w:tc>
          <w:tcPr>
            <w:tcW w:w="1200" w:type="dxa"/>
            <w:tcBorders>
              <w:top w:val="single" w:sz="4" w:space="0" w:color="auto"/>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19.3</w:t>
            </w:r>
          </w:p>
        </w:tc>
        <w:tc>
          <w:tcPr>
            <w:tcW w:w="1200" w:type="dxa"/>
            <w:tcBorders>
              <w:top w:val="single" w:sz="4" w:space="0" w:color="auto"/>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19.3</w:t>
            </w:r>
          </w:p>
        </w:tc>
      </w:tr>
      <w:tr w:rsidR="00FB1389" w:rsidRPr="00736403" w:rsidTr="00D05EBD">
        <w:trPr>
          <w:trHeight w:val="255"/>
        </w:trPr>
        <w:tc>
          <w:tcPr>
            <w:tcW w:w="1200" w:type="dxa"/>
            <w:vMerge/>
            <w:tcBorders>
              <w:top w:val="single" w:sz="4" w:space="0" w:color="auto"/>
              <w:left w:val="nil"/>
              <w:bottom w:val="single" w:sz="4" w:space="0" w:color="000000"/>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800" w:type="dxa"/>
            <w:vMerge/>
            <w:tcBorders>
              <w:top w:val="single" w:sz="4" w:space="0" w:color="auto"/>
              <w:left w:val="nil"/>
              <w:bottom w:val="single" w:sz="4" w:space="0" w:color="7F7F7F"/>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560" w:type="dxa"/>
            <w:tcBorders>
              <w:top w:val="nil"/>
              <w:left w:val="nil"/>
              <w:bottom w:val="nil"/>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Strong use of IER</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25</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16.7</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36.0</w:t>
            </w:r>
          </w:p>
        </w:tc>
      </w:tr>
      <w:tr w:rsidR="00FB1389" w:rsidRPr="00736403" w:rsidTr="00D05EBD">
        <w:trPr>
          <w:trHeight w:val="255"/>
        </w:trPr>
        <w:tc>
          <w:tcPr>
            <w:tcW w:w="1200" w:type="dxa"/>
            <w:vMerge/>
            <w:tcBorders>
              <w:top w:val="single" w:sz="4" w:space="0" w:color="auto"/>
              <w:left w:val="nil"/>
              <w:bottom w:val="single" w:sz="4" w:space="0" w:color="000000"/>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800" w:type="dxa"/>
            <w:vMerge/>
            <w:tcBorders>
              <w:top w:val="single" w:sz="4" w:space="0" w:color="auto"/>
              <w:left w:val="nil"/>
              <w:bottom w:val="single" w:sz="4" w:space="0" w:color="7F7F7F"/>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560" w:type="dxa"/>
            <w:tcBorders>
              <w:top w:val="nil"/>
              <w:left w:val="nil"/>
              <w:bottom w:val="single" w:sz="4" w:space="0" w:color="7F7F7F"/>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Total</w:t>
            </w:r>
          </w:p>
        </w:tc>
        <w:tc>
          <w:tcPr>
            <w:tcW w:w="1200" w:type="dxa"/>
            <w:tcBorders>
              <w:top w:val="nil"/>
              <w:left w:val="nil"/>
              <w:bottom w:val="single" w:sz="4" w:space="0" w:color="7F7F7F"/>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54</w:t>
            </w:r>
          </w:p>
        </w:tc>
        <w:tc>
          <w:tcPr>
            <w:tcW w:w="1200" w:type="dxa"/>
            <w:tcBorders>
              <w:top w:val="nil"/>
              <w:left w:val="nil"/>
              <w:bottom w:val="single" w:sz="4" w:space="0" w:color="7F7F7F"/>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36.0</w:t>
            </w:r>
          </w:p>
        </w:tc>
        <w:tc>
          <w:tcPr>
            <w:tcW w:w="1200" w:type="dxa"/>
            <w:tcBorders>
              <w:top w:val="nil"/>
              <w:left w:val="nil"/>
              <w:bottom w:val="single" w:sz="4" w:space="0" w:color="7F7F7F"/>
              <w:right w:val="nil"/>
            </w:tcBorders>
            <w:shd w:val="clear" w:color="auto" w:fill="auto"/>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 </w:t>
            </w:r>
          </w:p>
        </w:tc>
      </w:tr>
      <w:tr w:rsidR="00FB1389" w:rsidRPr="00736403" w:rsidTr="00D05EBD">
        <w:trPr>
          <w:trHeight w:val="255"/>
        </w:trPr>
        <w:tc>
          <w:tcPr>
            <w:tcW w:w="1200" w:type="dxa"/>
            <w:vMerge/>
            <w:tcBorders>
              <w:top w:val="single" w:sz="4" w:space="0" w:color="auto"/>
              <w:left w:val="nil"/>
              <w:bottom w:val="single" w:sz="4" w:space="0" w:color="000000"/>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800" w:type="dxa"/>
            <w:vMerge w:val="restart"/>
            <w:tcBorders>
              <w:top w:val="nil"/>
              <w:left w:val="nil"/>
              <w:bottom w:val="single" w:sz="4" w:space="0" w:color="000000"/>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when under low cognitive load</w:t>
            </w:r>
          </w:p>
        </w:tc>
        <w:tc>
          <w:tcPr>
            <w:tcW w:w="1560" w:type="dxa"/>
            <w:tcBorders>
              <w:top w:val="nil"/>
              <w:left w:val="nil"/>
              <w:bottom w:val="nil"/>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Weak use of IER</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49</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32.7</w:t>
            </w:r>
          </w:p>
        </w:tc>
        <w:tc>
          <w:tcPr>
            <w:tcW w:w="1200" w:type="dxa"/>
            <w:tcBorders>
              <w:top w:val="nil"/>
              <w:left w:val="nil"/>
              <w:bottom w:val="nil"/>
              <w:right w:val="nil"/>
            </w:tcBorders>
            <w:shd w:val="clear" w:color="auto" w:fill="auto"/>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68.66</w:t>
            </w:r>
          </w:p>
        </w:tc>
      </w:tr>
      <w:tr w:rsidR="00FB1389" w:rsidRPr="00736403" w:rsidTr="00D05EBD">
        <w:trPr>
          <w:trHeight w:val="255"/>
        </w:trPr>
        <w:tc>
          <w:tcPr>
            <w:tcW w:w="1200" w:type="dxa"/>
            <w:vMerge/>
            <w:tcBorders>
              <w:top w:val="single" w:sz="4" w:space="0" w:color="auto"/>
              <w:left w:val="nil"/>
              <w:bottom w:val="single" w:sz="4" w:space="0" w:color="000000"/>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800" w:type="dxa"/>
            <w:vMerge/>
            <w:tcBorders>
              <w:top w:val="nil"/>
              <w:left w:val="nil"/>
              <w:bottom w:val="single" w:sz="4" w:space="0" w:color="000000"/>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560" w:type="dxa"/>
            <w:tcBorders>
              <w:top w:val="nil"/>
              <w:left w:val="nil"/>
              <w:bottom w:val="nil"/>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Strong use of IER</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47</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31.3</w:t>
            </w:r>
          </w:p>
        </w:tc>
        <w:tc>
          <w:tcPr>
            <w:tcW w:w="1200" w:type="dxa"/>
            <w:tcBorders>
              <w:top w:val="nil"/>
              <w:left w:val="nil"/>
              <w:bottom w:val="nil"/>
              <w:right w:val="nil"/>
            </w:tcBorders>
            <w:shd w:val="clear" w:color="auto" w:fill="auto"/>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100</w:t>
            </w:r>
          </w:p>
        </w:tc>
      </w:tr>
      <w:tr w:rsidR="00FB1389" w:rsidRPr="00736403" w:rsidTr="00D05EBD">
        <w:trPr>
          <w:trHeight w:val="255"/>
        </w:trPr>
        <w:tc>
          <w:tcPr>
            <w:tcW w:w="1200" w:type="dxa"/>
            <w:vMerge/>
            <w:tcBorders>
              <w:top w:val="single" w:sz="4" w:space="0" w:color="auto"/>
              <w:left w:val="nil"/>
              <w:bottom w:val="single" w:sz="4" w:space="0" w:color="000000"/>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800" w:type="dxa"/>
            <w:vMerge/>
            <w:tcBorders>
              <w:top w:val="nil"/>
              <w:left w:val="nil"/>
              <w:bottom w:val="single" w:sz="4" w:space="0" w:color="000000"/>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560" w:type="dxa"/>
            <w:tcBorders>
              <w:top w:val="nil"/>
              <w:left w:val="nil"/>
              <w:bottom w:val="single" w:sz="4" w:space="0" w:color="auto"/>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Total</w:t>
            </w:r>
          </w:p>
        </w:tc>
        <w:tc>
          <w:tcPr>
            <w:tcW w:w="1200" w:type="dxa"/>
            <w:tcBorders>
              <w:top w:val="nil"/>
              <w:left w:val="nil"/>
              <w:bottom w:val="single" w:sz="4" w:space="0" w:color="auto"/>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96</w:t>
            </w:r>
          </w:p>
        </w:tc>
        <w:tc>
          <w:tcPr>
            <w:tcW w:w="1200" w:type="dxa"/>
            <w:tcBorders>
              <w:top w:val="nil"/>
              <w:left w:val="nil"/>
              <w:bottom w:val="single" w:sz="4" w:space="0" w:color="auto"/>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64.0</w:t>
            </w:r>
          </w:p>
        </w:tc>
        <w:tc>
          <w:tcPr>
            <w:tcW w:w="1200" w:type="dxa"/>
            <w:tcBorders>
              <w:top w:val="nil"/>
              <w:left w:val="nil"/>
              <w:bottom w:val="single" w:sz="4" w:space="0" w:color="auto"/>
              <w:right w:val="nil"/>
            </w:tcBorders>
            <w:shd w:val="clear" w:color="auto" w:fill="auto"/>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 </w:t>
            </w:r>
          </w:p>
        </w:tc>
      </w:tr>
      <w:tr w:rsidR="00FB1389" w:rsidRPr="00736403" w:rsidTr="00D05EBD">
        <w:trPr>
          <w:trHeight w:val="255"/>
        </w:trPr>
        <w:tc>
          <w:tcPr>
            <w:tcW w:w="1200" w:type="dxa"/>
            <w:vMerge w:val="restart"/>
            <w:tcBorders>
              <w:top w:val="nil"/>
              <w:left w:val="nil"/>
              <w:bottom w:val="double" w:sz="6" w:space="0" w:color="000000"/>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Partner's report on actor's use of IER</w:t>
            </w:r>
          </w:p>
        </w:tc>
        <w:tc>
          <w:tcPr>
            <w:tcW w:w="1800" w:type="dxa"/>
            <w:vMerge w:val="restart"/>
            <w:tcBorders>
              <w:top w:val="nil"/>
              <w:left w:val="nil"/>
              <w:bottom w:val="single" w:sz="4" w:space="0" w:color="7F7F7F"/>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when actor is under high cognitive load</w:t>
            </w:r>
          </w:p>
        </w:tc>
        <w:tc>
          <w:tcPr>
            <w:tcW w:w="1560" w:type="dxa"/>
            <w:tcBorders>
              <w:top w:val="nil"/>
              <w:left w:val="nil"/>
              <w:bottom w:val="nil"/>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Did not use IER</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11</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7.3</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7.3</w:t>
            </w:r>
          </w:p>
        </w:tc>
      </w:tr>
      <w:tr w:rsidR="00FB1389" w:rsidRPr="00736403" w:rsidTr="00D05EBD">
        <w:trPr>
          <w:trHeight w:val="255"/>
        </w:trPr>
        <w:tc>
          <w:tcPr>
            <w:tcW w:w="1200" w:type="dxa"/>
            <w:vMerge/>
            <w:tcBorders>
              <w:top w:val="nil"/>
              <w:left w:val="nil"/>
              <w:bottom w:val="double" w:sz="6" w:space="0" w:color="000000"/>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800" w:type="dxa"/>
            <w:vMerge/>
            <w:tcBorders>
              <w:top w:val="nil"/>
              <w:left w:val="nil"/>
              <w:bottom w:val="single" w:sz="4" w:space="0" w:color="7F7F7F"/>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560" w:type="dxa"/>
            <w:tcBorders>
              <w:top w:val="nil"/>
              <w:left w:val="nil"/>
              <w:bottom w:val="nil"/>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Used IER</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42</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28.0</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35.3</w:t>
            </w:r>
          </w:p>
        </w:tc>
      </w:tr>
      <w:tr w:rsidR="00FB1389" w:rsidRPr="00736403" w:rsidTr="00D05EBD">
        <w:trPr>
          <w:trHeight w:val="255"/>
        </w:trPr>
        <w:tc>
          <w:tcPr>
            <w:tcW w:w="1200" w:type="dxa"/>
            <w:vMerge/>
            <w:tcBorders>
              <w:top w:val="nil"/>
              <w:left w:val="nil"/>
              <w:bottom w:val="double" w:sz="6" w:space="0" w:color="000000"/>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800" w:type="dxa"/>
            <w:vMerge/>
            <w:tcBorders>
              <w:top w:val="nil"/>
              <w:left w:val="nil"/>
              <w:bottom w:val="single" w:sz="4" w:space="0" w:color="7F7F7F"/>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560" w:type="dxa"/>
            <w:tcBorders>
              <w:top w:val="nil"/>
              <w:left w:val="nil"/>
              <w:bottom w:val="single" w:sz="4" w:space="0" w:color="7F7F7F"/>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Total</w:t>
            </w:r>
          </w:p>
        </w:tc>
        <w:tc>
          <w:tcPr>
            <w:tcW w:w="1200" w:type="dxa"/>
            <w:tcBorders>
              <w:top w:val="nil"/>
              <w:left w:val="nil"/>
              <w:bottom w:val="single" w:sz="4" w:space="0" w:color="7F7F7F"/>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53</w:t>
            </w:r>
          </w:p>
        </w:tc>
        <w:tc>
          <w:tcPr>
            <w:tcW w:w="1200" w:type="dxa"/>
            <w:tcBorders>
              <w:top w:val="nil"/>
              <w:left w:val="nil"/>
              <w:bottom w:val="single" w:sz="4" w:space="0" w:color="7F7F7F"/>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35.3</w:t>
            </w:r>
          </w:p>
        </w:tc>
        <w:tc>
          <w:tcPr>
            <w:tcW w:w="1200" w:type="dxa"/>
            <w:tcBorders>
              <w:top w:val="nil"/>
              <w:left w:val="nil"/>
              <w:bottom w:val="single" w:sz="4" w:space="0" w:color="7F7F7F"/>
              <w:right w:val="nil"/>
            </w:tcBorders>
            <w:shd w:val="clear" w:color="auto" w:fill="auto"/>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 </w:t>
            </w:r>
          </w:p>
        </w:tc>
      </w:tr>
      <w:tr w:rsidR="00FB1389" w:rsidRPr="00736403" w:rsidTr="00D05EBD">
        <w:trPr>
          <w:trHeight w:val="255"/>
        </w:trPr>
        <w:tc>
          <w:tcPr>
            <w:tcW w:w="1200" w:type="dxa"/>
            <w:vMerge/>
            <w:tcBorders>
              <w:top w:val="nil"/>
              <w:left w:val="nil"/>
              <w:bottom w:val="double" w:sz="6" w:space="0" w:color="000000"/>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800" w:type="dxa"/>
            <w:vMerge w:val="restart"/>
            <w:tcBorders>
              <w:top w:val="nil"/>
              <w:left w:val="nil"/>
              <w:bottom w:val="double" w:sz="6" w:space="0" w:color="000000"/>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when actor is under low cognitive load</w:t>
            </w:r>
          </w:p>
        </w:tc>
        <w:tc>
          <w:tcPr>
            <w:tcW w:w="1560" w:type="dxa"/>
            <w:tcBorders>
              <w:top w:val="nil"/>
              <w:left w:val="nil"/>
              <w:bottom w:val="nil"/>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Did not use IER</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26</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17.3</w:t>
            </w:r>
          </w:p>
        </w:tc>
        <w:tc>
          <w:tcPr>
            <w:tcW w:w="1200" w:type="dxa"/>
            <w:tcBorders>
              <w:top w:val="nil"/>
              <w:left w:val="nil"/>
              <w:bottom w:val="nil"/>
              <w:right w:val="nil"/>
            </w:tcBorders>
            <w:shd w:val="clear" w:color="auto" w:fill="auto"/>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52.66</w:t>
            </w:r>
          </w:p>
        </w:tc>
      </w:tr>
      <w:tr w:rsidR="00FB1389" w:rsidRPr="00736403" w:rsidTr="00D05EBD">
        <w:trPr>
          <w:trHeight w:val="255"/>
        </w:trPr>
        <w:tc>
          <w:tcPr>
            <w:tcW w:w="1200" w:type="dxa"/>
            <w:vMerge/>
            <w:tcBorders>
              <w:top w:val="nil"/>
              <w:left w:val="nil"/>
              <w:bottom w:val="double" w:sz="6" w:space="0" w:color="000000"/>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800" w:type="dxa"/>
            <w:vMerge/>
            <w:tcBorders>
              <w:top w:val="nil"/>
              <w:left w:val="nil"/>
              <w:bottom w:val="double" w:sz="6" w:space="0" w:color="000000"/>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560" w:type="dxa"/>
            <w:tcBorders>
              <w:top w:val="nil"/>
              <w:left w:val="nil"/>
              <w:bottom w:val="nil"/>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Used IER</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69</w:t>
            </w:r>
          </w:p>
        </w:tc>
        <w:tc>
          <w:tcPr>
            <w:tcW w:w="1200" w:type="dxa"/>
            <w:tcBorders>
              <w:top w:val="nil"/>
              <w:left w:val="nil"/>
              <w:bottom w:val="nil"/>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46.0</w:t>
            </w:r>
          </w:p>
        </w:tc>
        <w:tc>
          <w:tcPr>
            <w:tcW w:w="1200" w:type="dxa"/>
            <w:tcBorders>
              <w:top w:val="nil"/>
              <w:left w:val="nil"/>
              <w:bottom w:val="nil"/>
              <w:right w:val="nil"/>
            </w:tcBorders>
            <w:shd w:val="clear" w:color="auto" w:fill="auto"/>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100</w:t>
            </w:r>
          </w:p>
        </w:tc>
      </w:tr>
      <w:tr w:rsidR="00FB1389" w:rsidRPr="00736403" w:rsidTr="00D05EBD">
        <w:trPr>
          <w:trHeight w:val="255"/>
        </w:trPr>
        <w:tc>
          <w:tcPr>
            <w:tcW w:w="1200" w:type="dxa"/>
            <w:vMerge/>
            <w:tcBorders>
              <w:top w:val="nil"/>
              <w:left w:val="nil"/>
              <w:bottom w:val="double" w:sz="6" w:space="0" w:color="000000"/>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800" w:type="dxa"/>
            <w:vMerge/>
            <w:tcBorders>
              <w:top w:val="nil"/>
              <w:left w:val="nil"/>
              <w:bottom w:val="double" w:sz="6" w:space="0" w:color="000000"/>
              <w:right w:val="nil"/>
            </w:tcBorders>
            <w:vAlign w:val="center"/>
            <w:hideMark/>
          </w:tcPr>
          <w:p w:rsidR="00FB1389" w:rsidRPr="00736403" w:rsidRDefault="00FB1389" w:rsidP="00736403">
            <w:pPr>
              <w:spacing w:after="0" w:line="240" w:lineRule="auto"/>
              <w:jc w:val="both"/>
              <w:rPr>
                <w:rFonts w:eastAsia="Times New Roman" w:cs="Arial"/>
                <w:color w:val="000000"/>
                <w:lang w:eastAsia="en-GB"/>
              </w:rPr>
            </w:pPr>
          </w:p>
        </w:tc>
        <w:tc>
          <w:tcPr>
            <w:tcW w:w="1560" w:type="dxa"/>
            <w:tcBorders>
              <w:top w:val="nil"/>
              <w:left w:val="nil"/>
              <w:bottom w:val="double" w:sz="6" w:space="0" w:color="auto"/>
              <w:right w:val="nil"/>
            </w:tcBorders>
            <w:shd w:val="clear" w:color="auto" w:fill="auto"/>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Total</w:t>
            </w:r>
          </w:p>
        </w:tc>
        <w:tc>
          <w:tcPr>
            <w:tcW w:w="1200" w:type="dxa"/>
            <w:tcBorders>
              <w:top w:val="nil"/>
              <w:left w:val="nil"/>
              <w:bottom w:val="double" w:sz="6" w:space="0" w:color="auto"/>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95</w:t>
            </w:r>
          </w:p>
        </w:tc>
        <w:tc>
          <w:tcPr>
            <w:tcW w:w="1200" w:type="dxa"/>
            <w:tcBorders>
              <w:top w:val="nil"/>
              <w:left w:val="nil"/>
              <w:bottom w:val="double" w:sz="6" w:space="0" w:color="auto"/>
              <w:right w:val="nil"/>
            </w:tcBorders>
            <w:shd w:val="clear" w:color="auto" w:fill="auto"/>
            <w:noWrap/>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63.3</w:t>
            </w:r>
          </w:p>
        </w:tc>
        <w:tc>
          <w:tcPr>
            <w:tcW w:w="1200" w:type="dxa"/>
            <w:tcBorders>
              <w:top w:val="nil"/>
              <w:left w:val="nil"/>
              <w:bottom w:val="double" w:sz="6" w:space="0" w:color="auto"/>
              <w:right w:val="nil"/>
            </w:tcBorders>
            <w:shd w:val="clear" w:color="auto" w:fill="auto"/>
            <w:vAlign w:val="center"/>
            <w:hideMark/>
          </w:tcPr>
          <w:p w:rsidR="00FB1389" w:rsidRPr="00736403" w:rsidRDefault="00FB1389" w:rsidP="00736403">
            <w:pPr>
              <w:spacing w:after="0" w:line="240" w:lineRule="auto"/>
              <w:jc w:val="both"/>
              <w:rPr>
                <w:rFonts w:eastAsia="Times New Roman" w:cs="Arial"/>
                <w:color w:val="000000"/>
                <w:lang w:eastAsia="en-GB"/>
              </w:rPr>
            </w:pPr>
            <w:r w:rsidRPr="00736403">
              <w:rPr>
                <w:rFonts w:eastAsia="Times New Roman" w:cs="Arial"/>
                <w:color w:val="000000"/>
                <w:lang w:eastAsia="en-GB"/>
              </w:rPr>
              <w:t> </w:t>
            </w:r>
          </w:p>
        </w:tc>
      </w:tr>
    </w:tbl>
    <w:p w:rsidR="00FB1389" w:rsidRPr="00D05EBD" w:rsidRDefault="00FB1389" w:rsidP="00AE640B">
      <w:pPr>
        <w:spacing w:line="480" w:lineRule="auto"/>
        <w:jc w:val="both"/>
        <w:rPr>
          <w:sz w:val="24"/>
          <w:szCs w:val="24"/>
        </w:rPr>
      </w:pPr>
    </w:p>
    <w:p w:rsidR="00736403" w:rsidRDefault="00736403" w:rsidP="00AE640B">
      <w:pPr>
        <w:spacing w:line="480" w:lineRule="auto"/>
        <w:ind w:left="360"/>
        <w:jc w:val="both"/>
        <w:rPr>
          <w:i/>
          <w:sz w:val="24"/>
          <w:szCs w:val="24"/>
        </w:rPr>
      </w:pPr>
    </w:p>
    <w:p w:rsidR="00FB1389" w:rsidRPr="00D05EBD" w:rsidRDefault="00975811" w:rsidP="00AE640B">
      <w:pPr>
        <w:spacing w:line="480" w:lineRule="auto"/>
        <w:ind w:left="360"/>
        <w:jc w:val="both"/>
        <w:rPr>
          <w:sz w:val="24"/>
          <w:szCs w:val="24"/>
        </w:rPr>
      </w:pPr>
      <w:r>
        <w:rPr>
          <w:i/>
          <w:sz w:val="24"/>
          <w:szCs w:val="24"/>
        </w:rPr>
        <w:lastRenderedPageBreak/>
        <w:t>VI</w:t>
      </w:r>
      <w:r w:rsidR="00FB1389" w:rsidRPr="00D05EBD">
        <w:rPr>
          <w:i/>
          <w:sz w:val="24"/>
          <w:szCs w:val="24"/>
        </w:rPr>
        <w:t>.2 Intention of use of IER to make the partner feel good</w:t>
      </w:r>
      <w:r w:rsidR="00FB1389" w:rsidRPr="00D05EBD">
        <w:rPr>
          <w:sz w:val="24"/>
          <w:szCs w:val="24"/>
        </w:rPr>
        <w:t xml:space="preserve">. </w:t>
      </w:r>
    </w:p>
    <w:p w:rsidR="00A86817" w:rsidRPr="008817E4" w:rsidRDefault="00FB1389" w:rsidP="008817E4">
      <w:pPr>
        <w:spacing w:line="480" w:lineRule="auto"/>
        <w:ind w:firstLine="360"/>
        <w:jc w:val="both"/>
        <w:rPr>
          <w:sz w:val="24"/>
          <w:szCs w:val="24"/>
        </w:rPr>
      </w:pPr>
      <w:r w:rsidRPr="00D05EBD">
        <w:rPr>
          <w:sz w:val="24"/>
          <w:szCs w:val="24"/>
        </w:rPr>
        <w:t>To explore the effects of cognitive load (high cognitive load vs. low cognitive load) on the participant’s intention of using IER to make their partner’s feel good (as indicated by the actor reporting he/she intended to do or say something nice to try to make his/her date feel good), a second mixed model analysis was used. No relationship between cognitive load and intention of using IER to make the partner feel good</w:t>
      </w:r>
      <w:r w:rsidRPr="00D05EBD">
        <w:rPr>
          <w:i/>
          <w:sz w:val="24"/>
          <w:szCs w:val="24"/>
        </w:rPr>
        <w:t xml:space="preserve"> t</w:t>
      </w:r>
      <w:r w:rsidRPr="00D05EBD">
        <w:rPr>
          <w:sz w:val="24"/>
          <w:szCs w:val="24"/>
        </w:rPr>
        <w:t xml:space="preserve">(27.47) = .03, </w:t>
      </w:r>
      <w:r w:rsidRPr="00D05EBD">
        <w:rPr>
          <w:i/>
          <w:sz w:val="24"/>
          <w:szCs w:val="24"/>
        </w:rPr>
        <w:t xml:space="preserve">p </w:t>
      </w:r>
      <w:r w:rsidRPr="00D05EBD">
        <w:rPr>
          <w:sz w:val="24"/>
          <w:szCs w:val="24"/>
        </w:rPr>
        <w:t xml:space="preserve">= 0.97 was found. </w:t>
      </w:r>
    </w:p>
    <w:p w:rsidR="00FB1389" w:rsidRPr="00D05EBD" w:rsidRDefault="00975811" w:rsidP="00AE640B">
      <w:pPr>
        <w:spacing w:line="480" w:lineRule="auto"/>
        <w:ind w:left="360"/>
        <w:jc w:val="both"/>
        <w:rPr>
          <w:sz w:val="24"/>
          <w:szCs w:val="24"/>
        </w:rPr>
      </w:pPr>
      <w:r>
        <w:rPr>
          <w:i/>
          <w:sz w:val="24"/>
          <w:szCs w:val="24"/>
        </w:rPr>
        <w:t>V</w:t>
      </w:r>
      <w:r w:rsidR="00FB1389" w:rsidRPr="00D05EBD">
        <w:rPr>
          <w:i/>
          <w:sz w:val="24"/>
          <w:szCs w:val="24"/>
        </w:rPr>
        <w:t>I.3 Effort exerted in using IER to make the partner feel good</w:t>
      </w:r>
      <w:r w:rsidR="00FB1389" w:rsidRPr="00D05EBD">
        <w:rPr>
          <w:sz w:val="24"/>
          <w:szCs w:val="24"/>
        </w:rPr>
        <w:t>.</w:t>
      </w:r>
    </w:p>
    <w:p w:rsidR="00FB1389" w:rsidRPr="00D05EBD" w:rsidRDefault="00FB1389" w:rsidP="00AE640B">
      <w:pPr>
        <w:spacing w:line="480" w:lineRule="auto"/>
        <w:ind w:firstLine="360"/>
        <w:jc w:val="both"/>
        <w:rPr>
          <w:sz w:val="24"/>
          <w:szCs w:val="24"/>
        </w:rPr>
      </w:pPr>
      <w:r w:rsidRPr="00D05EBD">
        <w:rPr>
          <w:sz w:val="24"/>
          <w:szCs w:val="24"/>
        </w:rPr>
        <w:t>The third mixed analysis explored the effects of cognitive load (high cognitive load vs. low cognitive load) on the actor’s exerted effort in using IER to make their partner feel good (as indicated by the actor reporting to what extent it was easy for him/her to do or say something nice to try to make his/her date feel good). A marginally significant relationship between cognitive load and exerted effort in using IER to make the partner feel good</w:t>
      </w:r>
      <w:r w:rsidRPr="00D05EBD">
        <w:rPr>
          <w:i/>
          <w:sz w:val="24"/>
          <w:szCs w:val="24"/>
        </w:rPr>
        <w:t xml:space="preserve"> t</w:t>
      </w:r>
      <w:r w:rsidRPr="00D05EBD">
        <w:rPr>
          <w:sz w:val="24"/>
          <w:szCs w:val="24"/>
        </w:rPr>
        <w:t xml:space="preserve">(19.64) = 1.97, </w:t>
      </w:r>
      <w:r w:rsidRPr="00D05EBD">
        <w:rPr>
          <w:i/>
          <w:sz w:val="24"/>
          <w:szCs w:val="24"/>
        </w:rPr>
        <w:t xml:space="preserve">p </w:t>
      </w:r>
      <w:r w:rsidRPr="00D05EBD">
        <w:rPr>
          <w:sz w:val="24"/>
          <w:szCs w:val="24"/>
        </w:rPr>
        <w:t>= 0.06 was found with an effect estimated between -.02 and .63. The estimated marginal means suggest that actors in the high cognitive load condition (</w:t>
      </w:r>
      <w:r w:rsidRPr="00D05EBD">
        <w:rPr>
          <w:i/>
          <w:sz w:val="24"/>
          <w:szCs w:val="24"/>
        </w:rPr>
        <w:t xml:space="preserve">M </w:t>
      </w:r>
      <w:r w:rsidRPr="00D05EBD">
        <w:rPr>
          <w:sz w:val="24"/>
          <w:szCs w:val="24"/>
        </w:rPr>
        <w:t xml:space="preserve">= 2.64, </w:t>
      </w:r>
      <w:r w:rsidRPr="00D05EBD">
        <w:rPr>
          <w:i/>
          <w:sz w:val="24"/>
          <w:szCs w:val="24"/>
        </w:rPr>
        <w:t xml:space="preserve">SD </w:t>
      </w:r>
      <w:r w:rsidRPr="00D05EBD">
        <w:rPr>
          <w:sz w:val="24"/>
          <w:szCs w:val="24"/>
        </w:rPr>
        <w:t>= .19), reported exerting less effort to make their partners feel good in comparison with actors in the low cognitive load condition (</w:t>
      </w:r>
      <w:r w:rsidRPr="00D05EBD">
        <w:rPr>
          <w:i/>
          <w:sz w:val="24"/>
          <w:szCs w:val="24"/>
        </w:rPr>
        <w:t xml:space="preserve">M </w:t>
      </w:r>
      <w:r w:rsidRPr="00D05EBD">
        <w:rPr>
          <w:sz w:val="24"/>
          <w:szCs w:val="24"/>
        </w:rPr>
        <w:t xml:space="preserve">= 2.93, </w:t>
      </w:r>
      <w:r w:rsidRPr="00D05EBD">
        <w:rPr>
          <w:i/>
          <w:sz w:val="24"/>
          <w:szCs w:val="24"/>
        </w:rPr>
        <w:t xml:space="preserve">SD </w:t>
      </w:r>
      <w:r w:rsidRPr="00D05EBD">
        <w:rPr>
          <w:sz w:val="24"/>
          <w:szCs w:val="24"/>
        </w:rPr>
        <w:t xml:space="preserve">= .18). These results suggest that the condition participants belonged to may have affected the amount of effort they exerted in trying to make their dates feel good, making participants under cognitive load less likely to exert effort than participants under no cognitive load. It is unlikely that a reduction of effort to make the partner feel good had been caused by the actor using less IER strategies when he/she was in the high cognitive load condition, as the results in section VII.1 showed that the actor’s reports of use of </w:t>
      </w:r>
      <w:r w:rsidRPr="00D05EBD">
        <w:rPr>
          <w:sz w:val="24"/>
          <w:szCs w:val="24"/>
        </w:rPr>
        <w:lastRenderedPageBreak/>
        <w:t xml:space="preserve">IER (or awareness) in the control and experimental conditions did not significantly differ. Nevertheless, effort might have been affected by the actor’s levels of mental energy. Exerting effort requires attentional resources, which is why effortless processes require little or no attention, and attentional resources require energy to be carried out (Moors &amp; </w:t>
      </w:r>
      <w:proofErr w:type="spellStart"/>
      <w:r w:rsidRPr="00D05EBD">
        <w:rPr>
          <w:sz w:val="24"/>
          <w:szCs w:val="24"/>
        </w:rPr>
        <w:t>DeHouwer</w:t>
      </w:r>
      <w:proofErr w:type="spellEnd"/>
      <w:r w:rsidRPr="00D05EBD">
        <w:rPr>
          <w:sz w:val="24"/>
          <w:szCs w:val="24"/>
        </w:rPr>
        <w:t>, 2006). Thus, it is possible that the actor’s report on the effort their exerted in the high cognitive load condition may have been increased by low levels of mental energy or no energy at all. To investigate this, a mixed model analysis for the interaction between cognitive load and mental energy over the actors’ reported effort to make their partners feel good was conducted. It was found that the interaction between cognitive load and mental energy over the actor’s reported effort to make the partner feel good was significant for high cognitive load</w:t>
      </w:r>
      <w:r w:rsidRPr="00D05EBD">
        <w:rPr>
          <w:i/>
          <w:sz w:val="24"/>
          <w:szCs w:val="24"/>
        </w:rPr>
        <w:t xml:space="preserve"> t</w:t>
      </w:r>
      <w:r w:rsidRPr="00D05EBD">
        <w:rPr>
          <w:sz w:val="24"/>
          <w:szCs w:val="24"/>
        </w:rPr>
        <w:t xml:space="preserve">(135.03) = 3.53, </w:t>
      </w:r>
      <w:r w:rsidRPr="00D05EBD">
        <w:rPr>
          <w:i/>
          <w:sz w:val="24"/>
          <w:szCs w:val="24"/>
        </w:rPr>
        <w:t xml:space="preserve">p </w:t>
      </w:r>
      <w:r w:rsidRPr="00D05EBD">
        <w:rPr>
          <w:sz w:val="24"/>
          <w:szCs w:val="24"/>
        </w:rPr>
        <w:t xml:space="preserve">&lt; 0.01, with an effect estimated between .18 and .62, and for low cognitive load </w:t>
      </w:r>
      <w:r w:rsidRPr="00D05EBD">
        <w:rPr>
          <w:i/>
          <w:sz w:val="24"/>
          <w:szCs w:val="24"/>
        </w:rPr>
        <w:t>t</w:t>
      </w:r>
      <w:r w:rsidRPr="00D05EBD">
        <w:rPr>
          <w:sz w:val="24"/>
          <w:szCs w:val="24"/>
        </w:rPr>
        <w:t xml:space="preserve">(131.86) = 4.63, </w:t>
      </w:r>
      <w:r w:rsidRPr="00D05EBD">
        <w:rPr>
          <w:i/>
          <w:sz w:val="24"/>
          <w:szCs w:val="24"/>
        </w:rPr>
        <w:t xml:space="preserve">p </w:t>
      </w:r>
      <w:r w:rsidRPr="00D05EBD">
        <w:rPr>
          <w:sz w:val="24"/>
          <w:szCs w:val="24"/>
        </w:rPr>
        <w:t>&lt; 0.01, with an effect estimated between .25 and .62. Inspecting the mental energy means between participants in the experimental and control condition indicates that participants’ levels of mental energy were lower in the high cognitive load condition (</w:t>
      </w:r>
      <w:r w:rsidRPr="00D05EBD">
        <w:rPr>
          <w:i/>
          <w:sz w:val="24"/>
          <w:szCs w:val="24"/>
        </w:rPr>
        <w:t xml:space="preserve">M </w:t>
      </w:r>
      <w:r w:rsidRPr="00D05EBD">
        <w:rPr>
          <w:sz w:val="24"/>
          <w:szCs w:val="24"/>
        </w:rPr>
        <w:t xml:space="preserve">= 3.11, </w:t>
      </w:r>
      <w:r w:rsidRPr="00D05EBD">
        <w:rPr>
          <w:i/>
          <w:sz w:val="24"/>
          <w:szCs w:val="24"/>
        </w:rPr>
        <w:t xml:space="preserve">SD </w:t>
      </w:r>
      <w:r w:rsidRPr="00D05EBD">
        <w:rPr>
          <w:sz w:val="24"/>
          <w:szCs w:val="24"/>
        </w:rPr>
        <w:t>= .45), than in the in the low cognitive load condition (</w:t>
      </w:r>
      <w:r w:rsidRPr="00D05EBD">
        <w:rPr>
          <w:i/>
          <w:sz w:val="24"/>
          <w:szCs w:val="24"/>
        </w:rPr>
        <w:t xml:space="preserve">M </w:t>
      </w:r>
      <w:r w:rsidRPr="00D05EBD">
        <w:rPr>
          <w:sz w:val="24"/>
          <w:szCs w:val="24"/>
        </w:rPr>
        <w:t xml:space="preserve">= 3.53, </w:t>
      </w:r>
      <w:r w:rsidRPr="00D05EBD">
        <w:rPr>
          <w:i/>
          <w:sz w:val="24"/>
          <w:szCs w:val="24"/>
        </w:rPr>
        <w:t xml:space="preserve">SD </w:t>
      </w:r>
      <w:r w:rsidRPr="00D05EBD">
        <w:rPr>
          <w:sz w:val="24"/>
          <w:szCs w:val="24"/>
        </w:rPr>
        <w:t>= .67), which supports the idea that having little or no mental energy affects the actor’s report on their use of effort to make their partners feel good, increasing the actors report of use of little effort.</w:t>
      </w:r>
    </w:p>
    <w:p w:rsidR="00FB1389" w:rsidRPr="00D05EBD" w:rsidRDefault="00FB1389" w:rsidP="00AE640B">
      <w:pPr>
        <w:spacing w:line="480" w:lineRule="auto"/>
        <w:ind w:firstLine="360"/>
        <w:jc w:val="both"/>
        <w:rPr>
          <w:sz w:val="24"/>
          <w:szCs w:val="24"/>
        </w:rPr>
      </w:pPr>
      <w:r w:rsidRPr="00D05EBD">
        <w:rPr>
          <w:sz w:val="24"/>
          <w:szCs w:val="24"/>
        </w:rPr>
        <w:t xml:space="preserve">The results in the previous sections VII.1, VII.2 and VII.3 indicate that cognitive load somehow affected the participants’ effort exerted when trying to say or do something to make their dates feel good, as illustrated in Figure 5.1. It is worth noticing that these levels seem to have been exacerbated by the participant’s low levels of mental energy. Also, the actors’ report of using less effort in the high cognitive load condition (in </w:t>
      </w:r>
      <w:r w:rsidRPr="00D05EBD">
        <w:rPr>
          <w:sz w:val="24"/>
          <w:szCs w:val="24"/>
        </w:rPr>
        <w:lastRenderedPageBreak/>
        <w:t xml:space="preserve">comparison to the low cognitive load condition) is probably not caused by the participant using or intending to use less IER, as the reports on awareness to use and intention to use IER did not significantly differ between cognitive load conditions. These results partially confirm the first hypothesis of the present chapter in that being under high cognitive load affected the effort participants exerted to make their dates feel good. </w:t>
      </w:r>
    </w:p>
    <w:p w:rsidR="00FB1389" w:rsidRPr="00D05EBD" w:rsidRDefault="00FB1389" w:rsidP="00AE640B">
      <w:pPr>
        <w:spacing w:line="480" w:lineRule="auto"/>
        <w:jc w:val="both"/>
        <w:rPr>
          <w:sz w:val="24"/>
          <w:szCs w:val="24"/>
        </w:rPr>
      </w:pPr>
      <w:r w:rsidRPr="00D05EBD">
        <w:rPr>
          <w:noProof/>
          <w:sz w:val="24"/>
          <w:szCs w:val="24"/>
          <w:lang w:eastAsia="en-GB"/>
        </w:rPr>
        <w:drawing>
          <wp:inline distT="0" distB="0" distL="0" distR="0">
            <wp:extent cx="4572000" cy="2743200"/>
            <wp:effectExtent l="19050" t="0" r="19050" b="0"/>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B1389" w:rsidRPr="00D05EBD" w:rsidRDefault="00FB1389" w:rsidP="00AE640B">
      <w:pPr>
        <w:spacing w:line="480" w:lineRule="auto"/>
        <w:ind w:firstLine="720"/>
        <w:jc w:val="both"/>
        <w:rPr>
          <w:sz w:val="24"/>
          <w:szCs w:val="24"/>
        </w:rPr>
      </w:pPr>
    </w:p>
    <w:p w:rsidR="00FB1389" w:rsidRPr="00D05EBD" w:rsidRDefault="00975811" w:rsidP="00AE640B">
      <w:pPr>
        <w:spacing w:line="480" w:lineRule="auto"/>
        <w:ind w:firstLine="720"/>
        <w:jc w:val="both"/>
        <w:rPr>
          <w:sz w:val="24"/>
          <w:szCs w:val="24"/>
        </w:rPr>
      </w:pPr>
      <w:r>
        <w:rPr>
          <w:b/>
          <w:sz w:val="24"/>
          <w:szCs w:val="24"/>
        </w:rPr>
        <w:t>VII</w:t>
      </w:r>
      <w:r w:rsidR="00FB1389" w:rsidRPr="00D05EBD">
        <w:rPr>
          <w:b/>
          <w:sz w:val="24"/>
          <w:szCs w:val="24"/>
        </w:rPr>
        <w:t xml:space="preserve">) Did depletion of IER resources, emotional exhaustion and negative affect make participants under high cognitive load more likely to use AIER? </w:t>
      </w:r>
      <w:r w:rsidR="00FB1389" w:rsidRPr="00D05EBD">
        <w:rPr>
          <w:sz w:val="24"/>
          <w:szCs w:val="24"/>
        </w:rPr>
        <w:t xml:space="preserve">As mentioned previously in the chapter, there are factors that may affect people’s use of AIER, such as being depleted of self-regulatory resources, being emotionally exhausted or being in a negative affective state (e.g. being sad or angry). In the present section it was investigated whether these factors could have interacted with the cognitive load condition participants were assigned to, making participants under high cognitive load more vulnerable to use AIER in comparison with participants under low cognitive load. </w:t>
      </w:r>
      <w:r w:rsidR="00FB1389" w:rsidRPr="00D05EBD">
        <w:rPr>
          <w:sz w:val="24"/>
          <w:szCs w:val="24"/>
        </w:rPr>
        <w:lastRenderedPageBreak/>
        <w:t>The present section will start by at looking at the interaction between regulatory depletion (depletion of IER resources) and cognitive load over automaticity. Self-regulatory depletion will be explored by looking at the participants’ reports of awareness, intention and effort when using IER as their dates progressed. It is possible that consecutive attempts at regulating someone else’s emotions (i.e. participants trying to make their dates feel good date after date) could have had depleted participants of their IER resources making them even more vulnerable to use AIER when under high cognitive load (as reflected by the participant lower levels of awareness, intention and effort to use IER), compared to participants under low cognitive load. After, it will be explored whether participants who report being highly emotionally exhausted and also under high cognitive load are more likely to engage in AIER. Lastly, this section will explore the interaction between being in a negative affective state and being under high cognitive load over the participants’ use of AIER to make their dates feel good.  As in the previous analyses, the cases where the actors were engaged in the cognitive load task were selected.</w:t>
      </w:r>
    </w:p>
    <w:p w:rsidR="00FB1389" w:rsidRPr="00D05EBD" w:rsidRDefault="00975811" w:rsidP="00AE640B">
      <w:pPr>
        <w:spacing w:line="480" w:lineRule="auto"/>
        <w:ind w:firstLine="720"/>
        <w:jc w:val="both"/>
        <w:rPr>
          <w:i/>
          <w:sz w:val="24"/>
          <w:szCs w:val="24"/>
        </w:rPr>
      </w:pPr>
      <w:r>
        <w:rPr>
          <w:i/>
          <w:sz w:val="24"/>
          <w:szCs w:val="24"/>
        </w:rPr>
        <w:t>VII</w:t>
      </w:r>
      <w:r w:rsidR="00FB1389" w:rsidRPr="00D05EBD">
        <w:rPr>
          <w:i/>
          <w:sz w:val="24"/>
          <w:szCs w:val="24"/>
        </w:rPr>
        <w:t>.1 Regulatory depletion (number of date and cognitive load).</w:t>
      </w:r>
    </w:p>
    <w:p w:rsidR="00FB1389" w:rsidRPr="00D05EBD" w:rsidRDefault="00FB1389" w:rsidP="00AE640B">
      <w:pPr>
        <w:spacing w:line="480" w:lineRule="auto"/>
        <w:ind w:firstLine="720"/>
        <w:jc w:val="both"/>
        <w:rPr>
          <w:sz w:val="24"/>
          <w:szCs w:val="24"/>
        </w:rPr>
      </w:pPr>
      <w:r w:rsidRPr="00D05EBD">
        <w:rPr>
          <w:sz w:val="24"/>
          <w:szCs w:val="24"/>
        </w:rPr>
        <w:t>A first mixed model analysis explored the interaction between the number of date (1, 2, 3, 4, 5 and 6) and the condition (high cognitive load, low cognitive load) the participant belonged to, over the participants’ reports on their awareness of using IER to make their dates feel good. The interaction effect between cognitive load and number of date over the actor’s awareness of using IER to make the partner feel good was significant for date 1</w:t>
      </w:r>
      <w:r w:rsidRPr="00D05EBD">
        <w:rPr>
          <w:i/>
          <w:sz w:val="24"/>
          <w:szCs w:val="24"/>
        </w:rPr>
        <w:t xml:space="preserve"> t</w:t>
      </w:r>
      <w:r w:rsidRPr="00D05EBD">
        <w:rPr>
          <w:sz w:val="24"/>
          <w:szCs w:val="24"/>
        </w:rPr>
        <w:t xml:space="preserve">(167.1) = -2.98, </w:t>
      </w:r>
      <w:r w:rsidRPr="00D05EBD">
        <w:rPr>
          <w:i/>
          <w:sz w:val="24"/>
          <w:szCs w:val="24"/>
        </w:rPr>
        <w:t xml:space="preserve">p </w:t>
      </w:r>
      <w:r w:rsidRPr="00D05EBD">
        <w:rPr>
          <w:sz w:val="24"/>
          <w:szCs w:val="24"/>
        </w:rPr>
        <w:t xml:space="preserve">&lt; 0.01, with an effect estimated between -1.50 and -.30; non-significant for date 2 </w:t>
      </w:r>
      <w:r w:rsidRPr="00D05EBD">
        <w:rPr>
          <w:i/>
          <w:sz w:val="24"/>
          <w:szCs w:val="24"/>
        </w:rPr>
        <w:t>t</w:t>
      </w:r>
      <w:r w:rsidRPr="00D05EBD">
        <w:rPr>
          <w:sz w:val="24"/>
          <w:szCs w:val="24"/>
        </w:rPr>
        <w:t xml:space="preserve">(156.50) = -1.67, </w:t>
      </w:r>
      <w:r w:rsidRPr="00D05EBD">
        <w:rPr>
          <w:i/>
          <w:sz w:val="24"/>
          <w:szCs w:val="24"/>
        </w:rPr>
        <w:t xml:space="preserve">p </w:t>
      </w:r>
      <w:r w:rsidRPr="00D05EBD">
        <w:rPr>
          <w:sz w:val="24"/>
          <w:szCs w:val="24"/>
        </w:rPr>
        <w:t xml:space="preserve">= 0.1, with an effect estimated </w:t>
      </w:r>
      <w:r w:rsidRPr="00D05EBD">
        <w:rPr>
          <w:sz w:val="24"/>
          <w:szCs w:val="24"/>
        </w:rPr>
        <w:lastRenderedPageBreak/>
        <w:t xml:space="preserve">between -1.16 and .1; marginally significant for date 3 </w:t>
      </w:r>
      <w:r w:rsidRPr="00D05EBD">
        <w:rPr>
          <w:i/>
          <w:sz w:val="24"/>
          <w:szCs w:val="24"/>
        </w:rPr>
        <w:t>t</w:t>
      </w:r>
      <w:r w:rsidRPr="00D05EBD">
        <w:rPr>
          <w:sz w:val="24"/>
          <w:szCs w:val="24"/>
        </w:rPr>
        <w:t xml:space="preserve">(160.33) = -1.91, </w:t>
      </w:r>
      <w:r w:rsidRPr="00D05EBD">
        <w:rPr>
          <w:i/>
          <w:sz w:val="24"/>
          <w:szCs w:val="24"/>
        </w:rPr>
        <w:t xml:space="preserve">p </w:t>
      </w:r>
      <w:r w:rsidRPr="00D05EBD">
        <w:rPr>
          <w:sz w:val="24"/>
          <w:szCs w:val="24"/>
        </w:rPr>
        <w:t xml:space="preserve">= 0.06, with an effect estimated between -1.27 and .02; non-significant for date 4 </w:t>
      </w:r>
      <w:r w:rsidRPr="00D05EBD">
        <w:rPr>
          <w:i/>
          <w:sz w:val="24"/>
          <w:szCs w:val="24"/>
        </w:rPr>
        <w:t>t</w:t>
      </w:r>
      <w:r w:rsidRPr="00D05EBD">
        <w:rPr>
          <w:sz w:val="24"/>
          <w:szCs w:val="24"/>
        </w:rPr>
        <w:t xml:space="preserve">(173.95) = -1.40, </w:t>
      </w:r>
      <w:r w:rsidRPr="00D05EBD">
        <w:rPr>
          <w:i/>
          <w:sz w:val="24"/>
          <w:szCs w:val="24"/>
        </w:rPr>
        <w:t xml:space="preserve">p </w:t>
      </w:r>
      <w:r w:rsidRPr="00D05EBD">
        <w:rPr>
          <w:sz w:val="24"/>
          <w:szCs w:val="24"/>
        </w:rPr>
        <w:t xml:space="preserve">= 0.16, with an effect estimated between -1.05 and .18 and; significant for date 5 </w:t>
      </w:r>
      <w:r w:rsidRPr="00D05EBD">
        <w:rPr>
          <w:i/>
          <w:sz w:val="24"/>
          <w:szCs w:val="24"/>
        </w:rPr>
        <w:t>t</w:t>
      </w:r>
      <w:r w:rsidRPr="00D05EBD">
        <w:rPr>
          <w:sz w:val="24"/>
          <w:szCs w:val="24"/>
        </w:rPr>
        <w:t xml:space="preserve">(161.97) = -2.20, </w:t>
      </w:r>
      <w:r w:rsidRPr="00D05EBD">
        <w:rPr>
          <w:i/>
          <w:sz w:val="24"/>
          <w:szCs w:val="24"/>
        </w:rPr>
        <w:t xml:space="preserve">p </w:t>
      </w:r>
      <w:r w:rsidRPr="00D05EBD">
        <w:rPr>
          <w:sz w:val="24"/>
          <w:szCs w:val="24"/>
        </w:rPr>
        <w:t xml:space="preserve">&lt; 0.05 with an effect estimated between -1.34 and -0.7. As illustrated in Figure 5.2, it seems that the participants’ awareness of using IER was irregular throughout their dates and declined on their last date in the high cognitive load condition while it was more stable throughout their dates and showed an increment in the low cognitive load condition. </w:t>
      </w:r>
      <w:r w:rsidRPr="00D05EBD">
        <w:rPr>
          <w:noProof/>
          <w:sz w:val="24"/>
          <w:szCs w:val="24"/>
          <w:lang w:eastAsia="en-GB"/>
        </w:rPr>
        <w:drawing>
          <wp:inline distT="0" distB="0" distL="0" distR="0">
            <wp:extent cx="4572000" cy="2743200"/>
            <wp:effectExtent l="19050" t="0" r="19050" b="0"/>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B1389" w:rsidRPr="00D05EBD" w:rsidRDefault="00FB1389" w:rsidP="00AE640B">
      <w:pPr>
        <w:spacing w:line="480" w:lineRule="auto"/>
        <w:ind w:firstLine="720"/>
        <w:jc w:val="both"/>
        <w:rPr>
          <w:sz w:val="24"/>
          <w:szCs w:val="24"/>
        </w:rPr>
      </w:pPr>
      <w:r w:rsidRPr="00D05EBD">
        <w:rPr>
          <w:sz w:val="24"/>
          <w:szCs w:val="24"/>
        </w:rPr>
        <w:t xml:space="preserve">The previous results suggest that participants in the high cognitive load condition reported less awareness in using IER to make their partners feel good on their last date. To rule out that this did not happen merely because the actors used less IER the more dates they had, the perception of the partner over the actor’s use of IER to make him/her feel good was examined (i.e. </w:t>
      </w:r>
      <w:r w:rsidRPr="00D05EBD">
        <w:rPr>
          <w:i/>
          <w:sz w:val="24"/>
          <w:szCs w:val="24"/>
        </w:rPr>
        <w:t>my date did or said something nice to try to make me feel good</w:t>
      </w:r>
      <w:r w:rsidRPr="00D05EBD">
        <w:rPr>
          <w:sz w:val="24"/>
          <w:szCs w:val="24"/>
        </w:rPr>
        <w:t xml:space="preserve">) as the dates progressed as well. To do this a General Linear Mixed Model (GLMM) was conducted to look at the interaction effect between cognitive load (high and low) and number of date (1, 2, 3, 4, 5, 6) over the partner’s perception of the actor </w:t>
      </w:r>
      <w:r w:rsidRPr="00D05EBD">
        <w:rPr>
          <w:sz w:val="24"/>
          <w:szCs w:val="24"/>
        </w:rPr>
        <w:lastRenderedPageBreak/>
        <w:t xml:space="preserve">using IER to make the partner feel good. A GLMM was used in this case instead of a mixed model because the perception of the partner is a dichotomous variable (partner perceived actor used IER, or partner did not perceived actor used IER). For this analysis the cases where the partner was engaged in the cognitive task (i.e. remembered more than 4 digits of the number he/she was given to memorise) were selected. No significant interaction effect between condition and number of date over the partner’s perception of the actor using IER was found, </w:t>
      </w:r>
      <w:r w:rsidRPr="00D05EBD">
        <w:rPr>
          <w:i/>
          <w:sz w:val="24"/>
          <w:szCs w:val="24"/>
        </w:rPr>
        <w:t>F</w:t>
      </w:r>
      <w:r w:rsidRPr="00D05EBD">
        <w:rPr>
          <w:sz w:val="24"/>
          <w:szCs w:val="24"/>
        </w:rPr>
        <w:t xml:space="preserve">(11, 137) = 0.88, </w:t>
      </w:r>
      <w:r w:rsidRPr="00D05EBD">
        <w:rPr>
          <w:i/>
          <w:sz w:val="24"/>
          <w:szCs w:val="24"/>
        </w:rPr>
        <w:t xml:space="preserve">p </w:t>
      </w:r>
      <w:r w:rsidRPr="00D05EBD">
        <w:rPr>
          <w:sz w:val="24"/>
          <w:szCs w:val="24"/>
        </w:rPr>
        <w:t>&gt; 0.05</w:t>
      </w:r>
      <w:r w:rsidRPr="00973AEB">
        <w:rPr>
          <w:rStyle w:val="Refdenotaalpie"/>
        </w:rPr>
        <w:footnoteReference w:id="54"/>
      </w:r>
      <w:r w:rsidRPr="00D05EBD">
        <w:rPr>
          <w:sz w:val="24"/>
          <w:szCs w:val="24"/>
        </w:rPr>
        <w:t>. Thus, it seems that the interaction between being under high cognitive load and the progression of dates affected the actors’ awareness of using IER rather than their actual use of IER, as the GLMM shows that the partners did not vary in their perception of the actors trying to make them feel good when actors were under high cognitive load or had taken part in more  dates.</w:t>
      </w:r>
    </w:p>
    <w:p w:rsidR="00FB1389" w:rsidRPr="00D05EBD" w:rsidRDefault="00FB1389" w:rsidP="00AE640B">
      <w:pPr>
        <w:spacing w:line="480" w:lineRule="auto"/>
        <w:ind w:firstLine="720"/>
        <w:jc w:val="both"/>
        <w:rPr>
          <w:sz w:val="24"/>
          <w:szCs w:val="24"/>
        </w:rPr>
      </w:pPr>
      <w:r w:rsidRPr="00D05EBD">
        <w:rPr>
          <w:sz w:val="24"/>
          <w:szCs w:val="24"/>
        </w:rPr>
        <w:t>The second mixed model analysis explored the interaction between the number of date (1, 2, 3, 4, 5 and 6) and the condition (high cognitive load, low cognitive load) the participant belonged to, on the participants’ reports of their intention to use IER to make their dates feel good. The interaction effect between cognitive load and number of date over the participant’s intention to use IER to make the partner feel good was significant for date 1</w:t>
      </w:r>
      <w:r w:rsidRPr="00D05EBD">
        <w:rPr>
          <w:i/>
          <w:sz w:val="24"/>
          <w:szCs w:val="24"/>
        </w:rPr>
        <w:t xml:space="preserve"> t</w:t>
      </w:r>
      <w:r w:rsidRPr="00D05EBD">
        <w:rPr>
          <w:sz w:val="24"/>
          <w:szCs w:val="24"/>
        </w:rPr>
        <w:t xml:space="preserve">(93.24) = -2.59, </w:t>
      </w:r>
      <w:r w:rsidRPr="00D05EBD">
        <w:rPr>
          <w:i/>
          <w:sz w:val="24"/>
          <w:szCs w:val="24"/>
        </w:rPr>
        <w:t xml:space="preserve">p </w:t>
      </w:r>
      <w:r w:rsidRPr="00D05EBD">
        <w:rPr>
          <w:sz w:val="24"/>
          <w:szCs w:val="24"/>
        </w:rPr>
        <w:t xml:space="preserve">&lt; 0.05, with an effect estimated between -1.67 and -.22; significant for date 2 </w:t>
      </w:r>
      <w:r w:rsidRPr="00D05EBD">
        <w:rPr>
          <w:i/>
          <w:sz w:val="24"/>
          <w:szCs w:val="24"/>
        </w:rPr>
        <w:t>t</w:t>
      </w:r>
      <w:r w:rsidRPr="00D05EBD">
        <w:rPr>
          <w:sz w:val="24"/>
          <w:szCs w:val="24"/>
        </w:rPr>
        <w:t xml:space="preserve">(90.79) = -2.27, </w:t>
      </w:r>
      <w:r w:rsidRPr="00D05EBD">
        <w:rPr>
          <w:i/>
          <w:sz w:val="24"/>
          <w:szCs w:val="24"/>
        </w:rPr>
        <w:t xml:space="preserve">p </w:t>
      </w:r>
      <w:r w:rsidRPr="00D05EBD">
        <w:rPr>
          <w:sz w:val="24"/>
          <w:szCs w:val="24"/>
        </w:rPr>
        <w:t xml:space="preserve">&lt; 0.05, with an effect estimated between -1.61 and -.11; significant for date 3 </w:t>
      </w:r>
      <w:r w:rsidRPr="00D05EBD">
        <w:rPr>
          <w:i/>
          <w:sz w:val="24"/>
          <w:szCs w:val="24"/>
        </w:rPr>
        <w:t>t</w:t>
      </w:r>
      <w:r w:rsidRPr="00D05EBD">
        <w:rPr>
          <w:sz w:val="24"/>
          <w:szCs w:val="24"/>
        </w:rPr>
        <w:t xml:space="preserve">(91.87) = -2.70, </w:t>
      </w:r>
      <w:r w:rsidRPr="00D05EBD">
        <w:rPr>
          <w:i/>
          <w:sz w:val="24"/>
          <w:szCs w:val="24"/>
        </w:rPr>
        <w:t xml:space="preserve">p </w:t>
      </w:r>
      <w:r w:rsidRPr="00D05EBD">
        <w:rPr>
          <w:sz w:val="24"/>
          <w:szCs w:val="24"/>
        </w:rPr>
        <w:t xml:space="preserve">&lt; 0.01, with an effect estimated between -1.78 and -.27; non-significant for date 4 </w:t>
      </w:r>
      <w:r w:rsidRPr="00D05EBD">
        <w:rPr>
          <w:i/>
          <w:sz w:val="24"/>
          <w:szCs w:val="24"/>
        </w:rPr>
        <w:t>t</w:t>
      </w:r>
      <w:r w:rsidRPr="00D05EBD">
        <w:rPr>
          <w:sz w:val="24"/>
          <w:szCs w:val="24"/>
        </w:rPr>
        <w:t xml:space="preserve">(95.99) = -1.37, </w:t>
      </w:r>
      <w:r w:rsidRPr="00D05EBD">
        <w:rPr>
          <w:i/>
          <w:sz w:val="24"/>
          <w:szCs w:val="24"/>
        </w:rPr>
        <w:t xml:space="preserve">p </w:t>
      </w:r>
      <w:r w:rsidRPr="00D05EBD">
        <w:rPr>
          <w:sz w:val="24"/>
          <w:szCs w:val="24"/>
        </w:rPr>
        <w:t xml:space="preserve">= 0.18, </w:t>
      </w:r>
      <w:r w:rsidRPr="00D05EBD">
        <w:rPr>
          <w:sz w:val="24"/>
          <w:szCs w:val="24"/>
        </w:rPr>
        <w:lastRenderedPageBreak/>
        <w:t xml:space="preserve">with an effect estimated between -1.25 and .23 and; non-significant for date 5 </w:t>
      </w:r>
      <w:r w:rsidRPr="00D05EBD">
        <w:rPr>
          <w:i/>
          <w:sz w:val="24"/>
          <w:szCs w:val="24"/>
        </w:rPr>
        <w:t>t</w:t>
      </w:r>
      <w:r w:rsidRPr="00D05EBD">
        <w:rPr>
          <w:sz w:val="24"/>
          <w:szCs w:val="24"/>
        </w:rPr>
        <w:t xml:space="preserve">(88.57) = -1.14, </w:t>
      </w:r>
      <w:r w:rsidRPr="00D05EBD">
        <w:rPr>
          <w:i/>
          <w:sz w:val="24"/>
          <w:szCs w:val="24"/>
        </w:rPr>
        <w:t xml:space="preserve">p </w:t>
      </w:r>
      <w:r w:rsidRPr="00D05EBD">
        <w:rPr>
          <w:sz w:val="24"/>
          <w:szCs w:val="24"/>
        </w:rPr>
        <w:t>= 0.26 with an effect estimated between -1.20 and 0.33. Figure 5.3 shows a trend of participants having less intent to make their partners feel good as their dates progress, in comparison with participants in the low cognitive load condition.</w:t>
      </w:r>
    </w:p>
    <w:p w:rsidR="00FB1389" w:rsidRPr="00D05EBD" w:rsidRDefault="00FB1389" w:rsidP="00AE640B">
      <w:pPr>
        <w:spacing w:line="480" w:lineRule="auto"/>
        <w:jc w:val="both"/>
        <w:rPr>
          <w:sz w:val="24"/>
          <w:szCs w:val="24"/>
        </w:rPr>
      </w:pPr>
      <w:r w:rsidRPr="00D05EBD">
        <w:rPr>
          <w:noProof/>
          <w:sz w:val="24"/>
          <w:szCs w:val="24"/>
          <w:lang w:eastAsia="en-GB"/>
        </w:rPr>
        <w:drawing>
          <wp:inline distT="0" distB="0" distL="0" distR="0">
            <wp:extent cx="4572000" cy="2743200"/>
            <wp:effectExtent l="19050" t="0" r="19050" b="0"/>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B1389" w:rsidRPr="00D05EBD" w:rsidRDefault="00FB1389" w:rsidP="00AE640B">
      <w:pPr>
        <w:spacing w:line="480" w:lineRule="auto"/>
        <w:ind w:firstLine="720"/>
        <w:jc w:val="both"/>
        <w:rPr>
          <w:sz w:val="24"/>
          <w:szCs w:val="24"/>
        </w:rPr>
      </w:pPr>
      <w:r w:rsidRPr="00D05EBD">
        <w:rPr>
          <w:sz w:val="24"/>
          <w:szCs w:val="24"/>
        </w:rPr>
        <w:t>The third mixed model analysis explored the interaction between the number of date (1, 2, 3, 4, 5 and 6) and the condition (high cognitive load, low cognitive load) the participant belonged to, on the participants’ report of the effort they exerted to use IER to make their dates feel good. The interaction effect between cognitive load and number of date over the participant’s exerted effort to use IER to make the partner feel good was non-significant for all of the dates: date 1</w:t>
      </w:r>
      <w:r w:rsidRPr="00D05EBD">
        <w:rPr>
          <w:i/>
          <w:sz w:val="24"/>
          <w:szCs w:val="24"/>
        </w:rPr>
        <w:t xml:space="preserve"> t</w:t>
      </w:r>
      <w:r w:rsidRPr="00D05EBD">
        <w:rPr>
          <w:sz w:val="24"/>
          <w:szCs w:val="24"/>
        </w:rPr>
        <w:t xml:space="preserve">(111.90) = -1.07, </w:t>
      </w:r>
      <w:r w:rsidRPr="00D05EBD">
        <w:rPr>
          <w:i/>
          <w:sz w:val="24"/>
          <w:szCs w:val="24"/>
        </w:rPr>
        <w:t xml:space="preserve">p </w:t>
      </w:r>
      <w:r w:rsidRPr="00D05EBD">
        <w:rPr>
          <w:sz w:val="24"/>
          <w:szCs w:val="24"/>
        </w:rPr>
        <w:t xml:space="preserve">= 0.29, with an effect estimated between -1.32 and .40; date 2 </w:t>
      </w:r>
      <w:r w:rsidRPr="00D05EBD">
        <w:rPr>
          <w:i/>
          <w:sz w:val="24"/>
          <w:szCs w:val="24"/>
        </w:rPr>
        <w:t>t</w:t>
      </w:r>
      <w:r w:rsidRPr="00D05EBD">
        <w:rPr>
          <w:sz w:val="24"/>
          <w:szCs w:val="24"/>
        </w:rPr>
        <w:t xml:space="preserve">(114.62) = -1.09, </w:t>
      </w:r>
      <w:r w:rsidRPr="00D05EBD">
        <w:rPr>
          <w:i/>
          <w:sz w:val="24"/>
          <w:szCs w:val="24"/>
        </w:rPr>
        <w:t xml:space="preserve">p </w:t>
      </w:r>
      <w:r w:rsidRPr="00D05EBD">
        <w:rPr>
          <w:sz w:val="24"/>
          <w:szCs w:val="24"/>
        </w:rPr>
        <w:t xml:space="preserve">= 0.28, with an effect estimated between -1.38 and .40; date 3 </w:t>
      </w:r>
      <w:r w:rsidRPr="00D05EBD">
        <w:rPr>
          <w:i/>
          <w:sz w:val="24"/>
          <w:szCs w:val="24"/>
        </w:rPr>
        <w:t>t</w:t>
      </w:r>
      <w:r w:rsidRPr="00D05EBD">
        <w:rPr>
          <w:sz w:val="24"/>
          <w:szCs w:val="24"/>
        </w:rPr>
        <w:t xml:space="preserve">(115.86) = -.92, </w:t>
      </w:r>
      <w:r w:rsidRPr="00D05EBD">
        <w:rPr>
          <w:i/>
          <w:sz w:val="24"/>
          <w:szCs w:val="24"/>
        </w:rPr>
        <w:t xml:space="preserve">p </w:t>
      </w:r>
      <w:r w:rsidRPr="00D05EBD">
        <w:rPr>
          <w:sz w:val="24"/>
          <w:szCs w:val="24"/>
        </w:rPr>
        <w:t xml:space="preserve">= 0.36, with an effect estimated between -1.31 and .48; date 4 </w:t>
      </w:r>
      <w:r w:rsidRPr="00D05EBD">
        <w:rPr>
          <w:i/>
          <w:sz w:val="24"/>
          <w:szCs w:val="24"/>
        </w:rPr>
        <w:t>t</w:t>
      </w:r>
      <w:r w:rsidRPr="00D05EBD">
        <w:rPr>
          <w:sz w:val="24"/>
          <w:szCs w:val="24"/>
        </w:rPr>
        <w:t xml:space="preserve">(114.90) = -.68, </w:t>
      </w:r>
      <w:r w:rsidRPr="00D05EBD">
        <w:rPr>
          <w:i/>
          <w:sz w:val="24"/>
          <w:szCs w:val="24"/>
        </w:rPr>
        <w:t xml:space="preserve">p </w:t>
      </w:r>
      <w:r w:rsidRPr="00D05EBD">
        <w:rPr>
          <w:sz w:val="24"/>
          <w:szCs w:val="24"/>
        </w:rPr>
        <w:t xml:space="preserve">= 0.50, with an effect estimated between -1.17 and .57 and; date 5 </w:t>
      </w:r>
      <w:r w:rsidRPr="00D05EBD">
        <w:rPr>
          <w:i/>
          <w:sz w:val="24"/>
          <w:szCs w:val="24"/>
        </w:rPr>
        <w:t>t</w:t>
      </w:r>
      <w:r w:rsidRPr="00D05EBD">
        <w:rPr>
          <w:sz w:val="24"/>
          <w:szCs w:val="24"/>
        </w:rPr>
        <w:t xml:space="preserve">(108.54) = -.70, </w:t>
      </w:r>
      <w:r w:rsidRPr="00D05EBD">
        <w:rPr>
          <w:i/>
          <w:sz w:val="24"/>
          <w:szCs w:val="24"/>
        </w:rPr>
        <w:t xml:space="preserve">p </w:t>
      </w:r>
      <w:r w:rsidRPr="00D05EBD">
        <w:rPr>
          <w:sz w:val="24"/>
          <w:szCs w:val="24"/>
        </w:rPr>
        <w:t xml:space="preserve">= 0.49 with an effect estimated between -1.24 and 0.59. As can be seen in Figure 5.4 there was no difference </w:t>
      </w:r>
      <w:r w:rsidRPr="00D05EBD">
        <w:rPr>
          <w:sz w:val="24"/>
          <w:szCs w:val="24"/>
        </w:rPr>
        <w:lastRenderedPageBreak/>
        <w:t xml:space="preserve">in how the date progression affected participants’ effort to make their dates feel good between cognitive load conditions. As mentioned in the results section VII.3, what seems to have affected the effort participants exerted was the cognitive load condition they belonged to, with participants in the high cognitive load condition reporting less effort than participants in the low cognitive load condition. </w:t>
      </w:r>
    </w:p>
    <w:p w:rsidR="00FB1389" w:rsidRPr="00D05EBD" w:rsidRDefault="00FB1389" w:rsidP="00AE640B">
      <w:pPr>
        <w:spacing w:line="480" w:lineRule="auto"/>
        <w:ind w:firstLine="720"/>
        <w:jc w:val="both"/>
        <w:rPr>
          <w:sz w:val="24"/>
          <w:szCs w:val="24"/>
        </w:rPr>
      </w:pPr>
      <w:r w:rsidRPr="00D05EBD">
        <w:rPr>
          <w:noProof/>
          <w:sz w:val="24"/>
          <w:szCs w:val="24"/>
          <w:lang w:eastAsia="en-GB"/>
        </w:rPr>
        <w:drawing>
          <wp:inline distT="0" distB="0" distL="0" distR="0">
            <wp:extent cx="4572000" cy="2743200"/>
            <wp:effectExtent l="19050" t="0" r="19050" b="0"/>
            <wp:docPr id="1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B1389" w:rsidRPr="00D05EBD" w:rsidRDefault="00FB1389" w:rsidP="00AE640B">
      <w:pPr>
        <w:spacing w:line="480" w:lineRule="auto"/>
        <w:ind w:firstLine="720"/>
        <w:jc w:val="both"/>
        <w:rPr>
          <w:sz w:val="24"/>
          <w:szCs w:val="24"/>
        </w:rPr>
      </w:pPr>
      <w:r w:rsidRPr="00D05EBD">
        <w:rPr>
          <w:sz w:val="24"/>
          <w:szCs w:val="24"/>
        </w:rPr>
        <w:t>This section’s results partially support the second hypothesis of the present chapter, in that it seems that the participants’ levels of self-reported awareness and intention to use IER to make their partner feel good were affected by the participants being under high cognitive load when they had taken part in more dates.</w:t>
      </w:r>
    </w:p>
    <w:p w:rsidR="00FB1389" w:rsidRPr="00D05EBD" w:rsidRDefault="00975811" w:rsidP="00AE640B">
      <w:pPr>
        <w:spacing w:line="480" w:lineRule="auto"/>
        <w:ind w:firstLine="720"/>
        <w:jc w:val="both"/>
        <w:rPr>
          <w:i/>
          <w:sz w:val="24"/>
          <w:szCs w:val="24"/>
        </w:rPr>
      </w:pPr>
      <w:r>
        <w:rPr>
          <w:i/>
          <w:sz w:val="24"/>
          <w:szCs w:val="24"/>
        </w:rPr>
        <w:t>VI</w:t>
      </w:r>
      <w:r w:rsidR="00FB1389" w:rsidRPr="00D05EBD">
        <w:rPr>
          <w:i/>
          <w:sz w:val="24"/>
          <w:szCs w:val="24"/>
        </w:rPr>
        <w:t xml:space="preserve">I.2 Emotional exhaustion and negative </w:t>
      </w:r>
      <w:proofErr w:type="spellStart"/>
      <w:r w:rsidR="00FB1389" w:rsidRPr="00D05EBD">
        <w:rPr>
          <w:i/>
          <w:sz w:val="24"/>
          <w:szCs w:val="24"/>
        </w:rPr>
        <w:t>affect</w:t>
      </w:r>
      <w:proofErr w:type="spellEnd"/>
      <w:r w:rsidR="00FB1389" w:rsidRPr="00D05EBD">
        <w:rPr>
          <w:i/>
          <w:sz w:val="24"/>
          <w:szCs w:val="24"/>
        </w:rPr>
        <w:t>, and cognitive load.</w:t>
      </w:r>
    </w:p>
    <w:p w:rsidR="00FB1389" w:rsidRDefault="00FB1389" w:rsidP="00AE640B">
      <w:pPr>
        <w:spacing w:line="480" w:lineRule="auto"/>
        <w:ind w:firstLine="720"/>
        <w:jc w:val="both"/>
        <w:rPr>
          <w:sz w:val="24"/>
          <w:szCs w:val="24"/>
        </w:rPr>
      </w:pPr>
      <w:r w:rsidRPr="00D05EBD">
        <w:rPr>
          <w:sz w:val="24"/>
          <w:szCs w:val="24"/>
        </w:rPr>
        <w:t xml:space="preserve">Previously in the chapter, it was mentioned that when people are self-depleted they are more likely to experience negative affect and emotional exhaustion and that, consequently, they may be more likely to use AIER under high cognitive load. The first step in investigating this idea involved examining whether emotional exhaustion </w:t>
      </w:r>
      <w:r w:rsidRPr="00D05EBD">
        <w:rPr>
          <w:sz w:val="24"/>
          <w:szCs w:val="24"/>
        </w:rPr>
        <w:lastRenderedPageBreak/>
        <w:t>increased and affect</w:t>
      </w:r>
      <w:r w:rsidRPr="00973AEB">
        <w:rPr>
          <w:rStyle w:val="Refdenotaalpie"/>
        </w:rPr>
        <w:footnoteReference w:id="55"/>
      </w:r>
      <w:r w:rsidRPr="00D05EBD">
        <w:rPr>
          <w:sz w:val="24"/>
          <w:szCs w:val="24"/>
        </w:rPr>
        <w:t xml:space="preserve"> decreased the more dates participants had and whether these changes could be associated with being under high cognitive load. To do this, two separate regression analysis were conducted for the relationship between cognitive load (high cognitive load and low cognitive load) and number of date (1, 2, 3, 4, 5, and 6) over the participant’s reported emotional exhaustion and negative affect respectively.  As illustrated in Tables </w:t>
      </w:r>
      <w:r w:rsidR="008817E4">
        <w:rPr>
          <w:sz w:val="24"/>
          <w:szCs w:val="24"/>
        </w:rPr>
        <w:t>V.5</w:t>
      </w:r>
      <w:r w:rsidRPr="00D05EBD">
        <w:rPr>
          <w:sz w:val="24"/>
          <w:szCs w:val="24"/>
        </w:rPr>
        <w:t xml:space="preserve"> and </w:t>
      </w:r>
      <w:r w:rsidR="008817E4">
        <w:rPr>
          <w:sz w:val="24"/>
          <w:szCs w:val="24"/>
        </w:rPr>
        <w:t>V</w:t>
      </w:r>
      <w:r w:rsidRPr="00D05EBD">
        <w:rPr>
          <w:sz w:val="24"/>
          <w:szCs w:val="24"/>
        </w:rPr>
        <w:t>.</w:t>
      </w:r>
      <w:r w:rsidR="008817E4">
        <w:rPr>
          <w:sz w:val="24"/>
          <w:szCs w:val="24"/>
        </w:rPr>
        <w:t>6</w:t>
      </w:r>
      <w:r w:rsidRPr="00D05EBD">
        <w:rPr>
          <w:sz w:val="24"/>
          <w:szCs w:val="24"/>
        </w:rPr>
        <w:t xml:space="preserve">, the number of date did not affect the participants’ emotional exhaustion nor affect. Nevertheless, cognitive load affected the participants’ affect. Thus, in a second step, separate mixed analysis explored whether emotional exhaustion and affect interacted with cognitive load, influencing the </w:t>
      </w:r>
      <w:r w:rsidR="000A4A7F" w:rsidRPr="00D05EBD">
        <w:rPr>
          <w:sz w:val="24"/>
          <w:szCs w:val="24"/>
        </w:rPr>
        <w:t>participant’s</w:t>
      </w:r>
      <w:r w:rsidRPr="00D05EBD">
        <w:rPr>
          <w:sz w:val="24"/>
          <w:szCs w:val="24"/>
        </w:rPr>
        <w:t xml:space="preserve"> levels of awareness, intention and effort when using IER to make their dates feel good. As the progression of dates did not affect the participants scores on emotional exhaustion and affect, it was not included in the mixed models. First three separate mixed model analyses explored the effects of emotional exhaustion and the interaction between emotional exhaustion and cognitive load on the actors’ levels of awareness, intention and effort when using IER to make their partners feel good. Secondly another three separate mixed model analyses explored the effects of negative affect and the interaction between negative affect and cognitive load on the actors’ levels of awareness, intention and effort when using IER to make their dates feel good.</w:t>
      </w:r>
    </w:p>
    <w:p w:rsidR="008817E4" w:rsidRDefault="008817E4" w:rsidP="00AE640B">
      <w:pPr>
        <w:spacing w:line="480" w:lineRule="auto"/>
        <w:ind w:firstLine="720"/>
        <w:jc w:val="both"/>
        <w:rPr>
          <w:sz w:val="24"/>
          <w:szCs w:val="24"/>
        </w:rPr>
      </w:pPr>
    </w:p>
    <w:p w:rsidR="00831D5C" w:rsidRDefault="00831D5C" w:rsidP="00AE640B">
      <w:pPr>
        <w:spacing w:line="480" w:lineRule="auto"/>
        <w:ind w:firstLine="720"/>
        <w:jc w:val="both"/>
        <w:rPr>
          <w:sz w:val="24"/>
          <w:szCs w:val="24"/>
        </w:rPr>
      </w:pPr>
    </w:p>
    <w:p w:rsidR="008817E4" w:rsidRPr="00D05EBD" w:rsidRDefault="008817E4" w:rsidP="008817E4">
      <w:pPr>
        <w:spacing w:line="480" w:lineRule="auto"/>
        <w:jc w:val="both"/>
        <w:rPr>
          <w:sz w:val="24"/>
          <w:szCs w:val="24"/>
        </w:rPr>
      </w:pPr>
    </w:p>
    <w:tbl>
      <w:tblPr>
        <w:tblW w:w="5000" w:type="pct"/>
        <w:tblLook w:val="04A0"/>
      </w:tblPr>
      <w:tblGrid>
        <w:gridCol w:w="1258"/>
        <w:gridCol w:w="1968"/>
        <w:gridCol w:w="1885"/>
        <w:gridCol w:w="1888"/>
        <w:gridCol w:w="1883"/>
      </w:tblGrid>
      <w:tr w:rsidR="00FB1389" w:rsidRPr="008817E4" w:rsidTr="00D05EBD">
        <w:trPr>
          <w:trHeight w:val="300"/>
        </w:trPr>
        <w:tc>
          <w:tcPr>
            <w:tcW w:w="5000" w:type="pct"/>
            <w:gridSpan w:val="5"/>
            <w:tcBorders>
              <w:top w:val="nil"/>
              <w:left w:val="nil"/>
              <w:bottom w:val="single" w:sz="4" w:space="0" w:color="auto"/>
              <w:right w:val="nil"/>
            </w:tcBorders>
            <w:shd w:val="clear" w:color="auto" w:fill="auto"/>
            <w:vAlign w:val="center"/>
            <w:hideMark/>
          </w:tcPr>
          <w:p w:rsidR="00FB1389" w:rsidRPr="008817E4" w:rsidRDefault="008817E4" w:rsidP="008817E4">
            <w:pPr>
              <w:spacing w:after="0" w:line="240" w:lineRule="auto"/>
              <w:jc w:val="both"/>
              <w:rPr>
                <w:rFonts w:eastAsia="Times New Roman" w:cs="Times New Roman"/>
                <w:color w:val="000000"/>
              </w:rPr>
            </w:pPr>
            <w:r w:rsidRPr="008817E4">
              <w:rPr>
                <w:rFonts w:eastAsia="Times New Roman" w:cs="Times New Roman"/>
                <w:color w:val="000000"/>
              </w:rPr>
              <w:lastRenderedPageBreak/>
              <w:t>Table V.5</w:t>
            </w:r>
            <w:r w:rsidR="00FB1389" w:rsidRPr="008817E4">
              <w:rPr>
                <w:rFonts w:eastAsia="Times New Roman" w:cs="Times New Roman"/>
                <w:color w:val="000000"/>
              </w:rPr>
              <w:t xml:space="preserve"> Summary of regression analysis for variables predicting emotional exhaustion</w:t>
            </w:r>
          </w:p>
        </w:tc>
      </w:tr>
      <w:tr w:rsidR="00FB1389" w:rsidRPr="008817E4" w:rsidTr="00D05EBD">
        <w:trPr>
          <w:trHeight w:val="300"/>
        </w:trPr>
        <w:tc>
          <w:tcPr>
            <w:tcW w:w="1815" w:type="pct"/>
            <w:gridSpan w:val="2"/>
            <w:tcBorders>
              <w:top w:val="single" w:sz="4" w:space="0" w:color="auto"/>
              <w:left w:val="nil"/>
              <w:right w:val="nil"/>
            </w:tcBorders>
            <w:shd w:val="clear" w:color="auto" w:fill="auto"/>
            <w:vAlign w:val="bottom"/>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 </w:t>
            </w:r>
          </w:p>
        </w:tc>
        <w:tc>
          <w:tcPr>
            <w:tcW w:w="1061" w:type="pct"/>
            <w:tcBorders>
              <w:top w:val="nil"/>
              <w:left w:val="nil"/>
              <w:right w:val="nil"/>
            </w:tcBorders>
            <w:shd w:val="clear" w:color="auto" w:fill="auto"/>
            <w:vAlign w:val="bottom"/>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B</w:t>
            </w:r>
          </w:p>
        </w:tc>
        <w:tc>
          <w:tcPr>
            <w:tcW w:w="1063" w:type="pct"/>
            <w:tcBorders>
              <w:top w:val="nil"/>
              <w:left w:val="nil"/>
              <w:right w:val="nil"/>
            </w:tcBorders>
            <w:shd w:val="clear" w:color="auto" w:fill="auto"/>
            <w:vAlign w:val="bottom"/>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Std. Error</w:t>
            </w:r>
          </w:p>
        </w:tc>
        <w:tc>
          <w:tcPr>
            <w:tcW w:w="1062" w:type="pct"/>
            <w:tcBorders>
              <w:top w:val="nil"/>
              <w:left w:val="nil"/>
              <w:right w:val="nil"/>
            </w:tcBorders>
            <w:shd w:val="clear" w:color="auto" w:fill="auto"/>
            <w:vAlign w:val="bottom"/>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Beta</w:t>
            </w:r>
          </w:p>
        </w:tc>
      </w:tr>
      <w:tr w:rsidR="00FB1389" w:rsidRPr="008817E4" w:rsidTr="00D05EBD">
        <w:trPr>
          <w:trHeight w:val="300"/>
        </w:trPr>
        <w:tc>
          <w:tcPr>
            <w:tcW w:w="708" w:type="pct"/>
            <w:vMerge w:val="restart"/>
            <w:tcBorders>
              <w:top w:val="nil"/>
              <w:left w:val="nil"/>
              <w:right w:val="nil"/>
            </w:tcBorders>
            <w:shd w:val="clear" w:color="auto" w:fill="auto"/>
            <w:noWrap/>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Model 1</w:t>
            </w:r>
          </w:p>
        </w:tc>
        <w:tc>
          <w:tcPr>
            <w:tcW w:w="1108" w:type="pct"/>
            <w:tcBorders>
              <w:top w:val="nil"/>
              <w:left w:val="nil"/>
              <w:right w:val="nil"/>
            </w:tcBorders>
            <w:shd w:val="clear" w:color="auto" w:fill="auto"/>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(Constant)</w:t>
            </w:r>
          </w:p>
        </w:tc>
        <w:tc>
          <w:tcPr>
            <w:tcW w:w="1061" w:type="pct"/>
            <w:tcBorders>
              <w:top w:val="nil"/>
              <w:left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1.96</w:t>
            </w:r>
          </w:p>
        </w:tc>
        <w:tc>
          <w:tcPr>
            <w:tcW w:w="1063" w:type="pct"/>
            <w:tcBorders>
              <w:top w:val="nil"/>
              <w:left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0.13</w:t>
            </w:r>
          </w:p>
        </w:tc>
        <w:tc>
          <w:tcPr>
            <w:tcW w:w="1062" w:type="pct"/>
            <w:tcBorders>
              <w:top w:val="nil"/>
              <w:left w:val="nil"/>
              <w:right w:val="nil"/>
            </w:tcBorders>
            <w:shd w:val="clear" w:color="auto" w:fill="auto"/>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 </w:t>
            </w:r>
          </w:p>
        </w:tc>
      </w:tr>
      <w:tr w:rsidR="00FB1389" w:rsidRPr="008817E4" w:rsidTr="00D05EBD">
        <w:trPr>
          <w:trHeight w:val="480"/>
        </w:trPr>
        <w:tc>
          <w:tcPr>
            <w:tcW w:w="708" w:type="pct"/>
            <w:vMerge/>
            <w:tcBorders>
              <w:top w:val="nil"/>
              <w:left w:val="nil"/>
              <w:bottom w:val="single" w:sz="4" w:space="0" w:color="auto"/>
              <w:right w:val="nil"/>
            </w:tcBorders>
            <w:vAlign w:val="center"/>
            <w:hideMark/>
          </w:tcPr>
          <w:p w:rsidR="00FB1389" w:rsidRPr="008817E4" w:rsidRDefault="00FB1389" w:rsidP="008817E4">
            <w:pPr>
              <w:spacing w:after="0" w:line="240" w:lineRule="auto"/>
              <w:jc w:val="both"/>
              <w:rPr>
                <w:rFonts w:eastAsia="Times New Roman" w:cs="Arial"/>
                <w:color w:val="000000"/>
              </w:rPr>
            </w:pPr>
          </w:p>
        </w:tc>
        <w:tc>
          <w:tcPr>
            <w:tcW w:w="1108" w:type="pct"/>
            <w:tcBorders>
              <w:top w:val="nil"/>
              <w:left w:val="nil"/>
              <w:bottom w:val="single" w:sz="4" w:space="0" w:color="auto"/>
              <w:right w:val="nil"/>
            </w:tcBorders>
            <w:shd w:val="clear" w:color="auto" w:fill="auto"/>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Number of date</w:t>
            </w:r>
          </w:p>
        </w:tc>
        <w:tc>
          <w:tcPr>
            <w:tcW w:w="1061" w:type="pct"/>
            <w:tcBorders>
              <w:top w:val="nil"/>
              <w:left w:val="nil"/>
              <w:bottom w:val="single" w:sz="4" w:space="0" w:color="auto"/>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0.02</w:t>
            </w:r>
          </w:p>
        </w:tc>
        <w:tc>
          <w:tcPr>
            <w:tcW w:w="1063" w:type="pct"/>
            <w:tcBorders>
              <w:top w:val="nil"/>
              <w:left w:val="nil"/>
              <w:bottom w:val="single" w:sz="4" w:space="0" w:color="auto"/>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0.04</w:t>
            </w:r>
          </w:p>
        </w:tc>
        <w:tc>
          <w:tcPr>
            <w:tcW w:w="1062" w:type="pct"/>
            <w:tcBorders>
              <w:top w:val="nil"/>
              <w:left w:val="nil"/>
              <w:bottom w:val="single" w:sz="4" w:space="0" w:color="auto"/>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.04</w:t>
            </w:r>
          </w:p>
        </w:tc>
      </w:tr>
      <w:tr w:rsidR="00FB1389" w:rsidRPr="008817E4" w:rsidTr="00D05EBD">
        <w:trPr>
          <w:trHeight w:val="300"/>
        </w:trPr>
        <w:tc>
          <w:tcPr>
            <w:tcW w:w="708" w:type="pct"/>
            <w:vMerge w:val="restart"/>
            <w:tcBorders>
              <w:top w:val="single" w:sz="4" w:space="0" w:color="auto"/>
              <w:left w:val="nil"/>
              <w:right w:val="nil"/>
            </w:tcBorders>
            <w:shd w:val="clear" w:color="auto" w:fill="auto"/>
            <w:noWrap/>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Model 2</w:t>
            </w:r>
          </w:p>
        </w:tc>
        <w:tc>
          <w:tcPr>
            <w:tcW w:w="1108" w:type="pct"/>
            <w:tcBorders>
              <w:top w:val="single" w:sz="4" w:space="0" w:color="auto"/>
              <w:left w:val="nil"/>
              <w:right w:val="nil"/>
            </w:tcBorders>
            <w:shd w:val="clear" w:color="auto" w:fill="auto"/>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(Constant)</w:t>
            </w:r>
          </w:p>
        </w:tc>
        <w:tc>
          <w:tcPr>
            <w:tcW w:w="1061" w:type="pct"/>
            <w:tcBorders>
              <w:top w:val="single" w:sz="4" w:space="0" w:color="auto"/>
              <w:left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1.94</w:t>
            </w:r>
          </w:p>
        </w:tc>
        <w:tc>
          <w:tcPr>
            <w:tcW w:w="1063" w:type="pct"/>
            <w:tcBorders>
              <w:top w:val="single" w:sz="4" w:space="0" w:color="auto"/>
              <w:left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0.14</w:t>
            </w:r>
          </w:p>
        </w:tc>
        <w:tc>
          <w:tcPr>
            <w:tcW w:w="1062" w:type="pct"/>
            <w:tcBorders>
              <w:top w:val="single" w:sz="4" w:space="0" w:color="auto"/>
              <w:left w:val="nil"/>
              <w:right w:val="nil"/>
            </w:tcBorders>
            <w:shd w:val="clear" w:color="auto" w:fill="auto"/>
            <w:vAlign w:val="center"/>
            <w:hideMark/>
          </w:tcPr>
          <w:p w:rsidR="00FB1389" w:rsidRPr="008817E4" w:rsidRDefault="00FB1389" w:rsidP="008817E4">
            <w:pPr>
              <w:spacing w:after="0" w:line="240" w:lineRule="auto"/>
              <w:jc w:val="both"/>
              <w:rPr>
                <w:rFonts w:eastAsia="Times New Roman" w:cs="Arial"/>
                <w:color w:val="000000"/>
              </w:rPr>
            </w:pPr>
          </w:p>
        </w:tc>
      </w:tr>
      <w:tr w:rsidR="00FB1389" w:rsidRPr="008817E4" w:rsidTr="00D05EBD">
        <w:trPr>
          <w:trHeight w:val="480"/>
        </w:trPr>
        <w:tc>
          <w:tcPr>
            <w:tcW w:w="708" w:type="pct"/>
            <w:vMerge/>
            <w:tcBorders>
              <w:top w:val="nil"/>
              <w:left w:val="nil"/>
              <w:right w:val="nil"/>
            </w:tcBorders>
            <w:vAlign w:val="center"/>
            <w:hideMark/>
          </w:tcPr>
          <w:p w:rsidR="00FB1389" w:rsidRPr="008817E4" w:rsidRDefault="00FB1389" w:rsidP="008817E4">
            <w:pPr>
              <w:spacing w:after="0" w:line="240" w:lineRule="auto"/>
              <w:jc w:val="both"/>
              <w:rPr>
                <w:rFonts w:eastAsia="Times New Roman" w:cs="Arial"/>
                <w:color w:val="000000"/>
              </w:rPr>
            </w:pPr>
          </w:p>
        </w:tc>
        <w:tc>
          <w:tcPr>
            <w:tcW w:w="1108" w:type="pct"/>
            <w:tcBorders>
              <w:top w:val="nil"/>
              <w:left w:val="nil"/>
              <w:right w:val="nil"/>
            </w:tcBorders>
            <w:shd w:val="clear" w:color="auto" w:fill="auto"/>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Number of date</w:t>
            </w:r>
          </w:p>
        </w:tc>
        <w:tc>
          <w:tcPr>
            <w:tcW w:w="1061" w:type="pct"/>
            <w:tcBorders>
              <w:top w:val="nil"/>
              <w:left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0.02</w:t>
            </w:r>
          </w:p>
        </w:tc>
        <w:tc>
          <w:tcPr>
            <w:tcW w:w="1063" w:type="pct"/>
            <w:tcBorders>
              <w:top w:val="nil"/>
              <w:left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0.04</w:t>
            </w:r>
          </w:p>
        </w:tc>
        <w:tc>
          <w:tcPr>
            <w:tcW w:w="1062" w:type="pct"/>
            <w:tcBorders>
              <w:top w:val="nil"/>
              <w:left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.04</w:t>
            </w:r>
          </w:p>
        </w:tc>
      </w:tr>
      <w:tr w:rsidR="00FB1389" w:rsidRPr="008817E4" w:rsidTr="00D05EBD">
        <w:trPr>
          <w:trHeight w:val="495"/>
        </w:trPr>
        <w:tc>
          <w:tcPr>
            <w:tcW w:w="708" w:type="pct"/>
            <w:vMerge/>
            <w:tcBorders>
              <w:left w:val="nil"/>
              <w:bottom w:val="double" w:sz="6" w:space="0" w:color="000000"/>
              <w:right w:val="nil"/>
            </w:tcBorders>
            <w:vAlign w:val="center"/>
            <w:hideMark/>
          </w:tcPr>
          <w:p w:rsidR="00FB1389" w:rsidRPr="008817E4" w:rsidRDefault="00FB1389" w:rsidP="008817E4">
            <w:pPr>
              <w:spacing w:after="0" w:line="240" w:lineRule="auto"/>
              <w:jc w:val="both"/>
              <w:rPr>
                <w:rFonts w:eastAsia="Times New Roman" w:cs="Arial"/>
                <w:color w:val="000000"/>
              </w:rPr>
            </w:pPr>
          </w:p>
        </w:tc>
        <w:tc>
          <w:tcPr>
            <w:tcW w:w="1108" w:type="pct"/>
            <w:tcBorders>
              <w:left w:val="nil"/>
              <w:bottom w:val="double" w:sz="6" w:space="0" w:color="000000"/>
              <w:right w:val="nil"/>
            </w:tcBorders>
            <w:shd w:val="clear" w:color="auto" w:fill="auto"/>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Cognitive load</w:t>
            </w:r>
          </w:p>
        </w:tc>
        <w:tc>
          <w:tcPr>
            <w:tcW w:w="1061" w:type="pct"/>
            <w:tcBorders>
              <w:left w:val="nil"/>
              <w:bottom w:val="double" w:sz="6" w:space="0" w:color="000000"/>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0.05</w:t>
            </w:r>
          </w:p>
        </w:tc>
        <w:tc>
          <w:tcPr>
            <w:tcW w:w="1063" w:type="pct"/>
            <w:tcBorders>
              <w:left w:val="nil"/>
              <w:bottom w:val="double" w:sz="6" w:space="0" w:color="000000"/>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0.13</w:t>
            </w:r>
          </w:p>
        </w:tc>
        <w:tc>
          <w:tcPr>
            <w:tcW w:w="1062" w:type="pct"/>
            <w:tcBorders>
              <w:left w:val="nil"/>
              <w:bottom w:val="double" w:sz="6" w:space="0" w:color="000000"/>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.03</w:t>
            </w:r>
          </w:p>
        </w:tc>
      </w:tr>
      <w:tr w:rsidR="00FB1389" w:rsidRPr="008817E4" w:rsidTr="00D05EBD">
        <w:trPr>
          <w:trHeight w:val="315"/>
        </w:trPr>
        <w:tc>
          <w:tcPr>
            <w:tcW w:w="5000" w:type="pct"/>
            <w:gridSpan w:val="5"/>
            <w:tcBorders>
              <w:top w:val="nil"/>
              <w:left w:val="nil"/>
              <w:bottom w:val="nil"/>
              <w:right w:val="nil"/>
            </w:tcBorders>
            <w:shd w:val="clear" w:color="auto" w:fill="auto"/>
            <w:hideMark/>
          </w:tcPr>
          <w:p w:rsidR="00FB1389" w:rsidRPr="008817E4" w:rsidRDefault="00FB1389" w:rsidP="008817E4">
            <w:pPr>
              <w:spacing w:after="0" w:line="240" w:lineRule="auto"/>
              <w:jc w:val="both"/>
              <w:rPr>
                <w:rFonts w:eastAsia="Times New Roman" w:cs="Arial"/>
                <w:i/>
                <w:iCs/>
                <w:color w:val="000000"/>
              </w:rPr>
            </w:pPr>
            <w:r w:rsidRPr="008817E4">
              <w:rPr>
                <w:rFonts w:eastAsia="Times New Roman" w:cs="Arial"/>
                <w:i/>
                <w:iCs/>
                <w:color w:val="000000"/>
              </w:rPr>
              <w:t xml:space="preserve">All </w:t>
            </w:r>
            <w:proofErr w:type="spellStart"/>
            <w:r w:rsidRPr="008817E4">
              <w:rPr>
                <w:rFonts w:eastAsia="Times New Roman" w:cs="Arial"/>
                <w:i/>
                <w:iCs/>
                <w:color w:val="000000"/>
              </w:rPr>
              <w:t>ps</w:t>
            </w:r>
            <w:proofErr w:type="spellEnd"/>
            <w:r w:rsidRPr="008817E4">
              <w:rPr>
                <w:rFonts w:eastAsia="Times New Roman" w:cs="Arial"/>
                <w:i/>
                <w:iCs/>
                <w:color w:val="000000"/>
              </w:rPr>
              <w:t xml:space="preserve"> &gt; .05</w:t>
            </w:r>
          </w:p>
        </w:tc>
      </w:tr>
    </w:tbl>
    <w:p w:rsidR="003F3613" w:rsidRPr="00D05EBD" w:rsidRDefault="003F3613" w:rsidP="008817E4">
      <w:pPr>
        <w:spacing w:line="480" w:lineRule="auto"/>
        <w:jc w:val="both"/>
        <w:rPr>
          <w:sz w:val="24"/>
          <w:szCs w:val="24"/>
        </w:rPr>
      </w:pPr>
    </w:p>
    <w:tbl>
      <w:tblPr>
        <w:tblW w:w="5000" w:type="pct"/>
        <w:tblLook w:val="04A0"/>
      </w:tblPr>
      <w:tblGrid>
        <w:gridCol w:w="1257"/>
        <w:gridCol w:w="1968"/>
        <w:gridCol w:w="1887"/>
        <w:gridCol w:w="1887"/>
        <w:gridCol w:w="1883"/>
      </w:tblGrid>
      <w:tr w:rsidR="00FB1389" w:rsidRPr="008817E4" w:rsidTr="00D05EBD">
        <w:trPr>
          <w:trHeight w:val="300"/>
        </w:trPr>
        <w:tc>
          <w:tcPr>
            <w:tcW w:w="5000" w:type="pct"/>
            <w:gridSpan w:val="5"/>
            <w:tcBorders>
              <w:top w:val="nil"/>
              <w:left w:val="nil"/>
              <w:bottom w:val="single" w:sz="4" w:space="0" w:color="auto"/>
              <w:right w:val="nil"/>
            </w:tcBorders>
            <w:shd w:val="clear" w:color="auto" w:fill="auto"/>
            <w:vAlign w:val="center"/>
            <w:hideMark/>
          </w:tcPr>
          <w:p w:rsidR="00FB1389" w:rsidRPr="008817E4" w:rsidRDefault="008817E4" w:rsidP="008817E4">
            <w:pPr>
              <w:spacing w:after="0" w:line="240" w:lineRule="auto"/>
              <w:jc w:val="both"/>
              <w:rPr>
                <w:rFonts w:eastAsia="Times New Roman" w:cs="Times New Roman"/>
                <w:color w:val="000000"/>
              </w:rPr>
            </w:pPr>
            <w:r w:rsidRPr="008817E4">
              <w:rPr>
                <w:rFonts w:eastAsia="Times New Roman" w:cs="Times New Roman"/>
                <w:color w:val="000000"/>
              </w:rPr>
              <w:t>Table V.6</w:t>
            </w:r>
            <w:r w:rsidR="00FB1389" w:rsidRPr="008817E4">
              <w:rPr>
                <w:rFonts w:eastAsia="Times New Roman" w:cs="Times New Roman"/>
                <w:color w:val="000000"/>
              </w:rPr>
              <w:t xml:space="preserve"> Summary of regression analysis for variables predicting negative mood</w:t>
            </w:r>
          </w:p>
        </w:tc>
      </w:tr>
      <w:tr w:rsidR="00FB1389" w:rsidRPr="008817E4" w:rsidTr="00D05EBD">
        <w:trPr>
          <w:trHeight w:val="300"/>
        </w:trPr>
        <w:tc>
          <w:tcPr>
            <w:tcW w:w="1815" w:type="pct"/>
            <w:gridSpan w:val="2"/>
            <w:tcBorders>
              <w:top w:val="single" w:sz="4" w:space="0" w:color="auto"/>
              <w:left w:val="nil"/>
              <w:bottom w:val="single" w:sz="4" w:space="0" w:color="auto"/>
              <w:right w:val="nil"/>
            </w:tcBorders>
            <w:shd w:val="clear" w:color="auto" w:fill="auto"/>
            <w:vAlign w:val="bottom"/>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 </w:t>
            </w:r>
          </w:p>
        </w:tc>
        <w:tc>
          <w:tcPr>
            <w:tcW w:w="1062" w:type="pct"/>
            <w:tcBorders>
              <w:top w:val="nil"/>
              <w:left w:val="nil"/>
              <w:bottom w:val="single" w:sz="4" w:space="0" w:color="auto"/>
              <w:right w:val="nil"/>
            </w:tcBorders>
            <w:shd w:val="clear" w:color="auto" w:fill="auto"/>
            <w:vAlign w:val="bottom"/>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B</w:t>
            </w:r>
          </w:p>
        </w:tc>
        <w:tc>
          <w:tcPr>
            <w:tcW w:w="1062" w:type="pct"/>
            <w:tcBorders>
              <w:top w:val="nil"/>
              <w:left w:val="nil"/>
              <w:bottom w:val="single" w:sz="4" w:space="0" w:color="auto"/>
              <w:right w:val="nil"/>
            </w:tcBorders>
            <w:shd w:val="clear" w:color="auto" w:fill="auto"/>
            <w:vAlign w:val="bottom"/>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Std. Error</w:t>
            </w:r>
          </w:p>
        </w:tc>
        <w:tc>
          <w:tcPr>
            <w:tcW w:w="1062" w:type="pct"/>
            <w:tcBorders>
              <w:top w:val="nil"/>
              <w:left w:val="nil"/>
              <w:bottom w:val="single" w:sz="4" w:space="0" w:color="auto"/>
              <w:right w:val="nil"/>
            </w:tcBorders>
            <w:shd w:val="clear" w:color="auto" w:fill="auto"/>
            <w:vAlign w:val="bottom"/>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Beta</w:t>
            </w:r>
          </w:p>
        </w:tc>
      </w:tr>
      <w:tr w:rsidR="00FB1389" w:rsidRPr="008817E4" w:rsidTr="00D05EBD">
        <w:trPr>
          <w:trHeight w:val="300"/>
        </w:trPr>
        <w:tc>
          <w:tcPr>
            <w:tcW w:w="708" w:type="pct"/>
            <w:vMerge w:val="restart"/>
            <w:tcBorders>
              <w:top w:val="nil"/>
              <w:left w:val="nil"/>
              <w:bottom w:val="nil"/>
              <w:right w:val="nil"/>
            </w:tcBorders>
            <w:shd w:val="clear" w:color="auto" w:fill="auto"/>
            <w:noWrap/>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Model 1</w:t>
            </w:r>
          </w:p>
        </w:tc>
        <w:tc>
          <w:tcPr>
            <w:tcW w:w="1108" w:type="pct"/>
            <w:tcBorders>
              <w:top w:val="nil"/>
              <w:left w:val="nil"/>
              <w:bottom w:val="nil"/>
              <w:right w:val="nil"/>
            </w:tcBorders>
            <w:shd w:val="clear" w:color="auto" w:fill="auto"/>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(Constant)</w:t>
            </w:r>
          </w:p>
        </w:tc>
        <w:tc>
          <w:tcPr>
            <w:tcW w:w="1062" w:type="pct"/>
            <w:tcBorders>
              <w:top w:val="nil"/>
              <w:left w:val="nil"/>
              <w:bottom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3.55</w:t>
            </w:r>
          </w:p>
        </w:tc>
        <w:tc>
          <w:tcPr>
            <w:tcW w:w="1062" w:type="pct"/>
            <w:tcBorders>
              <w:top w:val="nil"/>
              <w:left w:val="nil"/>
              <w:bottom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0.12</w:t>
            </w:r>
          </w:p>
        </w:tc>
        <w:tc>
          <w:tcPr>
            <w:tcW w:w="1062" w:type="pct"/>
            <w:tcBorders>
              <w:top w:val="nil"/>
              <w:left w:val="nil"/>
              <w:bottom w:val="nil"/>
              <w:right w:val="nil"/>
            </w:tcBorders>
            <w:shd w:val="clear" w:color="auto" w:fill="auto"/>
            <w:vAlign w:val="center"/>
            <w:hideMark/>
          </w:tcPr>
          <w:p w:rsidR="00FB1389" w:rsidRPr="008817E4" w:rsidRDefault="00FB1389" w:rsidP="008817E4">
            <w:pPr>
              <w:spacing w:after="0" w:line="240" w:lineRule="auto"/>
              <w:jc w:val="both"/>
              <w:rPr>
                <w:rFonts w:eastAsia="Times New Roman" w:cs="Arial"/>
                <w:color w:val="000000"/>
              </w:rPr>
            </w:pPr>
          </w:p>
        </w:tc>
      </w:tr>
      <w:tr w:rsidR="00FB1389" w:rsidRPr="008817E4" w:rsidTr="00D05EBD">
        <w:trPr>
          <w:trHeight w:val="480"/>
        </w:trPr>
        <w:tc>
          <w:tcPr>
            <w:tcW w:w="708" w:type="pct"/>
            <w:vMerge/>
            <w:tcBorders>
              <w:top w:val="nil"/>
              <w:left w:val="nil"/>
              <w:bottom w:val="nil"/>
              <w:right w:val="nil"/>
            </w:tcBorders>
            <w:vAlign w:val="center"/>
            <w:hideMark/>
          </w:tcPr>
          <w:p w:rsidR="00FB1389" w:rsidRPr="008817E4" w:rsidRDefault="00FB1389" w:rsidP="008817E4">
            <w:pPr>
              <w:spacing w:after="0" w:line="240" w:lineRule="auto"/>
              <w:jc w:val="both"/>
              <w:rPr>
                <w:rFonts w:eastAsia="Times New Roman" w:cs="Arial"/>
                <w:color w:val="000000"/>
              </w:rPr>
            </w:pPr>
          </w:p>
        </w:tc>
        <w:tc>
          <w:tcPr>
            <w:tcW w:w="1108" w:type="pct"/>
            <w:tcBorders>
              <w:top w:val="nil"/>
              <w:left w:val="nil"/>
              <w:bottom w:val="nil"/>
              <w:right w:val="nil"/>
            </w:tcBorders>
            <w:shd w:val="clear" w:color="auto" w:fill="auto"/>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Number of date</w:t>
            </w:r>
          </w:p>
        </w:tc>
        <w:tc>
          <w:tcPr>
            <w:tcW w:w="1062" w:type="pct"/>
            <w:tcBorders>
              <w:top w:val="nil"/>
              <w:left w:val="nil"/>
              <w:bottom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-0.02</w:t>
            </w:r>
          </w:p>
        </w:tc>
        <w:tc>
          <w:tcPr>
            <w:tcW w:w="1062" w:type="pct"/>
            <w:tcBorders>
              <w:top w:val="nil"/>
              <w:left w:val="nil"/>
              <w:bottom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0.03</w:t>
            </w:r>
          </w:p>
        </w:tc>
        <w:tc>
          <w:tcPr>
            <w:tcW w:w="1062" w:type="pct"/>
            <w:tcBorders>
              <w:top w:val="nil"/>
              <w:left w:val="nil"/>
              <w:bottom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-.05</w:t>
            </w:r>
          </w:p>
        </w:tc>
      </w:tr>
      <w:tr w:rsidR="00FB1389" w:rsidRPr="008817E4" w:rsidTr="00D05EBD">
        <w:trPr>
          <w:trHeight w:val="300"/>
        </w:trPr>
        <w:tc>
          <w:tcPr>
            <w:tcW w:w="708" w:type="pct"/>
            <w:vMerge w:val="restart"/>
            <w:tcBorders>
              <w:top w:val="single" w:sz="4" w:space="0" w:color="auto"/>
              <w:left w:val="nil"/>
              <w:bottom w:val="double" w:sz="6" w:space="0" w:color="000000"/>
              <w:right w:val="nil"/>
            </w:tcBorders>
            <w:shd w:val="clear" w:color="auto" w:fill="auto"/>
            <w:noWrap/>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 xml:space="preserve">Model 2 </w:t>
            </w:r>
          </w:p>
        </w:tc>
        <w:tc>
          <w:tcPr>
            <w:tcW w:w="1108" w:type="pct"/>
            <w:tcBorders>
              <w:top w:val="single" w:sz="4" w:space="0" w:color="auto"/>
              <w:left w:val="nil"/>
              <w:bottom w:val="nil"/>
              <w:right w:val="nil"/>
            </w:tcBorders>
            <w:shd w:val="clear" w:color="auto" w:fill="auto"/>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(Constant)</w:t>
            </w:r>
          </w:p>
        </w:tc>
        <w:tc>
          <w:tcPr>
            <w:tcW w:w="1062" w:type="pct"/>
            <w:tcBorders>
              <w:top w:val="single" w:sz="4" w:space="0" w:color="auto"/>
              <w:left w:val="nil"/>
              <w:bottom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3.68</w:t>
            </w:r>
          </w:p>
        </w:tc>
        <w:tc>
          <w:tcPr>
            <w:tcW w:w="1062" w:type="pct"/>
            <w:tcBorders>
              <w:top w:val="single" w:sz="4" w:space="0" w:color="auto"/>
              <w:left w:val="nil"/>
              <w:bottom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0.12</w:t>
            </w:r>
          </w:p>
        </w:tc>
        <w:tc>
          <w:tcPr>
            <w:tcW w:w="1062" w:type="pct"/>
            <w:tcBorders>
              <w:top w:val="single" w:sz="4" w:space="0" w:color="auto"/>
              <w:left w:val="nil"/>
              <w:bottom w:val="nil"/>
              <w:right w:val="nil"/>
            </w:tcBorders>
            <w:shd w:val="clear" w:color="auto" w:fill="auto"/>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 </w:t>
            </w:r>
          </w:p>
        </w:tc>
      </w:tr>
      <w:tr w:rsidR="00FB1389" w:rsidRPr="008817E4" w:rsidTr="00D05EBD">
        <w:trPr>
          <w:trHeight w:val="480"/>
        </w:trPr>
        <w:tc>
          <w:tcPr>
            <w:tcW w:w="708" w:type="pct"/>
            <w:vMerge/>
            <w:tcBorders>
              <w:top w:val="single" w:sz="4" w:space="0" w:color="auto"/>
              <w:left w:val="nil"/>
              <w:bottom w:val="double" w:sz="6" w:space="0" w:color="000000"/>
              <w:right w:val="nil"/>
            </w:tcBorders>
            <w:vAlign w:val="center"/>
            <w:hideMark/>
          </w:tcPr>
          <w:p w:rsidR="00FB1389" w:rsidRPr="008817E4" w:rsidRDefault="00FB1389" w:rsidP="008817E4">
            <w:pPr>
              <w:spacing w:after="0" w:line="240" w:lineRule="auto"/>
              <w:jc w:val="both"/>
              <w:rPr>
                <w:rFonts w:eastAsia="Times New Roman" w:cs="Arial"/>
                <w:color w:val="000000"/>
              </w:rPr>
            </w:pPr>
          </w:p>
        </w:tc>
        <w:tc>
          <w:tcPr>
            <w:tcW w:w="1108" w:type="pct"/>
            <w:tcBorders>
              <w:top w:val="nil"/>
              <w:left w:val="nil"/>
              <w:bottom w:val="nil"/>
              <w:right w:val="nil"/>
            </w:tcBorders>
            <w:shd w:val="clear" w:color="auto" w:fill="auto"/>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Number of date</w:t>
            </w:r>
          </w:p>
        </w:tc>
        <w:tc>
          <w:tcPr>
            <w:tcW w:w="1062" w:type="pct"/>
            <w:tcBorders>
              <w:top w:val="nil"/>
              <w:left w:val="nil"/>
              <w:bottom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-0.02</w:t>
            </w:r>
          </w:p>
        </w:tc>
        <w:tc>
          <w:tcPr>
            <w:tcW w:w="1062" w:type="pct"/>
            <w:tcBorders>
              <w:top w:val="nil"/>
              <w:left w:val="nil"/>
              <w:bottom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0.03</w:t>
            </w:r>
          </w:p>
        </w:tc>
        <w:tc>
          <w:tcPr>
            <w:tcW w:w="1062" w:type="pct"/>
            <w:tcBorders>
              <w:top w:val="nil"/>
              <w:left w:val="nil"/>
              <w:bottom w:val="nil"/>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-.06</w:t>
            </w:r>
          </w:p>
        </w:tc>
      </w:tr>
      <w:tr w:rsidR="00FB1389" w:rsidRPr="008817E4" w:rsidTr="00D05EBD">
        <w:trPr>
          <w:trHeight w:val="495"/>
        </w:trPr>
        <w:tc>
          <w:tcPr>
            <w:tcW w:w="708" w:type="pct"/>
            <w:vMerge/>
            <w:tcBorders>
              <w:top w:val="single" w:sz="4" w:space="0" w:color="auto"/>
              <w:left w:val="nil"/>
              <w:bottom w:val="double" w:sz="6" w:space="0" w:color="000000"/>
              <w:right w:val="nil"/>
            </w:tcBorders>
            <w:vAlign w:val="center"/>
            <w:hideMark/>
          </w:tcPr>
          <w:p w:rsidR="00FB1389" w:rsidRPr="008817E4" w:rsidRDefault="00FB1389" w:rsidP="008817E4">
            <w:pPr>
              <w:spacing w:after="0" w:line="240" w:lineRule="auto"/>
              <w:jc w:val="both"/>
              <w:rPr>
                <w:rFonts w:eastAsia="Times New Roman" w:cs="Arial"/>
                <w:color w:val="000000"/>
              </w:rPr>
            </w:pPr>
          </w:p>
        </w:tc>
        <w:tc>
          <w:tcPr>
            <w:tcW w:w="1108" w:type="pct"/>
            <w:tcBorders>
              <w:top w:val="nil"/>
              <w:left w:val="nil"/>
              <w:bottom w:val="double" w:sz="6" w:space="0" w:color="auto"/>
              <w:right w:val="nil"/>
            </w:tcBorders>
            <w:shd w:val="clear" w:color="auto" w:fill="auto"/>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Cognitive load</w:t>
            </w:r>
          </w:p>
        </w:tc>
        <w:tc>
          <w:tcPr>
            <w:tcW w:w="1062" w:type="pct"/>
            <w:tcBorders>
              <w:top w:val="nil"/>
              <w:left w:val="nil"/>
              <w:bottom w:val="double" w:sz="6" w:space="0" w:color="auto"/>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-0.36</w:t>
            </w:r>
          </w:p>
        </w:tc>
        <w:tc>
          <w:tcPr>
            <w:tcW w:w="1062" w:type="pct"/>
            <w:tcBorders>
              <w:top w:val="nil"/>
              <w:left w:val="nil"/>
              <w:bottom w:val="double" w:sz="6" w:space="0" w:color="auto"/>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0.11</w:t>
            </w:r>
          </w:p>
        </w:tc>
        <w:tc>
          <w:tcPr>
            <w:tcW w:w="1062" w:type="pct"/>
            <w:tcBorders>
              <w:top w:val="nil"/>
              <w:left w:val="nil"/>
              <w:bottom w:val="double" w:sz="6" w:space="0" w:color="auto"/>
              <w:right w:val="nil"/>
            </w:tcBorders>
            <w:shd w:val="clear" w:color="auto" w:fill="auto"/>
            <w:noWrap/>
            <w:vAlign w:val="center"/>
            <w:hideMark/>
          </w:tcPr>
          <w:p w:rsidR="00FB1389" w:rsidRPr="008817E4" w:rsidRDefault="00FB1389" w:rsidP="008817E4">
            <w:pPr>
              <w:spacing w:after="0" w:line="240" w:lineRule="auto"/>
              <w:jc w:val="both"/>
              <w:rPr>
                <w:rFonts w:eastAsia="Times New Roman" w:cs="Arial"/>
                <w:color w:val="000000"/>
              </w:rPr>
            </w:pPr>
            <w:r w:rsidRPr="008817E4">
              <w:rPr>
                <w:rFonts w:eastAsia="Times New Roman" w:cs="Arial"/>
                <w:color w:val="000000"/>
              </w:rPr>
              <w:t>-.27*</w:t>
            </w:r>
          </w:p>
        </w:tc>
      </w:tr>
      <w:tr w:rsidR="00FB1389" w:rsidRPr="008817E4" w:rsidTr="00D05EBD">
        <w:trPr>
          <w:trHeight w:val="315"/>
        </w:trPr>
        <w:tc>
          <w:tcPr>
            <w:tcW w:w="5000" w:type="pct"/>
            <w:gridSpan w:val="5"/>
            <w:tcBorders>
              <w:top w:val="nil"/>
              <w:left w:val="nil"/>
              <w:bottom w:val="nil"/>
              <w:right w:val="nil"/>
            </w:tcBorders>
            <w:shd w:val="clear" w:color="auto" w:fill="auto"/>
            <w:hideMark/>
          </w:tcPr>
          <w:p w:rsidR="00FB1389" w:rsidRPr="008817E4" w:rsidRDefault="00FB1389" w:rsidP="008817E4">
            <w:pPr>
              <w:spacing w:after="0" w:line="240" w:lineRule="auto"/>
              <w:jc w:val="both"/>
              <w:rPr>
                <w:rFonts w:eastAsia="Times New Roman" w:cs="Arial"/>
                <w:i/>
                <w:iCs/>
                <w:color w:val="000000"/>
              </w:rPr>
            </w:pPr>
            <w:r w:rsidRPr="008817E4">
              <w:rPr>
                <w:rFonts w:eastAsia="Times New Roman" w:cs="Arial"/>
                <w:i/>
                <w:iCs/>
                <w:color w:val="000000"/>
              </w:rPr>
              <w:t>*p &lt; .05</w:t>
            </w:r>
          </w:p>
        </w:tc>
      </w:tr>
    </w:tbl>
    <w:p w:rsidR="00FB1389" w:rsidRPr="00D05EBD" w:rsidRDefault="00FB1389" w:rsidP="00AE640B">
      <w:pPr>
        <w:spacing w:line="480" w:lineRule="auto"/>
        <w:jc w:val="both"/>
        <w:rPr>
          <w:sz w:val="24"/>
          <w:szCs w:val="24"/>
        </w:rPr>
      </w:pPr>
    </w:p>
    <w:p w:rsidR="00FB1389" w:rsidRPr="00D05EBD" w:rsidRDefault="00FB1389" w:rsidP="00AE640B">
      <w:pPr>
        <w:pStyle w:val="Prrafodelista"/>
        <w:numPr>
          <w:ilvl w:val="0"/>
          <w:numId w:val="19"/>
        </w:numPr>
        <w:spacing w:line="480" w:lineRule="auto"/>
        <w:ind w:left="0" w:firstLine="360"/>
        <w:jc w:val="both"/>
        <w:rPr>
          <w:i/>
          <w:sz w:val="24"/>
          <w:szCs w:val="24"/>
        </w:rPr>
      </w:pPr>
      <w:r w:rsidRPr="00D05EBD">
        <w:rPr>
          <w:i/>
          <w:sz w:val="24"/>
          <w:szCs w:val="24"/>
        </w:rPr>
        <w:t xml:space="preserve">Emotional exhaustion. </w:t>
      </w:r>
      <w:r w:rsidRPr="00D05EBD">
        <w:rPr>
          <w:sz w:val="24"/>
          <w:szCs w:val="24"/>
        </w:rPr>
        <w:t>A first mixed model analysis for the main effect of emotional exhaustion and for the interaction effect of cognitive load and emotional exhaustion, over the actors’ reported awareness of use of IER to make their partners feel good, showed no significant relationship between emotional exhaustion and awareness of use of IER to make the partner feel good,</w:t>
      </w:r>
      <w:r w:rsidRPr="00D05EBD">
        <w:rPr>
          <w:i/>
          <w:sz w:val="24"/>
          <w:szCs w:val="24"/>
        </w:rPr>
        <w:t xml:space="preserve"> t</w:t>
      </w:r>
      <w:r w:rsidRPr="00D05EBD">
        <w:rPr>
          <w:sz w:val="24"/>
          <w:szCs w:val="24"/>
        </w:rPr>
        <w:t xml:space="preserve">(25.41) = 1.57, </w:t>
      </w:r>
      <w:r w:rsidRPr="00D05EBD">
        <w:rPr>
          <w:i/>
          <w:sz w:val="24"/>
          <w:szCs w:val="24"/>
        </w:rPr>
        <w:t xml:space="preserve">p </w:t>
      </w:r>
      <w:r w:rsidRPr="00D05EBD">
        <w:rPr>
          <w:sz w:val="24"/>
          <w:szCs w:val="24"/>
        </w:rPr>
        <w:t>&gt; .05, with an effect estimated between -.15 and 1.08. The relationship between the interaction of emotional exhaustion and condition over awareness of use of IER was not significant either,</w:t>
      </w:r>
      <w:r w:rsidRPr="00D05EBD">
        <w:rPr>
          <w:i/>
          <w:sz w:val="24"/>
          <w:szCs w:val="24"/>
        </w:rPr>
        <w:t xml:space="preserve"> t</w:t>
      </w:r>
      <w:r w:rsidRPr="00D05EBD">
        <w:rPr>
          <w:sz w:val="24"/>
          <w:szCs w:val="24"/>
        </w:rPr>
        <w:t xml:space="preserve">(23.15) = -.32, </w:t>
      </w:r>
      <w:r w:rsidRPr="00D05EBD">
        <w:rPr>
          <w:i/>
          <w:sz w:val="24"/>
          <w:szCs w:val="24"/>
        </w:rPr>
        <w:t xml:space="preserve">p </w:t>
      </w:r>
      <w:r w:rsidRPr="00D05EBD">
        <w:rPr>
          <w:sz w:val="24"/>
          <w:szCs w:val="24"/>
        </w:rPr>
        <w:t xml:space="preserve">&gt; .05, with an effect estimated between -.94 and .69.  </w:t>
      </w:r>
    </w:p>
    <w:p w:rsidR="00FB1389" w:rsidRPr="00D05EBD" w:rsidRDefault="00FB1389" w:rsidP="00AE640B">
      <w:pPr>
        <w:spacing w:line="480" w:lineRule="auto"/>
        <w:ind w:firstLine="720"/>
        <w:jc w:val="both"/>
        <w:rPr>
          <w:sz w:val="24"/>
          <w:szCs w:val="24"/>
        </w:rPr>
      </w:pPr>
      <w:r w:rsidRPr="00D05EBD">
        <w:rPr>
          <w:sz w:val="24"/>
          <w:szCs w:val="24"/>
        </w:rPr>
        <w:t xml:space="preserve">A second mixed model analysis was conducted to explore the main effect of emotional exhaustion, and the interaction of cognitive load and emotional exhaustion, </w:t>
      </w:r>
      <w:r w:rsidRPr="00D05EBD">
        <w:rPr>
          <w:sz w:val="24"/>
          <w:szCs w:val="24"/>
        </w:rPr>
        <w:lastRenderedPageBreak/>
        <w:t>over the actors’ reported intention to use of IER to make their partners feel good. No significant relationship between emotional exhaustion and reported intention to use IER was found,</w:t>
      </w:r>
      <w:r w:rsidRPr="00D05EBD">
        <w:rPr>
          <w:i/>
          <w:sz w:val="24"/>
          <w:szCs w:val="24"/>
        </w:rPr>
        <w:t xml:space="preserve"> t</w:t>
      </w:r>
      <w:r w:rsidRPr="00D05EBD">
        <w:rPr>
          <w:sz w:val="24"/>
          <w:szCs w:val="24"/>
        </w:rPr>
        <w:t xml:space="preserve">(25.98) = 1.26, </w:t>
      </w:r>
      <w:r w:rsidRPr="00D05EBD">
        <w:rPr>
          <w:i/>
          <w:sz w:val="24"/>
          <w:szCs w:val="24"/>
        </w:rPr>
        <w:t xml:space="preserve">p </w:t>
      </w:r>
      <w:r w:rsidRPr="00D05EBD">
        <w:rPr>
          <w:sz w:val="24"/>
          <w:szCs w:val="24"/>
        </w:rPr>
        <w:t>&gt; .05, with an effect estimated between -.32 and 1.33. The relationship between the interaction effect of emotional exhaustion and condition over the intention to use IER was not significant either,</w:t>
      </w:r>
      <w:r w:rsidRPr="00D05EBD">
        <w:rPr>
          <w:i/>
          <w:sz w:val="24"/>
          <w:szCs w:val="24"/>
        </w:rPr>
        <w:t xml:space="preserve"> t</w:t>
      </w:r>
      <w:r w:rsidRPr="00D05EBD">
        <w:rPr>
          <w:sz w:val="24"/>
          <w:szCs w:val="24"/>
        </w:rPr>
        <w:t xml:space="preserve">(25.27) = -.29, </w:t>
      </w:r>
      <w:r w:rsidRPr="00D05EBD">
        <w:rPr>
          <w:i/>
          <w:sz w:val="24"/>
          <w:szCs w:val="24"/>
        </w:rPr>
        <w:t xml:space="preserve">p </w:t>
      </w:r>
      <w:r w:rsidRPr="00D05EBD">
        <w:rPr>
          <w:sz w:val="24"/>
          <w:szCs w:val="24"/>
        </w:rPr>
        <w:t>&gt; .05, with an effect estimated between -1.25 and .94.</w:t>
      </w:r>
    </w:p>
    <w:p w:rsidR="00FB1389" w:rsidRPr="00D05EBD" w:rsidRDefault="00FB1389" w:rsidP="00AE640B">
      <w:pPr>
        <w:spacing w:line="480" w:lineRule="auto"/>
        <w:ind w:firstLine="720"/>
        <w:jc w:val="both"/>
        <w:rPr>
          <w:sz w:val="24"/>
          <w:szCs w:val="24"/>
        </w:rPr>
      </w:pPr>
      <w:r w:rsidRPr="00D05EBD">
        <w:rPr>
          <w:sz w:val="24"/>
          <w:szCs w:val="24"/>
        </w:rPr>
        <w:t>A third mixed model analysis for the main effect of emotional exhaustion and for the interaction effect of cognitive load and emotional exhaustion, over the actors’ reported effort exerted to use IER to make their partner feel good, showed no significant relationship between emotional exhaustion and effort to use IER to make the partner feel good,</w:t>
      </w:r>
      <w:r w:rsidRPr="00D05EBD">
        <w:rPr>
          <w:i/>
          <w:sz w:val="24"/>
          <w:szCs w:val="24"/>
        </w:rPr>
        <w:t xml:space="preserve"> t</w:t>
      </w:r>
      <w:r w:rsidRPr="00D05EBD">
        <w:rPr>
          <w:sz w:val="24"/>
          <w:szCs w:val="24"/>
        </w:rPr>
        <w:t xml:space="preserve">(24.02) = .77, </w:t>
      </w:r>
      <w:r w:rsidRPr="00D05EBD">
        <w:rPr>
          <w:i/>
          <w:sz w:val="24"/>
          <w:szCs w:val="24"/>
        </w:rPr>
        <w:t xml:space="preserve">p </w:t>
      </w:r>
      <w:r w:rsidRPr="00D05EBD">
        <w:rPr>
          <w:sz w:val="24"/>
          <w:szCs w:val="24"/>
        </w:rPr>
        <w:t>&gt; .05, with an effect estimated between -.34 and .75. The relationship between the interaction effect of emotional exhaustion and condition over exerted effort to use IER was not significant either,</w:t>
      </w:r>
      <w:r w:rsidRPr="00D05EBD">
        <w:rPr>
          <w:i/>
          <w:sz w:val="24"/>
          <w:szCs w:val="24"/>
        </w:rPr>
        <w:t xml:space="preserve"> t</w:t>
      </w:r>
      <w:r w:rsidRPr="00D05EBD">
        <w:rPr>
          <w:sz w:val="24"/>
          <w:szCs w:val="24"/>
        </w:rPr>
        <w:t xml:space="preserve">(19.37) = .13, </w:t>
      </w:r>
      <w:r w:rsidRPr="00D05EBD">
        <w:rPr>
          <w:i/>
          <w:sz w:val="24"/>
          <w:szCs w:val="24"/>
        </w:rPr>
        <w:t xml:space="preserve">p </w:t>
      </w:r>
      <w:r w:rsidRPr="00D05EBD">
        <w:rPr>
          <w:sz w:val="24"/>
          <w:szCs w:val="24"/>
        </w:rPr>
        <w:t xml:space="preserve">&gt; .05, with an effect estimated between -.67 and .75.  </w:t>
      </w:r>
    </w:p>
    <w:p w:rsidR="00FB1389" w:rsidRPr="00D05EBD" w:rsidRDefault="00FB1389" w:rsidP="00AE640B">
      <w:pPr>
        <w:pStyle w:val="Prrafodelista"/>
        <w:numPr>
          <w:ilvl w:val="0"/>
          <w:numId w:val="19"/>
        </w:numPr>
        <w:spacing w:line="480" w:lineRule="auto"/>
        <w:ind w:left="0" w:firstLine="360"/>
        <w:jc w:val="both"/>
        <w:rPr>
          <w:i/>
          <w:sz w:val="24"/>
          <w:szCs w:val="24"/>
        </w:rPr>
      </w:pPr>
      <w:r w:rsidRPr="00D05EBD">
        <w:rPr>
          <w:i/>
          <w:sz w:val="24"/>
          <w:szCs w:val="24"/>
        </w:rPr>
        <w:t xml:space="preserve">Affect and cognitive load. </w:t>
      </w:r>
      <w:r w:rsidRPr="00D05EBD">
        <w:rPr>
          <w:sz w:val="24"/>
          <w:szCs w:val="24"/>
        </w:rPr>
        <w:t xml:space="preserve">The first mixed model analysis exploring the effects of affect on the actors’ awareness of use of IER to make their partners feel good, found no relationship between affect and the actors’ awareness, </w:t>
      </w:r>
      <w:r w:rsidRPr="00D05EBD">
        <w:rPr>
          <w:i/>
          <w:sz w:val="24"/>
          <w:szCs w:val="24"/>
        </w:rPr>
        <w:t>t</w:t>
      </w:r>
      <w:r w:rsidRPr="00D05EBD">
        <w:rPr>
          <w:sz w:val="24"/>
          <w:szCs w:val="24"/>
        </w:rPr>
        <w:t xml:space="preserve">(36.6) = .20, </w:t>
      </w:r>
      <w:r w:rsidRPr="00D05EBD">
        <w:rPr>
          <w:i/>
          <w:sz w:val="24"/>
          <w:szCs w:val="24"/>
        </w:rPr>
        <w:t xml:space="preserve">p </w:t>
      </w:r>
      <w:r w:rsidRPr="00D05EBD">
        <w:rPr>
          <w:sz w:val="24"/>
          <w:szCs w:val="24"/>
        </w:rPr>
        <w:t xml:space="preserve">&gt; .05, with an effect estimated between -.60 and .73. There was no significant interaction effect either between cognitive load and affect on the actors’ awareness of using IER to make their partners feel good </w:t>
      </w:r>
      <w:r w:rsidRPr="00D05EBD">
        <w:rPr>
          <w:i/>
          <w:sz w:val="24"/>
          <w:szCs w:val="24"/>
        </w:rPr>
        <w:t>t</w:t>
      </w:r>
      <w:r w:rsidRPr="00D05EBD">
        <w:rPr>
          <w:sz w:val="24"/>
          <w:szCs w:val="24"/>
        </w:rPr>
        <w:t xml:space="preserve">(26.07) = -.31, </w:t>
      </w:r>
      <w:r w:rsidRPr="00D05EBD">
        <w:rPr>
          <w:i/>
          <w:sz w:val="24"/>
          <w:szCs w:val="24"/>
        </w:rPr>
        <w:t xml:space="preserve">p </w:t>
      </w:r>
      <w:r w:rsidRPr="00D05EBD">
        <w:rPr>
          <w:sz w:val="24"/>
          <w:szCs w:val="24"/>
        </w:rPr>
        <w:t>&gt; .05, with an effect estimated between -1 and .74.</w:t>
      </w:r>
    </w:p>
    <w:p w:rsidR="00FB1389" w:rsidRPr="00D05EBD" w:rsidRDefault="00FB1389" w:rsidP="00AE640B">
      <w:pPr>
        <w:spacing w:line="480" w:lineRule="auto"/>
        <w:ind w:firstLine="720"/>
        <w:jc w:val="both"/>
        <w:rPr>
          <w:sz w:val="24"/>
          <w:szCs w:val="24"/>
        </w:rPr>
      </w:pPr>
      <w:r w:rsidRPr="00D05EBD">
        <w:rPr>
          <w:sz w:val="24"/>
          <w:szCs w:val="24"/>
        </w:rPr>
        <w:t xml:space="preserve">The second mixed model analysis explored the effect of affect on the actors reported intention to make their dates feel good. No significant relationship between affect and the actors’ intention of using IER strategies to make their partners feel good </w:t>
      </w:r>
      <w:r w:rsidRPr="00D05EBD">
        <w:rPr>
          <w:sz w:val="24"/>
          <w:szCs w:val="24"/>
        </w:rPr>
        <w:lastRenderedPageBreak/>
        <w:t xml:space="preserve">was found, </w:t>
      </w:r>
      <w:r w:rsidRPr="00D05EBD">
        <w:rPr>
          <w:i/>
          <w:sz w:val="24"/>
          <w:szCs w:val="24"/>
        </w:rPr>
        <w:t>t</w:t>
      </w:r>
      <w:r w:rsidRPr="00D05EBD">
        <w:rPr>
          <w:sz w:val="24"/>
          <w:szCs w:val="24"/>
        </w:rPr>
        <w:t xml:space="preserve">(26.75) = -1.13, </w:t>
      </w:r>
      <w:r w:rsidRPr="00D05EBD">
        <w:rPr>
          <w:i/>
          <w:sz w:val="24"/>
          <w:szCs w:val="24"/>
        </w:rPr>
        <w:t xml:space="preserve">p </w:t>
      </w:r>
      <w:r w:rsidRPr="00D05EBD">
        <w:rPr>
          <w:sz w:val="24"/>
          <w:szCs w:val="24"/>
        </w:rPr>
        <w:t xml:space="preserve">&gt; .05, with an effect estimated between -1.31 and .38. There was no significant interaction effect either between cognitive load and affect on the actors’ intention to make his/her dates feel good </w:t>
      </w:r>
      <w:r w:rsidRPr="00D05EBD">
        <w:rPr>
          <w:i/>
          <w:sz w:val="24"/>
          <w:szCs w:val="24"/>
        </w:rPr>
        <w:t>t</w:t>
      </w:r>
      <w:r w:rsidRPr="00D05EBD">
        <w:rPr>
          <w:sz w:val="24"/>
          <w:szCs w:val="24"/>
        </w:rPr>
        <w:t xml:space="preserve">(24.67) = .43, </w:t>
      </w:r>
      <w:r w:rsidRPr="00D05EBD">
        <w:rPr>
          <w:i/>
          <w:sz w:val="24"/>
          <w:szCs w:val="24"/>
        </w:rPr>
        <w:t xml:space="preserve">p </w:t>
      </w:r>
      <w:r w:rsidRPr="00D05EBD">
        <w:rPr>
          <w:sz w:val="24"/>
          <w:szCs w:val="24"/>
        </w:rPr>
        <w:t>&gt; .05, with an effect estimated between -.91 and 1.38.</w:t>
      </w:r>
    </w:p>
    <w:p w:rsidR="00FB1389" w:rsidRPr="00D05EBD" w:rsidRDefault="00FB1389" w:rsidP="00AE640B">
      <w:pPr>
        <w:spacing w:line="480" w:lineRule="auto"/>
        <w:ind w:firstLine="720"/>
        <w:jc w:val="both"/>
        <w:rPr>
          <w:sz w:val="24"/>
          <w:szCs w:val="24"/>
        </w:rPr>
      </w:pPr>
      <w:r w:rsidRPr="00D05EBD">
        <w:rPr>
          <w:sz w:val="24"/>
          <w:szCs w:val="24"/>
        </w:rPr>
        <w:t xml:space="preserve">The third mixed model analysis explored whether affect would influence the actor’s effort exerted to make his/her dates feel good. No significant relationship between affect and the actors’ reported effort to make their partners feel good was found, </w:t>
      </w:r>
      <w:r w:rsidRPr="00D05EBD">
        <w:rPr>
          <w:i/>
          <w:sz w:val="24"/>
          <w:szCs w:val="24"/>
        </w:rPr>
        <w:t>t</w:t>
      </w:r>
      <w:r w:rsidRPr="00D05EBD">
        <w:rPr>
          <w:sz w:val="24"/>
          <w:szCs w:val="24"/>
        </w:rPr>
        <w:t xml:space="preserve">(23.84) = -.26, </w:t>
      </w:r>
      <w:r w:rsidRPr="00D05EBD">
        <w:rPr>
          <w:i/>
          <w:sz w:val="24"/>
          <w:szCs w:val="24"/>
        </w:rPr>
        <w:t xml:space="preserve">p </w:t>
      </w:r>
      <w:r w:rsidRPr="00D05EBD">
        <w:rPr>
          <w:sz w:val="24"/>
          <w:szCs w:val="24"/>
        </w:rPr>
        <w:t xml:space="preserve">&gt; .05, with an effect estimated between -.61 and .47. No significant interaction effect between cognitive load and affect on the actors effort exerted to make their dates feel good was found either </w:t>
      </w:r>
      <w:r w:rsidRPr="00D05EBD">
        <w:rPr>
          <w:i/>
          <w:sz w:val="24"/>
          <w:szCs w:val="24"/>
        </w:rPr>
        <w:t>t</w:t>
      </w:r>
      <w:r w:rsidRPr="00D05EBD">
        <w:rPr>
          <w:sz w:val="24"/>
          <w:szCs w:val="24"/>
        </w:rPr>
        <w:t xml:space="preserve">(21.16) = -.02, </w:t>
      </w:r>
      <w:r w:rsidRPr="00D05EBD">
        <w:rPr>
          <w:i/>
          <w:sz w:val="24"/>
          <w:szCs w:val="24"/>
        </w:rPr>
        <w:t xml:space="preserve">p </w:t>
      </w:r>
      <w:r w:rsidRPr="00D05EBD">
        <w:rPr>
          <w:sz w:val="24"/>
          <w:szCs w:val="24"/>
        </w:rPr>
        <w:t>&gt; .05, with an effect estimated between -.75 and .73.</w:t>
      </w:r>
    </w:p>
    <w:p w:rsidR="00FB1389" w:rsidRPr="00D05EBD" w:rsidRDefault="00FB1389" w:rsidP="00AE640B">
      <w:pPr>
        <w:spacing w:line="480" w:lineRule="auto"/>
        <w:ind w:firstLine="720"/>
        <w:jc w:val="both"/>
        <w:rPr>
          <w:sz w:val="24"/>
          <w:szCs w:val="24"/>
        </w:rPr>
      </w:pPr>
      <w:r w:rsidRPr="00D05EBD">
        <w:rPr>
          <w:sz w:val="24"/>
          <w:szCs w:val="24"/>
        </w:rPr>
        <w:t xml:space="preserve">Altogether, these results indicate that neither emotional exhaustion nor affect influenced the </w:t>
      </w:r>
      <w:r w:rsidR="000A4A7F">
        <w:rPr>
          <w:sz w:val="24"/>
          <w:szCs w:val="24"/>
        </w:rPr>
        <w:t>participant</w:t>
      </w:r>
      <w:r w:rsidR="000A4A7F" w:rsidRPr="00D05EBD">
        <w:rPr>
          <w:sz w:val="24"/>
          <w:szCs w:val="24"/>
        </w:rPr>
        <w:t>s</w:t>
      </w:r>
      <w:r w:rsidR="000A4A7F">
        <w:rPr>
          <w:sz w:val="24"/>
          <w:szCs w:val="24"/>
        </w:rPr>
        <w:t>’</w:t>
      </w:r>
      <w:r w:rsidRPr="00D05EBD">
        <w:rPr>
          <w:sz w:val="24"/>
          <w:szCs w:val="24"/>
        </w:rPr>
        <w:t xml:space="preserve"> levels of awareness, intention and effort when using IER to make their dates feel better. Also, the interaction between emotional exhaustion or affect and cognitive load did not affect the participants’ levels of awareness, intention and effort when using IER to make their dates feel good. Thus, the third hypothesis of the present study was not supported. </w:t>
      </w:r>
    </w:p>
    <w:p w:rsidR="00FB1389" w:rsidRPr="00D05EBD" w:rsidRDefault="003F3613" w:rsidP="00AE640B">
      <w:pPr>
        <w:spacing w:line="480" w:lineRule="auto"/>
        <w:ind w:firstLine="720"/>
        <w:jc w:val="both"/>
        <w:rPr>
          <w:sz w:val="24"/>
          <w:szCs w:val="24"/>
        </w:rPr>
      </w:pPr>
      <w:r>
        <w:rPr>
          <w:b/>
          <w:sz w:val="24"/>
          <w:szCs w:val="24"/>
        </w:rPr>
        <w:t>VIII</w:t>
      </w:r>
      <w:r w:rsidR="00FB1389" w:rsidRPr="00D05EBD">
        <w:rPr>
          <w:b/>
          <w:sz w:val="24"/>
          <w:szCs w:val="24"/>
        </w:rPr>
        <w:t>) Individual differences in AIER</w:t>
      </w:r>
    </w:p>
    <w:p w:rsidR="00FB1389" w:rsidRPr="00D05EBD" w:rsidRDefault="00FB1389" w:rsidP="00AE640B">
      <w:pPr>
        <w:spacing w:line="480" w:lineRule="auto"/>
        <w:ind w:firstLine="720"/>
        <w:jc w:val="both"/>
        <w:rPr>
          <w:sz w:val="24"/>
          <w:szCs w:val="24"/>
        </w:rPr>
      </w:pPr>
      <w:r w:rsidRPr="00D05EBD">
        <w:rPr>
          <w:sz w:val="24"/>
          <w:szCs w:val="24"/>
        </w:rPr>
        <w:t xml:space="preserve">The last section of the results explored whether individual differences in the habitual use of IER (as measured by the SRHI), difficulties in controlling impulses (as measured by the ‘impulse control difficulties’ factor of the DERS), and lack of emotional awareness (as measured by the DERS factor of the same name) could have affected the </w:t>
      </w:r>
      <w:r w:rsidRPr="00D05EBD">
        <w:rPr>
          <w:sz w:val="24"/>
          <w:szCs w:val="24"/>
        </w:rPr>
        <w:lastRenderedPageBreak/>
        <w:t>participants’ awareness, intention and effort exerted when using IER to make their partners feel good. As the previous results sections have focused only on IER to make the partner feel good, only the habitual use of IER to improve a person’s emotions was used (namely the SRHI items exploring the extent to which participants habitually make people feel better). Separate mixed model analyses for each one of the predictors (habitual use of IER, difficulties in controlling impulses, lack of emotional awareness) were conducted to predict the actor’s awareness of use of IER, intention to use IER, and effort exerted to use IER. Next, each of the predictors will be presented separately.</w:t>
      </w:r>
    </w:p>
    <w:p w:rsidR="00FB1389" w:rsidRPr="00D05EBD" w:rsidRDefault="003F3613" w:rsidP="00AE640B">
      <w:pPr>
        <w:spacing w:line="480" w:lineRule="auto"/>
        <w:ind w:firstLine="720"/>
        <w:jc w:val="both"/>
        <w:rPr>
          <w:i/>
          <w:sz w:val="24"/>
          <w:szCs w:val="24"/>
        </w:rPr>
      </w:pPr>
      <w:r>
        <w:rPr>
          <w:i/>
          <w:sz w:val="24"/>
          <w:szCs w:val="24"/>
        </w:rPr>
        <w:t>VIII</w:t>
      </w:r>
      <w:r w:rsidR="00FB1389" w:rsidRPr="00D05EBD">
        <w:rPr>
          <w:i/>
          <w:sz w:val="24"/>
          <w:szCs w:val="24"/>
        </w:rPr>
        <w:t>.1 Habitual use of IER.</w:t>
      </w:r>
    </w:p>
    <w:p w:rsidR="00FB1389" w:rsidRDefault="00FB1389" w:rsidP="00AE640B">
      <w:pPr>
        <w:spacing w:line="480" w:lineRule="auto"/>
        <w:ind w:firstLine="720"/>
        <w:jc w:val="both"/>
        <w:rPr>
          <w:sz w:val="24"/>
          <w:szCs w:val="24"/>
        </w:rPr>
      </w:pPr>
      <w:r w:rsidRPr="00D05EBD">
        <w:rPr>
          <w:sz w:val="24"/>
          <w:szCs w:val="24"/>
        </w:rPr>
        <w:t>The first three mixed model analyses explored whether the participants</w:t>
      </w:r>
      <w:r w:rsidR="002F6AF0">
        <w:rPr>
          <w:sz w:val="24"/>
          <w:szCs w:val="24"/>
        </w:rPr>
        <w:t>’</w:t>
      </w:r>
      <w:r w:rsidRPr="00D05EBD">
        <w:rPr>
          <w:sz w:val="24"/>
          <w:szCs w:val="24"/>
        </w:rPr>
        <w:t xml:space="preserve"> scores on the SRHI affected their reports on their awareness, intention and effort to use of IER.  No significant relationship between habitual use of IER strategies and the actors’ reported awareness of use to make their partners feel good was found, </w:t>
      </w:r>
      <w:r w:rsidRPr="00D05EBD">
        <w:rPr>
          <w:i/>
          <w:sz w:val="24"/>
          <w:szCs w:val="24"/>
        </w:rPr>
        <w:t>t</w:t>
      </w:r>
      <w:r w:rsidRPr="00D05EBD">
        <w:rPr>
          <w:sz w:val="24"/>
          <w:szCs w:val="24"/>
        </w:rPr>
        <w:t xml:space="preserve">(28.90) = -.42, </w:t>
      </w:r>
      <w:r w:rsidRPr="00D05EBD">
        <w:rPr>
          <w:i/>
          <w:sz w:val="24"/>
          <w:szCs w:val="24"/>
        </w:rPr>
        <w:t xml:space="preserve">p </w:t>
      </w:r>
      <w:r w:rsidRPr="00D05EBD">
        <w:rPr>
          <w:sz w:val="24"/>
          <w:szCs w:val="24"/>
        </w:rPr>
        <w:t xml:space="preserve">= .68, with an effect estimated between -.18 and .12. A marginally significant relationship between habitual use of IER strategies and the actors intention to make their dates feel good was found </w:t>
      </w:r>
      <w:r w:rsidRPr="00D05EBD">
        <w:rPr>
          <w:i/>
          <w:sz w:val="24"/>
          <w:szCs w:val="24"/>
        </w:rPr>
        <w:t>t</w:t>
      </w:r>
      <w:r w:rsidRPr="00D05EBD">
        <w:rPr>
          <w:sz w:val="24"/>
          <w:szCs w:val="24"/>
        </w:rPr>
        <w:t xml:space="preserve">(28.98) = -1.96, </w:t>
      </w:r>
      <w:r w:rsidRPr="00D05EBD">
        <w:rPr>
          <w:i/>
          <w:sz w:val="24"/>
          <w:szCs w:val="24"/>
        </w:rPr>
        <w:t xml:space="preserve">p </w:t>
      </w:r>
      <w:r w:rsidRPr="00D05EBD">
        <w:rPr>
          <w:sz w:val="24"/>
          <w:szCs w:val="24"/>
        </w:rPr>
        <w:t xml:space="preserve">= .059, with an effect estimated between -.37 and .01. There was a non-significant effect between the habitual use of IER reported by participants and the effort they reporting exerting to make their dates feel good </w:t>
      </w:r>
      <w:r w:rsidRPr="00D05EBD">
        <w:rPr>
          <w:i/>
          <w:sz w:val="24"/>
          <w:szCs w:val="24"/>
        </w:rPr>
        <w:t>t</w:t>
      </w:r>
      <w:r w:rsidRPr="00D05EBD">
        <w:rPr>
          <w:sz w:val="24"/>
          <w:szCs w:val="24"/>
        </w:rPr>
        <w:t xml:space="preserve">(21.95) = -.37, </w:t>
      </w:r>
      <w:r w:rsidRPr="00D05EBD">
        <w:rPr>
          <w:i/>
          <w:sz w:val="24"/>
          <w:szCs w:val="24"/>
        </w:rPr>
        <w:t xml:space="preserve">p </w:t>
      </w:r>
      <w:r w:rsidRPr="00D05EBD">
        <w:rPr>
          <w:sz w:val="24"/>
          <w:szCs w:val="24"/>
        </w:rPr>
        <w:t xml:space="preserve">= .72, with an effect estimated between -.16 and .11. These first results partially support the fourth hypothesis of the present study in that a more habitual use of IER to make people feel better was related to participants intending less to make their dates feel good.   </w:t>
      </w:r>
    </w:p>
    <w:p w:rsidR="000A48A8" w:rsidRPr="00D05EBD" w:rsidRDefault="000A48A8" w:rsidP="00AE640B">
      <w:pPr>
        <w:spacing w:line="480" w:lineRule="auto"/>
        <w:ind w:firstLine="720"/>
        <w:jc w:val="both"/>
        <w:rPr>
          <w:sz w:val="24"/>
          <w:szCs w:val="24"/>
        </w:rPr>
      </w:pPr>
    </w:p>
    <w:p w:rsidR="00FB1389" w:rsidRPr="00D05EBD" w:rsidRDefault="003F3613" w:rsidP="00AE640B">
      <w:pPr>
        <w:spacing w:line="480" w:lineRule="auto"/>
        <w:ind w:firstLine="720"/>
        <w:jc w:val="both"/>
        <w:rPr>
          <w:i/>
          <w:sz w:val="24"/>
          <w:szCs w:val="24"/>
        </w:rPr>
      </w:pPr>
      <w:r>
        <w:rPr>
          <w:i/>
          <w:sz w:val="24"/>
          <w:szCs w:val="24"/>
        </w:rPr>
        <w:lastRenderedPageBreak/>
        <w:t>VIII</w:t>
      </w:r>
      <w:r w:rsidR="00FB1389" w:rsidRPr="00D05EBD">
        <w:rPr>
          <w:i/>
          <w:sz w:val="24"/>
          <w:szCs w:val="24"/>
        </w:rPr>
        <w:t>.2 Difficulties in controlling impulses and lack of emotional awareness</w:t>
      </w:r>
    </w:p>
    <w:p w:rsidR="00FB1389" w:rsidRPr="00D05EBD" w:rsidRDefault="00FB1389" w:rsidP="00AE640B">
      <w:pPr>
        <w:spacing w:line="480" w:lineRule="auto"/>
        <w:ind w:firstLine="720"/>
        <w:jc w:val="both"/>
        <w:rPr>
          <w:sz w:val="24"/>
          <w:szCs w:val="24"/>
        </w:rPr>
      </w:pPr>
      <w:r w:rsidRPr="00D05EBD">
        <w:rPr>
          <w:sz w:val="24"/>
          <w:szCs w:val="24"/>
        </w:rPr>
        <w:t xml:space="preserve">To explore whether the participants scores on the DER’s factors “difficulties in controlling impulses” and “lack of emotional awareness” affected the participants’ awareness, intention and effort to use IER to make their dates feel good, separate mixed model analyses were conducted. The first three mixed model analyses looked at the relationship between difficulties to control impulses and awareness, intention and effort. There was a non-significant association between difficulties to control emotions and the participants’ report on their awareness to use IER to make their dates feel good </w:t>
      </w:r>
      <w:r w:rsidRPr="00D05EBD">
        <w:rPr>
          <w:i/>
          <w:sz w:val="24"/>
          <w:szCs w:val="24"/>
        </w:rPr>
        <w:t>t</w:t>
      </w:r>
      <w:r w:rsidRPr="00D05EBD">
        <w:rPr>
          <w:sz w:val="24"/>
          <w:szCs w:val="24"/>
        </w:rPr>
        <w:t xml:space="preserve">(24.95) = -1.04, </w:t>
      </w:r>
      <w:r w:rsidRPr="00D05EBD">
        <w:rPr>
          <w:i/>
          <w:sz w:val="24"/>
          <w:szCs w:val="24"/>
        </w:rPr>
        <w:t xml:space="preserve">p </w:t>
      </w:r>
      <w:r w:rsidRPr="00D05EBD">
        <w:rPr>
          <w:sz w:val="24"/>
          <w:szCs w:val="24"/>
        </w:rPr>
        <w:t xml:space="preserve">= .31, with an effect estimated between -.48 and .16. There was also a non-significant relationship between the participants’ difficulties to control impulses and the intention they reported to make their dates feel good </w:t>
      </w:r>
      <w:r w:rsidRPr="00D05EBD">
        <w:rPr>
          <w:i/>
          <w:sz w:val="24"/>
          <w:szCs w:val="24"/>
        </w:rPr>
        <w:t>t</w:t>
      </w:r>
      <w:r w:rsidRPr="00D05EBD">
        <w:rPr>
          <w:sz w:val="24"/>
          <w:szCs w:val="24"/>
        </w:rPr>
        <w:t xml:space="preserve">(27.43) = -.45, </w:t>
      </w:r>
      <w:r w:rsidRPr="00D05EBD">
        <w:rPr>
          <w:i/>
          <w:sz w:val="24"/>
          <w:szCs w:val="24"/>
        </w:rPr>
        <w:t xml:space="preserve">p </w:t>
      </w:r>
      <w:r w:rsidRPr="00D05EBD">
        <w:rPr>
          <w:sz w:val="24"/>
          <w:szCs w:val="24"/>
        </w:rPr>
        <w:t xml:space="preserve">= .66, with an effect estimated between -.51 and .32. The relationship between the participants’ difficulties to control impulses and the effort they reported exerting to make their dates feel good was not significant either </w:t>
      </w:r>
      <w:r w:rsidRPr="00D05EBD">
        <w:rPr>
          <w:i/>
          <w:sz w:val="24"/>
          <w:szCs w:val="24"/>
        </w:rPr>
        <w:t>t</w:t>
      </w:r>
      <w:r w:rsidRPr="00D05EBD">
        <w:rPr>
          <w:sz w:val="24"/>
          <w:szCs w:val="24"/>
        </w:rPr>
        <w:t xml:space="preserve">(23.38) = 1.43, </w:t>
      </w:r>
      <w:r w:rsidRPr="00D05EBD">
        <w:rPr>
          <w:i/>
          <w:sz w:val="24"/>
          <w:szCs w:val="24"/>
        </w:rPr>
        <w:t xml:space="preserve">p </w:t>
      </w:r>
      <w:r w:rsidRPr="00D05EBD">
        <w:rPr>
          <w:sz w:val="24"/>
          <w:szCs w:val="24"/>
        </w:rPr>
        <w:t>= .17, with an effect estimated between -.08 and .46. These results do not support the fifth hypothesis of the present study as they indicate that the participants’ difficulties to control their impulses did not affect the participants’ awareness, intention nor effort to use IER to make their dates feel good.</w:t>
      </w:r>
    </w:p>
    <w:p w:rsidR="00FB1389" w:rsidRPr="00D05EBD" w:rsidRDefault="00FB1389" w:rsidP="00AE640B">
      <w:pPr>
        <w:spacing w:line="480" w:lineRule="auto"/>
        <w:ind w:firstLine="720"/>
        <w:jc w:val="both"/>
        <w:rPr>
          <w:sz w:val="24"/>
          <w:szCs w:val="24"/>
        </w:rPr>
      </w:pPr>
      <w:r w:rsidRPr="00D05EBD">
        <w:rPr>
          <w:sz w:val="24"/>
          <w:szCs w:val="24"/>
        </w:rPr>
        <w:t xml:space="preserve">The second three mixed model analyses looked at the relationship between lack of emotional awareness and the participants’ reported awareness, intention and effort to make their dates feel good. There was a non-significant association between lack of emotional awareness and the participants’ report on their awareness to use IER to make their dates feel good </w:t>
      </w:r>
      <w:r w:rsidRPr="00D05EBD">
        <w:rPr>
          <w:i/>
          <w:sz w:val="24"/>
          <w:szCs w:val="24"/>
        </w:rPr>
        <w:t>t</w:t>
      </w:r>
      <w:r w:rsidRPr="00D05EBD">
        <w:rPr>
          <w:sz w:val="24"/>
          <w:szCs w:val="24"/>
        </w:rPr>
        <w:t xml:space="preserve">(25.10) = 1.32, </w:t>
      </w:r>
      <w:r w:rsidRPr="00D05EBD">
        <w:rPr>
          <w:i/>
          <w:sz w:val="24"/>
          <w:szCs w:val="24"/>
        </w:rPr>
        <w:t xml:space="preserve">p </w:t>
      </w:r>
      <w:r w:rsidRPr="00D05EBD">
        <w:rPr>
          <w:sz w:val="24"/>
          <w:szCs w:val="24"/>
        </w:rPr>
        <w:t xml:space="preserve">= .20, with an effect estimated between -.11 and </w:t>
      </w:r>
      <w:r w:rsidRPr="00D05EBD">
        <w:rPr>
          <w:sz w:val="24"/>
          <w:szCs w:val="24"/>
        </w:rPr>
        <w:lastRenderedPageBreak/>
        <w:t xml:space="preserve">.48. However, there was a significant association between lack of emotional awareness and the participants’ intention to use IER to make their dates feel good </w:t>
      </w:r>
      <w:r w:rsidRPr="00D05EBD">
        <w:rPr>
          <w:i/>
          <w:sz w:val="24"/>
          <w:szCs w:val="24"/>
        </w:rPr>
        <w:t>t</w:t>
      </w:r>
      <w:r w:rsidRPr="00D05EBD">
        <w:rPr>
          <w:sz w:val="24"/>
          <w:szCs w:val="24"/>
        </w:rPr>
        <w:t xml:space="preserve">(24.90) = 3.05, </w:t>
      </w:r>
      <w:r w:rsidRPr="00D05EBD">
        <w:rPr>
          <w:i/>
          <w:sz w:val="24"/>
          <w:szCs w:val="24"/>
        </w:rPr>
        <w:t xml:space="preserve">p </w:t>
      </w:r>
      <w:r w:rsidRPr="00D05EBD">
        <w:rPr>
          <w:sz w:val="24"/>
          <w:szCs w:val="24"/>
        </w:rPr>
        <w:t xml:space="preserve">&lt; .01, with an effect estimated between .16 and .80. Finally, there was also a significant association between lack of emotional awareness and the participants’ report on their effort exerted to make their dates feel good </w:t>
      </w:r>
      <w:r w:rsidRPr="00D05EBD">
        <w:rPr>
          <w:i/>
          <w:sz w:val="24"/>
          <w:szCs w:val="24"/>
        </w:rPr>
        <w:t>t</w:t>
      </w:r>
      <w:r w:rsidRPr="00D05EBD">
        <w:rPr>
          <w:sz w:val="24"/>
          <w:szCs w:val="24"/>
        </w:rPr>
        <w:t xml:space="preserve">(24.07) = 2.41, </w:t>
      </w:r>
      <w:r w:rsidRPr="00D05EBD">
        <w:rPr>
          <w:i/>
          <w:sz w:val="24"/>
          <w:szCs w:val="24"/>
        </w:rPr>
        <w:t xml:space="preserve">p </w:t>
      </w:r>
      <w:r w:rsidRPr="00D05EBD">
        <w:rPr>
          <w:sz w:val="24"/>
          <w:szCs w:val="24"/>
        </w:rPr>
        <w:t xml:space="preserve">&lt; .05, with an effect estimated between .04 and .51. These results partially support the sixth and last hypothesis of the present study in that the more aware participants are of their emotions the more they reported intending and exerting effort to use IER to make their dates feel good. </w:t>
      </w:r>
    </w:p>
    <w:p w:rsidR="00FB1389" w:rsidRPr="00D05EBD" w:rsidRDefault="00FB1389" w:rsidP="00AE640B">
      <w:pPr>
        <w:spacing w:line="480" w:lineRule="auto"/>
        <w:ind w:firstLine="720"/>
        <w:jc w:val="both"/>
        <w:rPr>
          <w:b/>
          <w:sz w:val="24"/>
          <w:szCs w:val="24"/>
        </w:rPr>
      </w:pPr>
      <w:r w:rsidRPr="00D05EBD">
        <w:rPr>
          <w:b/>
          <w:sz w:val="24"/>
          <w:szCs w:val="24"/>
        </w:rPr>
        <w:t>5.4.3 Discussion</w:t>
      </w:r>
    </w:p>
    <w:p w:rsidR="00FB1389" w:rsidRPr="00D05EBD" w:rsidRDefault="00FB1389" w:rsidP="00AE640B">
      <w:pPr>
        <w:spacing w:line="480" w:lineRule="auto"/>
        <w:ind w:firstLine="720"/>
        <w:jc w:val="both"/>
        <w:rPr>
          <w:sz w:val="24"/>
          <w:szCs w:val="24"/>
        </w:rPr>
      </w:pPr>
      <w:r w:rsidRPr="00D05EBD">
        <w:rPr>
          <w:sz w:val="24"/>
          <w:szCs w:val="24"/>
        </w:rPr>
        <w:t xml:space="preserve">The present research explored whether being under high cognitive load could have affected the participants’ use of IER strategies to make potential romantic partners feel good or bad. To test this idea, a speed-dating event was designed, where participants had the opportunity to have a series of short duration dates in the hope of finding a romantic partner to go on a second date with and to use IER strategies. When looking at the reports of participants about their use of improving and worsening IER strategies during their dates, it was observed that worsening IER strategies were barely used, which is why the present research focused on the effect of being under high cognitive load (or not) on the use of improving IER strategies. It was expected that being under high cognitive load (in contrast to being under low cognitive load) would make participants more likely to use AIER, as reflected on the participants reporting less awareness, intention and effort to use IER during their dates. The results suggest that when participants were under high cognitive load they used less effort to regulate the </w:t>
      </w:r>
      <w:r w:rsidRPr="00D05EBD">
        <w:rPr>
          <w:sz w:val="24"/>
          <w:szCs w:val="24"/>
        </w:rPr>
        <w:lastRenderedPageBreak/>
        <w:t xml:space="preserve">emotions of their dates. Furthermore, when participants reported not having much mental energy, their reports on their exerted effort to make their partners feel good were even lower. Importantly, this decrease in effort seemed not to be caused by the participants simply using less IER strategies to make their dates feel good, as neither the actors reported being aware of using less IER strategies, nor his/her partners perceived the actors use of IER varied between cognitive load conditions (high and low cognitive load). Exerting less effort to regulate someone else’s emotions could indicate a certain extent of automaticity of IER. </w:t>
      </w:r>
    </w:p>
    <w:p w:rsidR="00FB1389" w:rsidRPr="00D05EBD" w:rsidRDefault="00FB1389" w:rsidP="00AE640B">
      <w:pPr>
        <w:spacing w:line="480" w:lineRule="auto"/>
        <w:ind w:firstLine="720"/>
        <w:jc w:val="both"/>
        <w:rPr>
          <w:sz w:val="24"/>
          <w:szCs w:val="24"/>
        </w:rPr>
      </w:pPr>
      <w:r w:rsidRPr="00D05EBD">
        <w:rPr>
          <w:sz w:val="24"/>
          <w:szCs w:val="24"/>
        </w:rPr>
        <w:t xml:space="preserve">  As there is evidence that shows that exerting self-control in one task depletes people of their self-regulatory resources in a subsequent task that requires it, in the present study is was also expected that a consecutive use of IER would deplete participants of their regulatory resources, making participants under high cognitive load (as compared with participants under low cognitive load) more vulnerable to use AIER when interacting with their dates. The results </w:t>
      </w:r>
      <w:r w:rsidR="00F14C41">
        <w:rPr>
          <w:sz w:val="24"/>
          <w:szCs w:val="24"/>
        </w:rPr>
        <w:t>of the present study supported this idea</w:t>
      </w:r>
      <w:r w:rsidRPr="00D05EBD">
        <w:rPr>
          <w:sz w:val="24"/>
          <w:szCs w:val="24"/>
        </w:rPr>
        <w:t xml:space="preserve">, participants’ awareness of using IER and the intention to use IER declined when participants were under high cognitive load but only as their dates progressed, which suggests that consecutively regulating the emotions of their dates may have depleted participants’ regulatory resources, making them more prone to rely on AIER when they were under high cognitive load, in comparison to not being under cognitive load. </w:t>
      </w:r>
    </w:p>
    <w:p w:rsidR="00FB1389" w:rsidRPr="00D05EBD" w:rsidRDefault="00FB1389" w:rsidP="00AE640B">
      <w:pPr>
        <w:spacing w:line="480" w:lineRule="auto"/>
        <w:ind w:firstLine="720"/>
        <w:jc w:val="both"/>
        <w:rPr>
          <w:sz w:val="24"/>
          <w:szCs w:val="24"/>
        </w:rPr>
      </w:pPr>
      <w:r w:rsidRPr="00D05EBD">
        <w:rPr>
          <w:sz w:val="24"/>
          <w:szCs w:val="24"/>
        </w:rPr>
        <w:t xml:space="preserve">Other factors that may have also affected the participants use of AIER were also explored, namely, whether being emotionally exhausted and having a negative affect could have made participants under high cognitive load (in comparison to participants under low cognitive load) more prone to use AIER. No effect of being emotionally </w:t>
      </w:r>
      <w:r w:rsidRPr="00D05EBD">
        <w:rPr>
          <w:sz w:val="24"/>
          <w:szCs w:val="24"/>
        </w:rPr>
        <w:lastRenderedPageBreak/>
        <w:t xml:space="preserve">exhausted nor </w:t>
      </w:r>
      <w:r w:rsidR="00F14C41">
        <w:rPr>
          <w:sz w:val="24"/>
          <w:szCs w:val="24"/>
        </w:rPr>
        <w:t xml:space="preserve">of </w:t>
      </w:r>
      <w:r w:rsidRPr="00D05EBD">
        <w:rPr>
          <w:sz w:val="24"/>
          <w:szCs w:val="24"/>
        </w:rPr>
        <w:t xml:space="preserve">having a negative affect when being </w:t>
      </w:r>
      <w:r w:rsidR="00F14C41">
        <w:rPr>
          <w:sz w:val="24"/>
          <w:szCs w:val="24"/>
        </w:rPr>
        <w:t xml:space="preserve">under </w:t>
      </w:r>
      <w:r w:rsidRPr="00D05EBD">
        <w:rPr>
          <w:sz w:val="24"/>
          <w:szCs w:val="24"/>
        </w:rPr>
        <w:t xml:space="preserve">high cognitive load was found over the </w:t>
      </w:r>
      <w:r w:rsidR="00F14C41" w:rsidRPr="00D05EBD">
        <w:rPr>
          <w:sz w:val="24"/>
          <w:szCs w:val="24"/>
        </w:rPr>
        <w:t>participants’</w:t>
      </w:r>
      <w:r w:rsidRPr="00D05EBD">
        <w:rPr>
          <w:sz w:val="24"/>
          <w:szCs w:val="24"/>
        </w:rPr>
        <w:t xml:space="preserve"> awareness, intention and effort to use IER was found. </w:t>
      </w:r>
    </w:p>
    <w:p w:rsidR="00FB1389" w:rsidRPr="00D05EBD" w:rsidRDefault="00FB1389" w:rsidP="00AE640B">
      <w:pPr>
        <w:spacing w:line="480" w:lineRule="auto"/>
        <w:ind w:firstLine="720"/>
        <w:jc w:val="both"/>
        <w:rPr>
          <w:sz w:val="24"/>
          <w:szCs w:val="24"/>
        </w:rPr>
      </w:pPr>
      <w:r w:rsidRPr="00D05EBD">
        <w:rPr>
          <w:sz w:val="24"/>
          <w:szCs w:val="24"/>
        </w:rPr>
        <w:t xml:space="preserve">Finally, individual differences, such as habitually using IER, having difficulties to control impulses and lacking emotional awareness may cause participants to use IER. The results showed that </w:t>
      </w:r>
      <w:r w:rsidR="00F14C41" w:rsidRPr="00D05EBD">
        <w:rPr>
          <w:sz w:val="24"/>
          <w:szCs w:val="24"/>
        </w:rPr>
        <w:t>a</w:t>
      </w:r>
      <w:r w:rsidRPr="00D05EBD">
        <w:rPr>
          <w:sz w:val="24"/>
          <w:szCs w:val="24"/>
        </w:rPr>
        <w:t xml:space="preserve"> habitual use of IER to make people feel good predicted the </w:t>
      </w:r>
      <w:r w:rsidR="00F14C41" w:rsidRPr="00D05EBD">
        <w:rPr>
          <w:sz w:val="24"/>
          <w:szCs w:val="24"/>
        </w:rPr>
        <w:t>participants’</w:t>
      </w:r>
      <w:r w:rsidRPr="00D05EBD">
        <w:rPr>
          <w:sz w:val="24"/>
          <w:szCs w:val="24"/>
        </w:rPr>
        <w:t xml:space="preserve"> intention to make their dates feel good. Nevertheless, having difficulties controlling impulses did not predict the participant’s automatic use of IER, but being emotionally aware (i.e. attending and acknowledging emotions) did predict the </w:t>
      </w:r>
      <w:r w:rsidR="00F14C41" w:rsidRPr="00D05EBD">
        <w:rPr>
          <w:sz w:val="24"/>
          <w:szCs w:val="24"/>
        </w:rPr>
        <w:t>participants’</w:t>
      </w:r>
      <w:r w:rsidRPr="00D05EBD">
        <w:rPr>
          <w:sz w:val="24"/>
          <w:szCs w:val="24"/>
        </w:rPr>
        <w:t xml:space="preserve"> intention and effort to use IER, in that participants who reported having less emotional awareness reported intending and using less effort to make their dates feel good, in comparison to participants with high emotional awareness. </w:t>
      </w:r>
    </w:p>
    <w:p w:rsidR="00FB1389" w:rsidRPr="00D05EBD" w:rsidRDefault="00FB1389" w:rsidP="00AE640B">
      <w:pPr>
        <w:spacing w:line="480" w:lineRule="auto"/>
        <w:ind w:firstLine="720"/>
        <w:jc w:val="both"/>
        <w:rPr>
          <w:sz w:val="24"/>
          <w:szCs w:val="24"/>
        </w:rPr>
      </w:pPr>
      <w:r w:rsidRPr="00D05EBD">
        <w:rPr>
          <w:sz w:val="24"/>
          <w:szCs w:val="24"/>
        </w:rPr>
        <w:t xml:space="preserve">Altogether, these results provide some evidence that </w:t>
      </w:r>
      <w:r w:rsidR="004C0E2A">
        <w:rPr>
          <w:sz w:val="24"/>
          <w:szCs w:val="24"/>
        </w:rPr>
        <w:t xml:space="preserve">suggest </w:t>
      </w:r>
      <w:r w:rsidRPr="00D05EBD">
        <w:rPr>
          <w:sz w:val="24"/>
          <w:szCs w:val="24"/>
        </w:rPr>
        <w:t xml:space="preserve">AIER occurs, at least in the context of a speed dating event and when participants engage in IER to make potential romantic partners feel good. Next, each one of the findings will be explored in more detail and an explanation of why in this thesis it is suggested that these results indicate that AIER happens, will be presented.  </w:t>
      </w:r>
    </w:p>
    <w:p w:rsidR="00FB1389" w:rsidRPr="00D05EBD" w:rsidRDefault="00FB1389" w:rsidP="00AE640B">
      <w:pPr>
        <w:spacing w:line="480" w:lineRule="auto"/>
        <w:ind w:firstLine="720"/>
        <w:jc w:val="both"/>
        <w:rPr>
          <w:sz w:val="24"/>
          <w:szCs w:val="24"/>
        </w:rPr>
      </w:pPr>
      <w:r w:rsidRPr="00D05EBD">
        <w:rPr>
          <w:sz w:val="24"/>
          <w:szCs w:val="24"/>
        </w:rPr>
        <w:t xml:space="preserve">The fact that people in the cognitive load condition experienced less intention to use IER after more dates may be explained by what Bargh (1989, 1999., in Moors &amp; </w:t>
      </w:r>
      <w:proofErr w:type="spellStart"/>
      <w:r w:rsidRPr="00D05EBD">
        <w:rPr>
          <w:sz w:val="24"/>
          <w:szCs w:val="24"/>
        </w:rPr>
        <w:t>DeHouwer</w:t>
      </w:r>
      <w:proofErr w:type="spellEnd"/>
      <w:r w:rsidRPr="00D05EBD">
        <w:rPr>
          <w:sz w:val="24"/>
          <w:szCs w:val="24"/>
        </w:rPr>
        <w:t xml:space="preserve"> 2006 pp 302) considered to be a post-condition of automatic processes. This refers to a process requiring a conscious input (so participants reported and knew that they were using IER), but no intention (participants didn't intent to do this). </w:t>
      </w:r>
    </w:p>
    <w:p w:rsidR="00FB1389" w:rsidRPr="00D05EBD" w:rsidRDefault="006B5206" w:rsidP="00AE640B">
      <w:pPr>
        <w:spacing w:line="480" w:lineRule="auto"/>
        <w:ind w:firstLine="720"/>
        <w:jc w:val="both"/>
        <w:rPr>
          <w:sz w:val="24"/>
          <w:szCs w:val="24"/>
        </w:rPr>
      </w:pPr>
      <w:r>
        <w:rPr>
          <w:sz w:val="24"/>
          <w:szCs w:val="24"/>
        </w:rPr>
        <w:lastRenderedPageBreak/>
        <w:t>If a participant</w:t>
      </w:r>
      <w:r w:rsidR="00FB1389" w:rsidRPr="00D05EBD">
        <w:rPr>
          <w:sz w:val="24"/>
          <w:szCs w:val="24"/>
        </w:rPr>
        <w:t xml:space="preserve"> was motivated to have a match then this could be seen as an intention to have match (an intentional act) and the use of IER might be the engagement on this goal (Moors &amp; </w:t>
      </w:r>
      <w:proofErr w:type="spellStart"/>
      <w:r w:rsidR="00FB1389" w:rsidRPr="00D05EBD">
        <w:rPr>
          <w:sz w:val="24"/>
          <w:szCs w:val="24"/>
        </w:rPr>
        <w:t>DeHouwer</w:t>
      </w:r>
      <w:proofErr w:type="spellEnd"/>
      <w:r w:rsidR="00FB1389" w:rsidRPr="00D05EBD">
        <w:rPr>
          <w:sz w:val="24"/>
          <w:szCs w:val="24"/>
        </w:rPr>
        <w:t>, 2006, pp. 303). Motivation to go on a second date could indicate a goal but accordi</w:t>
      </w:r>
      <w:r w:rsidR="004C0E2A">
        <w:rPr>
          <w:sz w:val="24"/>
          <w:szCs w:val="24"/>
        </w:rPr>
        <w:t xml:space="preserve">ng to Moors and </w:t>
      </w:r>
      <w:proofErr w:type="spellStart"/>
      <w:r w:rsidR="004C0E2A">
        <w:rPr>
          <w:sz w:val="24"/>
          <w:szCs w:val="24"/>
        </w:rPr>
        <w:t>DeHouwer</w:t>
      </w:r>
      <w:proofErr w:type="spellEnd"/>
      <w:r w:rsidR="004C0E2A">
        <w:rPr>
          <w:sz w:val="24"/>
          <w:szCs w:val="24"/>
        </w:rPr>
        <w:t xml:space="preserve"> there is</w:t>
      </w:r>
      <w:r w:rsidR="00FB1389" w:rsidRPr="00D05EBD">
        <w:rPr>
          <w:sz w:val="24"/>
          <w:szCs w:val="24"/>
        </w:rPr>
        <w:t xml:space="preserve"> a distinction between goal directed behaviour and goal dependent behaviour. Goal directed behaviour in this case would refer to a person aiming to go on a second date and performing a series of behaviours instrumental to attain that goal, engaging in these behaviours can be unintentional as the individual might not have the goal to, for example, be charming, compliment the date, pay attention to the date, be attentive (so the goal is to have a second date but that goal probably doesn't include each one of these small steps,</w:t>
      </w:r>
      <w:r>
        <w:rPr>
          <w:sz w:val="24"/>
          <w:szCs w:val="24"/>
        </w:rPr>
        <w:t xml:space="preserve"> which in the present study could correspond to IER strategies,</w:t>
      </w:r>
      <w:r w:rsidR="00FB1389" w:rsidRPr="00D05EBD">
        <w:rPr>
          <w:sz w:val="24"/>
          <w:szCs w:val="24"/>
        </w:rPr>
        <w:t xml:space="preserve"> people don't tell themselves "I want to go on a date and for that I am going to introduce myself with a smile, look at my date at his/her eyes, pay attention </w:t>
      </w:r>
      <w:r>
        <w:rPr>
          <w:sz w:val="24"/>
          <w:szCs w:val="24"/>
        </w:rPr>
        <w:t>to everything he/she says, to name some examples</w:t>
      </w:r>
      <w:r w:rsidR="00FB1389" w:rsidRPr="00D05EBD">
        <w:rPr>
          <w:sz w:val="24"/>
          <w:szCs w:val="24"/>
        </w:rPr>
        <w:t xml:space="preserve">"). </w:t>
      </w:r>
    </w:p>
    <w:p w:rsidR="00FB1389" w:rsidRPr="00D05EBD" w:rsidRDefault="00FB1389" w:rsidP="006B5206">
      <w:pPr>
        <w:spacing w:line="480" w:lineRule="auto"/>
        <w:ind w:firstLine="720"/>
        <w:jc w:val="both"/>
        <w:rPr>
          <w:sz w:val="24"/>
          <w:szCs w:val="24"/>
        </w:rPr>
      </w:pPr>
      <w:r w:rsidRPr="00D05EBD">
        <w:rPr>
          <w:rFonts w:cs="Bembo"/>
          <w:sz w:val="24"/>
          <w:szCs w:val="24"/>
        </w:rPr>
        <w:t xml:space="preserve">Emotional exhaustion was not linked </w:t>
      </w:r>
      <w:r w:rsidR="006B5206" w:rsidRPr="00D05EBD">
        <w:rPr>
          <w:rFonts w:cs="Bembo"/>
          <w:sz w:val="24"/>
          <w:szCs w:val="24"/>
        </w:rPr>
        <w:t>to a</w:t>
      </w:r>
      <w:r w:rsidRPr="00D05EBD">
        <w:rPr>
          <w:rFonts w:cs="Bembo"/>
          <w:sz w:val="24"/>
          <w:szCs w:val="24"/>
        </w:rPr>
        <w:t xml:space="preserve"> likely regulatory depleti</w:t>
      </w:r>
      <w:r w:rsidR="006B5206">
        <w:rPr>
          <w:rFonts w:cs="Bembo"/>
          <w:sz w:val="24"/>
          <w:szCs w:val="24"/>
        </w:rPr>
        <w:t>on (caused by a consecutive use</w:t>
      </w:r>
      <w:r w:rsidRPr="00D05EBD">
        <w:rPr>
          <w:rFonts w:cs="Bembo"/>
          <w:sz w:val="24"/>
          <w:szCs w:val="24"/>
        </w:rPr>
        <w:t xml:space="preserve"> of IER date after date) which is consistent with Nive</w:t>
      </w:r>
      <w:r w:rsidR="006B5206">
        <w:rPr>
          <w:rFonts w:cs="Bembo"/>
          <w:sz w:val="24"/>
          <w:szCs w:val="24"/>
        </w:rPr>
        <w:t>n, Totterdell, Stride, and Holman</w:t>
      </w:r>
      <w:r w:rsidRPr="00D05EBD">
        <w:rPr>
          <w:rFonts w:cs="Bembo"/>
          <w:sz w:val="24"/>
          <w:szCs w:val="24"/>
        </w:rPr>
        <w:t xml:space="preserve"> </w:t>
      </w:r>
      <w:r w:rsidR="006B5206">
        <w:rPr>
          <w:rFonts w:cs="Bembo"/>
          <w:sz w:val="24"/>
          <w:szCs w:val="24"/>
        </w:rPr>
        <w:t>(</w:t>
      </w:r>
      <w:r w:rsidRPr="00D05EBD">
        <w:rPr>
          <w:rFonts w:cs="Bembo"/>
          <w:sz w:val="24"/>
          <w:szCs w:val="24"/>
        </w:rPr>
        <w:t>2011</w:t>
      </w:r>
      <w:r w:rsidR="006B5206">
        <w:rPr>
          <w:rFonts w:cs="Bembo"/>
          <w:sz w:val="24"/>
          <w:szCs w:val="24"/>
        </w:rPr>
        <w:t>)</w:t>
      </w:r>
      <w:r w:rsidRPr="00D05EBD">
        <w:rPr>
          <w:rFonts w:cs="Bembo"/>
          <w:sz w:val="24"/>
          <w:szCs w:val="24"/>
        </w:rPr>
        <w:t xml:space="preserve"> research on the u</w:t>
      </w:r>
      <w:r w:rsidR="006B5206">
        <w:rPr>
          <w:rFonts w:cs="Bembo"/>
          <w:sz w:val="24"/>
          <w:szCs w:val="24"/>
        </w:rPr>
        <w:t xml:space="preserve">se of IER measured by the EROS. Niven and colleagues </w:t>
      </w:r>
      <w:r w:rsidRPr="00D05EBD">
        <w:rPr>
          <w:rFonts w:cs="Bembo"/>
          <w:sz w:val="24"/>
          <w:szCs w:val="24"/>
        </w:rPr>
        <w:t xml:space="preserve">found that emotional exhaustion </w:t>
      </w:r>
      <w:r w:rsidR="006B5206">
        <w:rPr>
          <w:rFonts w:cs="Bembo"/>
          <w:sz w:val="24"/>
          <w:szCs w:val="24"/>
        </w:rPr>
        <w:t>occurred in</w:t>
      </w:r>
      <w:r w:rsidRPr="00D05EBD">
        <w:rPr>
          <w:rFonts w:cs="Bembo"/>
          <w:sz w:val="24"/>
          <w:szCs w:val="24"/>
        </w:rPr>
        <w:t xml:space="preserve"> worsening IER but not </w:t>
      </w:r>
      <w:r w:rsidR="006B5206">
        <w:rPr>
          <w:rFonts w:cs="Bembo"/>
          <w:sz w:val="24"/>
          <w:szCs w:val="24"/>
        </w:rPr>
        <w:t>in</w:t>
      </w:r>
      <w:r w:rsidRPr="00D05EBD">
        <w:rPr>
          <w:rFonts w:cs="Bembo"/>
          <w:sz w:val="24"/>
          <w:szCs w:val="24"/>
        </w:rPr>
        <w:t xml:space="preserve"> </w:t>
      </w:r>
      <w:r w:rsidR="006B5206">
        <w:rPr>
          <w:rFonts w:cs="Bembo"/>
          <w:sz w:val="24"/>
          <w:szCs w:val="24"/>
        </w:rPr>
        <w:t>improving IER</w:t>
      </w:r>
      <w:r w:rsidRPr="00D05EBD">
        <w:rPr>
          <w:rFonts w:cs="Bembo"/>
          <w:sz w:val="24"/>
          <w:szCs w:val="24"/>
        </w:rPr>
        <w:t xml:space="preserve">, as indicated by people’s scores on the </w:t>
      </w:r>
      <w:proofErr w:type="spellStart"/>
      <w:r w:rsidRPr="00D05EBD">
        <w:rPr>
          <w:rFonts w:cs="Bembo"/>
          <w:sz w:val="24"/>
          <w:szCs w:val="24"/>
        </w:rPr>
        <w:t>Maslach</w:t>
      </w:r>
      <w:proofErr w:type="spellEnd"/>
      <w:r w:rsidRPr="00D05EBD">
        <w:rPr>
          <w:rFonts w:cs="Bembo"/>
          <w:sz w:val="24"/>
          <w:szCs w:val="24"/>
        </w:rPr>
        <w:t xml:space="preserve"> Burnout Inventory (MBI; </w:t>
      </w:r>
      <w:proofErr w:type="spellStart"/>
      <w:r w:rsidRPr="00D05EBD">
        <w:rPr>
          <w:rFonts w:cs="Bembo"/>
          <w:sz w:val="24"/>
          <w:szCs w:val="24"/>
        </w:rPr>
        <w:t>Maslach</w:t>
      </w:r>
      <w:proofErr w:type="spellEnd"/>
      <w:r w:rsidRPr="00D05EBD">
        <w:rPr>
          <w:rFonts w:cs="Bembo"/>
          <w:sz w:val="24"/>
          <w:szCs w:val="24"/>
        </w:rPr>
        <w:t xml:space="preserve">, Jackson, &amp; </w:t>
      </w:r>
      <w:proofErr w:type="spellStart"/>
      <w:r w:rsidRPr="00D05EBD">
        <w:rPr>
          <w:rFonts w:cs="Bembo"/>
          <w:sz w:val="24"/>
          <w:szCs w:val="24"/>
        </w:rPr>
        <w:t>Leiter</w:t>
      </w:r>
      <w:proofErr w:type="spellEnd"/>
      <w:r w:rsidRPr="00D05EBD">
        <w:rPr>
          <w:rFonts w:cs="Bembo"/>
          <w:sz w:val="24"/>
          <w:szCs w:val="24"/>
        </w:rPr>
        <w:t>, 1996).</w:t>
      </w:r>
    </w:p>
    <w:p w:rsidR="00FB1389" w:rsidRPr="00D05EBD" w:rsidRDefault="00FB1389" w:rsidP="00AE640B">
      <w:pPr>
        <w:spacing w:line="480" w:lineRule="auto"/>
        <w:ind w:firstLine="720"/>
        <w:jc w:val="both"/>
        <w:rPr>
          <w:sz w:val="24"/>
          <w:szCs w:val="24"/>
        </w:rPr>
      </w:pPr>
      <w:r w:rsidRPr="00D05EBD">
        <w:rPr>
          <w:sz w:val="24"/>
          <w:szCs w:val="24"/>
        </w:rPr>
        <w:t xml:space="preserve">The intention of participants to make their dates feel good may have been lower in participants that habitually use IER to make people feel good, this may be explained by interpersonal implicit goals. People have the implicit or automatic goal to be nice to </w:t>
      </w:r>
      <w:r w:rsidRPr="00D05EBD">
        <w:rPr>
          <w:sz w:val="24"/>
          <w:szCs w:val="24"/>
        </w:rPr>
        <w:lastRenderedPageBreak/>
        <w:t>someone else, as it is something they have been doing since they were children, thus, it has become a habit, and they do not have to explicitly form the intention to make their dates feel good. Especiall</w:t>
      </w:r>
      <w:r w:rsidR="006B5206">
        <w:rPr>
          <w:sz w:val="24"/>
          <w:szCs w:val="24"/>
        </w:rPr>
        <w:t>y in this context, as in dating</w:t>
      </w:r>
      <w:r w:rsidRPr="00D05EBD">
        <w:rPr>
          <w:sz w:val="24"/>
          <w:szCs w:val="24"/>
        </w:rPr>
        <w:t xml:space="preserve"> </w:t>
      </w:r>
      <w:r w:rsidR="006B5206">
        <w:rPr>
          <w:sz w:val="24"/>
          <w:szCs w:val="24"/>
        </w:rPr>
        <w:t>people</w:t>
      </w:r>
      <w:r w:rsidRPr="00D05EBD">
        <w:rPr>
          <w:sz w:val="24"/>
          <w:szCs w:val="24"/>
        </w:rPr>
        <w:t xml:space="preserve"> try to be nicer than usual, the intention is implicit, they want to be nice to reach the goal of getting a romantic partner.</w:t>
      </w:r>
    </w:p>
    <w:p w:rsidR="00FB1389" w:rsidRPr="00D05EBD" w:rsidRDefault="00FB1389" w:rsidP="00AE640B">
      <w:pPr>
        <w:spacing w:line="480" w:lineRule="auto"/>
        <w:ind w:firstLine="720"/>
        <w:jc w:val="both"/>
        <w:rPr>
          <w:sz w:val="24"/>
          <w:szCs w:val="24"/>
        </w:rPr>
      </w:pPr>
      <w:r w:rsidRPr="00D05EBD">
        <w:rPr>
          <w:sz w:val="24"/>
          <w:szCs w:val="24"/>
        </w:rPr>
        <w:t xml:space="preserve">In </w:t>
      </w:r>
      <w:proofErr w:type="spellStart"/>
      <w:r w:rsidRPr="00D05EBD">
        <w:rPr>
          <w:sz w:val="24"/>
          <w:szCs w:val="24"/>
        </w:rPr>
        <w:t>Gratz</w:t>
      </w:r>
      <w:proofErr w:type="spellEnd"/>
      <w:r w:rsidRPr="00D05EBD">
        <w:rPr>
          <w:sz w:val="24"/>
          <w:szCs w:val="24"/>
        </w:rPr>
        <w:t xml:space="preserve"> and Roemer (2004) Difficulties in Emotion Regulation Scale, the lack of emotional awareness factor refers to the tendency of people to attend and to acknowledge emotions. The impulse control difficulties reflect difficulties in remaining in control of one’s behaviour when experiencing negative emotions. As in the present study, participants did not use or barely used (as they reported) IER to make their partners feel bad, this scale could not explain their automatic use of improving IER, this is probably why a relationship between having difficulties to control impulses and the participants’ use of AIER was not found.  If the scale had focused on controlling impulses when experiencing positive emotions an effect may have been found. </w:t>
      </w:r>
    </w:p>
    <w:p w:rsidR="00FB1389" w:rsidRDefault="00FB1389" w:rsidP="00AE640B">
      <w:pPr>
        <w:spacing w:line="480" w:lineRule="auto"/>
        <w:ind w:firstLine="720"/>
        <w:jc w:val="both"/>
        <w:rPr>
          <w:sz w:val="24"/>
          <w:szCs w:val="24"/>
        </w:rPr>
      </w:pPr>
      <w:r w:rsidRPr="00D05EBD">
        <w:rPr>
          <w:sz w:val="24"/>
          <w:szCs w:val="24"/>
        </w:rPr>
        <w:t xml:space="preserve">One of the things that this research (Study 4) </w:t>
      </w:r>
      <w:r w:rsidR="004C0E2A" w:rsidRPr="00D05EBD">
        <w:rPr>
          <w:sz w:val="24"/>
          <w:szCs w:val="24"/>
        </w:rPr>
        <w:t xml:space="preserve">offered </w:t>
      </w:r>
      <w:r w:rsidRPr="00D05EBD">
        <w:rPr>
          <w:sz w:val="24"/>
          <w:szCs w:val="24"/>
        </w:rPr>
        <w:t xml:space="preserve">was that it </w:t>
      </w:r>
      <w:r w:rsidR="004C0E2A">
        <w:rPr>
          <w:sz w:val="24"/>
          <w:szCs w:val="24"/>
        </w:rPr>
        <w:t>used</w:t>
      </w:r>
      <w:r w:rsidRPr="00D05EBD">
        <w:rPr>
          <w:sz w:val="24"/>
          <w:szCs w:val="24"/>
        </w:rPr>
        <w:t xml:space="preserve"> the approach of several researchers </w:t>
      </w:r>
      <w:r w:rsidR="004C0E2A">
        <w:rPr>
          <w:sz w:val="24"/>
          <w:szCs w:val="24"/>
        </w:rPr>
        <w:t>who have studied</w:t>
      </w:r>
      <w:r w:rsidRPr="00D05EBD">
        <w:rPr>
          <w:sz w:val="24"/>
          <w:szCs w:val="24"/>
        </w:rPr>
        <w:t xml:space="preserve"> automaticity focusing on its different features</w:t>
      </w:r>
      <w:r w:rsidR="004C0E2A">
        <w:rPr>
          <w:sz w:val="24"/>
          <w:szCs w:val="24"/>
        </w:rPr>
        <w:t xml:space="preserve"> separately (in this case the unawareness, non-intentionality and effortless features)</w:t>
      </w:r>
      <w:r w:rsidRPr="00D05EBD">
        <w:rPr>
          <w:sz w:val="24"/>
          <w:szCs w:val="24"/>
        </w:rPr>
        <w:t xml:space="preserve"> </w:t>
      </w:r>
      <w:r w:rsidR="004C0E2A">
        <w:rPr>
          <w:sz w:val="24"/>
          <w:szCs w:val="24"/>
        </w:rPr>
        <w:t>without</w:t>
      </w:r>
      <w:r w:rsidRPr="00D05EBD">
        <w:rPr>
          <w:sz w:val="24"/>
          <w:szCs w:val="24"/>
        </w:rPr>
        <w:t xml:space="preserve"> trying to include all the features </w:t>
      </w:r>
      <w:r w:rsidR="004C0E2A">
        <w:rPr>
          <w:sz w:val="24"/>
          <w:szCs w:val="24"/>
        </w:rPr>
        <w:t xml:space="preserve">at once </w:t>
      </w:r>
      <w:r w:rsidRPr="00D05EBD">
        <w:rPr>
          <w:sz w:val="24"/>
          <w:szCs w:val="24"/>
        </w:rPr>
        <w:t xml:space="preserve">to define an automatic process (Bargh &amp; Williams, 2007). Another thing that this study </w:t>
      </w:r>
      <w:r w:rsidR="007769AD">
        <w:rPr>
          <w:sz w:val="24"/>
          <w:szCs w:val="24"/>
        </w:rPr>
        <w:t>contributed with</w:t>
      </w:r>
      <w:r w:rsidRPr="00D05EBD">
        <w:rPr>
          <w:sz w:val="24"/>
          <w:szCs w:val="24"/>
        </w:rPr>
        <w:t xml:space="preserve"> was that it showed that, contrary to what other research has found in that improving the </w:t>
      </w:r>
      <w:r w:rsidR="007769AD">
        <w:rPr>
          <w:sz w:val="24"/>
          <w:szCs w:val="24"/>
        </w:rPr>
        <w:t>emotions of someone else also improves th</w:t>
      </w:r>
      <w:r w:rsidRPr="00D05EBD">
        <w:rPr>
          <w:sz w:val="24"/>
          <w:szCs w:val="24"/>
        </w:rPr>
        <w:t>e emotions of the person engaging in IER (Ni</w:t>
      </w:r>
      <w:r w:rsidR="007769AD">
        <w:rPr>
          <w:sz w:val="24"/>
          <w:szCs w:val="24"/>
        </w:rPr>
        <w:t>ven, Totterdell, &amp; Holman, 2007;</w:t>
      </w:r>
      <w:r w:rsidRPr="00D05EBD">
        <w:rPr>
          <w:sz w:val="24"/>
          <w:szCs w:val="24"/>
        </w:rPr>
        <w:t xml:space="preserve"> </w:t>
      </w:r>
      <w:proofErr w:type="spellStart"/>
      <w:r w:rsidRPr="00D05EBD">
        <w:rPr>
          <w:sz w:val="24"/>
          <w:szCs w:val="24"/>
        </w:rPr>
        <w:t>Zaki</w:t>
      </w:r>
      <w:proofErr w:type="spellEnd"/>
      <w:r w:rsidRPr="00D05EBD">
        <w:rPr>
          <w:sz w:val="24"/>
          <w:szCs w:val="24"/>
        </w:rPr>
        <w:t xml:space="preserve"> &amp; Williams, 2013), in here</w:t>
      </w:r>
      <w:r w:rsidR="007769AD">
        <w:rPr>
          <w:sz w:val="24"/>
          <w:szCs w:val="24"/>
        </w:rPr>
        <w:t>,</w:t>
      </w:r>
      <w:r w:rsidRPr="00D05EBD">
        <w:rPr>
          <w:sz w:val="24"/>
          <w:szCs w:val="24"/>
        </w:rPr>
        <w:t xml:space="preserve"> the affect of the participants did not seem to be affected by using improving IER. Thus, people might </w:t>
      </w:r>
      <w:r w:rsidRPr="00D05EBD">
        <w:rPr>
          <w:sz w:val="24"/>
          <w:szCs w:val="24"/>
        </w:rPr>
        <w:lastRenderedPageBreak/>
        <w:t xml:space="preserve">engage in improving IER just to make others feel good. </w:t>
      </w:r>
      <w:r w:rsidR="00506CB3">
        <w:rPr>
          <w:sz w:val="24"/>
          <w:szCs w:val="24"/>
        </w:rPr>
        <w:t>Thus, AIER might be a truly interpersonal phenomenon, serving interpersonal purposes, rather than an interpersonal phenomenon serving intrapersonal purposes (e.g. improving one’s emotions).</w:t>
      </w:r>
      <w:r w:rsidRPr="00D05EBD">
        <w:rPr>
          <w:sz w:val="24"/>
          <w:szCs w:val="24"/>
        </w:rPr>
        <w:t xml:space="preserve"> </w:t>
      </w:r>
    </w:p>
    <w:p w:rsidR="007769AD" w:rsidRDefault="007769AD" w:rsidP="00AE640B">
      <w:pPr>
        <w:spacing w:line="480" w:lineRule="auto"/>
        <w:ind w:firstLine="720"/>
        <w:jc w:val="both"/>
        <w:rPr>
          <w:sz w:val="24"/>
          <w:szCs w:val="24"/>
        </w:rPr>
      </w:pPr>
      <w:r>
        <w:rPr>
          <w:sz w:val="24"/>
          <w:szCs w:val="24"/>
        </w:rPr>
        <w:t xml:space="preserve">Another important </w:t>
      </w:r>
      <w:r w:rsidR="005C4646">
        <w:rPr>
          <w:sz w:val="24"/>
          <w:szCs w:val="24"/>
        </w:rPr>
        <w:t xml:space="preserve">contribution of the present study is that it provided some ideas that might explain why it has been so difficult for researchers to observe all the factors that define automatic processes at once. Mainly, study 4 results suggest that when studying AIER it is important to monitor some other factors that may contribute to the automaticity of IER. For example, in study 4 it was shown that cognitive load affected effort, thus, cognitive load might need to be monitored for researchers studying effortless processes but it might not be necessary to monitor it when studying unintentional or non-aware processes. In the same vein, self-control depletion and cognitive load may be need to be monitored when studying unintentional and non-aware IER but not when studying effortless IER. </w:t>
      </w:r>
    </w:p>
    <w:p w:rsidR="005C4646" w:rsidRPr="00D05EBD" w:rsidRDefault="005C4646" w:rsidP="00AE640B">
      <w:pPr>
        <w:spacing w:line="480" w:lineRule="auto"/>
        <w:ind w:firstLine="720"/>
        <w:jc w:val="both"/>
        <w:rPr>
          <w:color w:val="BFBFBF" w:themeColor="background1" w:themeShade="BF"/>
          <w:sz w:val="24"/>
          <w:szCs w:val="24"/>
        </w:rPr>
      </w:pPr>
    </w:p>
    <w:p w:rsidR="000210B0" w:rsidRDefault="000210B0" w:rsidP="00AE640B">
      <w:pPr>
        <w:spacing w:line="480" w:lineRule="auto"/>
        <w:jc w:val="both"/>
        <w:rPr>
          <w:b/>
          <w:sz w:val="24"/>
          <w:szCs w:val="24"/>
        </w:rPr>
      </w:pPr>
    </w:p>
    <w:p w:rsidR="000210B0" w:rsidRDefault="000210B0" w:rsidP="00AE640B">
      <w:pPr>
        <w:spacing w:line="480" w:lineRule="auto"/>
        <w:jc w:val="both"/>
        <w:rPr>
          <w:b/>
          <w:sz w:val="24"/>
          <w:szCs w:val="24"/>
        </w:rPr>
      </w:pPr>
    </w:p>
    <w:p w:rsidR="00973AEB" w:rsidRDefault="00973AEB" w:rsidP="00AE640B">
      <w:pPr>
        <w:spacing w:line="480" w:lineRule="auto"/>
        <w:jc w:val="both"/>
        <w:rPr>
          <w:b/>
          <w:sz w:val="24"/>
          <w:szCs w:val="24"/>
        </w:rPr>
      </w:pPr>
    </w:p>
    <w:p w:rsidR="00973AEB" w:rsidRDefault="00973AEB" w:rsidP="00AE640B">
      <w:pPr>
        <w:spacing w:line="480" w:lineRule="auto"/>
        <w:jc w:val="both"/>
        <w:rPr>
          <w:b/>
          <w:sz w:val="24"/>
          <w:szCs w:val="24"/>
        </w:rPr>
      </w:pPr>
    </w:p>
    <w:p w:rsidR="00973AEB" w:rsidRDefault="00973AEB" w:rsidP="00AE640B">
      <w:pPr>
        <w:spacing w:line="480" w:lineRule="auto"/>
        <w:jc w:val="both"/>
        <w:rPr>
          <w:b/>
          <w:sz w:val="24"/>
          <w:szCs w:val="24"/>
        </w:rPr>
      </w:pPr>
    </w:p>
    <w:p w:rsidR="00973AEB" w:rsidRDefault="00973AEB" w:rsidP="004C0E2A">
      <w:pPr>
        <w:spacing w:line="480" w:lineRule="auto"/>
        <w:rPr>
          <w:b/>
          <w:sz w:val="72"/>
          <w:szCs w:val="72"/>
        </w:rPr>
      </w:pPr>
    </w:p>
    <w:p w:rsidR="0078667D" w:rsidRPr="000210B0" w:rsidRDefault="000210B0" w:rsidP="002D15AF">
      <w:pPr>
        <w:spacing w:line="480" w:lineRule="auto"/>
        <w:jc w:val="center"/>
        <w:rPr>
          <w:b/>
          <w:sz w:val="72"/>
          <w:szCs w:val="72"/>
        </w:rPr>
      </w:pPr>
      <w:r>
        <w:rPr>
          <w:b/>
          <w:sz w:val="72"/>
          <w:szCs w:val="72"/>
        </w:rPr>
        <w:t>CHAPTER</w:t>
      </w:r>
      <w:r w:rsidR="0078667D" w:rsidRPr="000210B0">
        <w:rPr>
          <w:b/>
          <w:sz w:val="72"/>
          <w:szCs w:val="72"/>
        </w:rPr>
        <w:t xml:space="preserve"> 6</w:t>
      </w:r>
    </w:p>
    <w:p w:rsidR="0078667D" w:rsidRDefault="0078667D" w:rsidP="000210B0">
      <w:pPr>
        <w:spacing w:line="480" w:lineRule="auto"/>
        <w:jc w:val="center"/>
        <w:rPr>
          <w:b/>
          <w:sz w:val="40"/>
          <w:szCs w:val="40"/>
        </w:rPr>
      </w:pPr>
      <w:r w:rsidRPr="000210B0">
        <w:rPr>
          <w:b/>
          <w:sz w:val="40"/>
          <w:szCs w:val="40"/>
        </w:rPr>
        <w:t>General discussion</w:t>
      </w:r>
    </w:p>
    <w:p w:rsidR="000210B0" w:rsidRDefault="000210B0" w:rsidP="000210B0">
      <w:pPr>
        <w:spacing w:line="480" w:lineRule="auto"/>
        <w:jc w:val="center"/>
        <w:rPr>
          <w:b/>
          <w:sz w:val="40"/>
          <w:szCs w:val="40"/>
        </w:rPr>
      </w:pPr>
    </w:p>
    <w:p w:rsidR="000210B0" w:rsidRDefault="000210B0" w:rsidP="000210B0">
      <w:pPr>
        <w:spacing w:line="480" w:lineRule="auto"/>
        <w:jc w:val="center"/>
        <w:rPr>
          <w:b/>
          <w:sz w:val="40"/>
          <w:szCs w:val="40"/>
        </w:rPr>
      </w:pPr>
    </w:p>
    <w:p w:rsidR="000210B0" w:rsidRDefault="000210B0" w:rsidP="000210B0">
      <w:pPr>
        <w:spacing w:line="480" w:lineRule="auto"/>
        <w:jc w:val="center"/>
        <w:rPr>
          <w:b/>
          <w:sz w:val="40"/>
          <w:szCs w:val="40"/>
        </w:rPr>
      </w:pPr>
    </w:p>
    <w:p w:rsidR="000210B0" w:rsidRDefault="000210B0" w:rsidP="000210B0">
      <w:pPr>
        <w:spacing w:line="480" w:lineRule="auto"/>
        <w:jc w:val="center"/>
        <w:rPr>
          <w:b/>
          <w:sz w:val="40"/>
          <w:szCs w:val="40"/>
        </w:rPr>
      </w:pPr>
    </w:p>
    <w:p w:rsidR="000210B0" w:rsidRDefault="000210B0" w:rsidP="000210B0">
      <w:pPr>
        <w:spacing w:line="480" w:lineRule="auto"/>
        <w:jc w:val="center"/>
        <w:rPr>
          <w:b/>
          <w:sz w:val="40"/>
          <w:szCs w:val="40"/>
        </w:rPr>
      </w:pPr>
    </w:p>
    <w:p w:rsidR="000210B0" w:rsidRDefault="000210B0" w:rsidP="000210B0">
      <w:pPr>
        <w:spacing w:line="480" w:lineRule="auto"/>
        <w:jc w:val="center"/>
        <w:rPr>
          <w:b/>
          <w:sz w:val="40"/>
          <w:szCs w:val="40"/>
        </w:rPr>
      </w:pPr>
    </w:p>
    <w:p w:rsidR="000210B0" w:rsidRDefault="000210B0" w:rsidP="000210B0">
      <w:pPr>
        <w:spacing w:line="480" w:lineRule="auto"/>
        <w:jc w:val="center"/>
        <w:rPr>
          <w:b/>
          <w:sz w:val="40"/>
          <w:szCs w:val="40"/>
        </w:rPr>
      </w:pPr>
    </w:p>
    <w:p w:rsidR="00C635C6" w:rsidRPr="000210B0" w:rsidRDefault="00C635C6" w:rsidP="000210B0">
      <w:pPr>
        <w:spacing w:line="480" w:lineRule="auto"/>
        <w:jc w:val="center"/>
        <w:rPr>
          <w:b/>
          <w:sz w:val="40"/>
          <w:szCs w:val="40"/>
        </w:rPr>
      </w:pPr>
    </w:p>
    <w:p w:rsidR="0078667D" w:rsidRPr="00B60564" w:rsidRDefault="0078667D" w:rsidP="00AE640B">
      <w:pPr>
        <w:spacing w:line="480" w:lineRule="auto"/>
        <w:ind w:firstLine="720"/>
        <w:jc w:val="both"/>
        <w:rPr>
          <w:sz w:val="24"/>
          <w:szCs w:val="24"/>
        </w:rPr>
      </w:pPr>
      <w:r w:rsidRPr="00B60564">
        <w:rPr>
          <w:sz w:val="24"/>
          <w:szCs w:val="24"/>
        </w:rPr>
        <w:lastRenderedPageBreak/>
        <w:t xml:space="preserve">The present thesis investigated automatic interpersonal emotion regulation </w:t>
      </w:r>
      <w:r>
        <w:rPr>
          <w:sz w:val="24"/>
          <w:szCs w:val="24"/>
        </w:rPr>
        <w:t xml:space="preserve">or AIER </w:t>
      </w:r>
      <w:r w:rsidRPr="00B60564">
        <w:rPr>
          <w:sz w:val="24"/>
          <w:szCs w:val="24"/>
        </w:rPr>
        <w:t xml:space="preserve">(the things people do or say without awareness, effort nor the explicit intention to modify the emotions of those they interact with). The main purpose of the present thesis was two answer two fundamental questions: </w:t>
      </w:r>
      <w:proofErr w:type="spellStart"/>
      <w:r w:rsidRPr="00B60564">
        <w:rPr>
          <w:sz w:val="24"/>
          <w:szCs w:val="24"/>
        </w:rPr>
        <w:t>i</w:t>
      </w:r>
      <w:proofErr w:type="spellEnd"/>
      <w:r w:rsidRPr="00B60564">
        <w:rPr>
          <w:sz w:val="24"/>
          <w:szCs w:val="24"/>
        </w:rPr>
        <w:t xml:space="preserve">) whether or not AIER can be empirically observed and thus whether it actually occurs or not, and, ii) what factors </w:t>
      </w:r>
      <w:r>
        <w:rPr>
          <w:sz w:val="24"/>
          <w:szCs w:val="24"/>
        </w:rPr>
        <w:t xml:space="preserve">are </w:t>
      </w:r>
      <w:r w:rsidRPr="00B60564">
        <w:rPr>
          <w:sz w:val="24"/>
          <w:szCs w:val="24"/>
        </w:rPr>
        <w:t xml:space="preserve">associated </w:t>
      </w:r>
      <w:r>
        <w:rPr>
          <w:sz w:val="24"/>
          <w:szCs w:val="24"/>
        </w:rPr>
        <w:t>with</w:t>
      </w:r>
      <w:r w:rsidRPr="00B60564">
        <w:rPr>
          <w:sz w:val="24"/>
          <w:szCs w:val="24"/>
        </w:rPr>
        <w:t xml:space="preserve"> the use of AIER. Answering the first question would be a big contribution to research on AIER as to date there </w:t>
      </w:r>
      <w:r>
        <w:rPr>
          <w:sz w:val="24"/>
          <w:szCs w:val="24"/>
        </w:rPr>
        <w:t>have</w:t>
      </w:r>
      <w:r w:rsidRPr="00B60564">
        <w:rPr>
          <w:sz w:val="24"/>
          <w:szCs w:val="24"/>
        </w:rPr>
        <w:t xml:space="preserve"> not been any conclusive studies </w:t>
      </w:r>
      <w:r>
        <w:rPr>
          <w:sz w:val="24"/>
          <w:szCs w:val="24"/>
        </w:rPr>
        <w:t>demonstrating</w:t>
      </w:r>
      <w:r w:rsidRPr="00B60564">
        <w:rPr>
          <w:sz w:val="24"/>
          <w:szCs w:val="24"/>
        </w:rPr>
        <w:t xml:space="preserve"> that </w:t>
      </w:r>
      <w:r>
        <w:rPr>
          <w:sz w:val="24"/>
          <w:szCs w:val="24"/>
        </w:rPr>
        <w:t>forms of AIER occur, to the author’s knowledge</w:t>
      </w:r>
      <w:r w:rsidRPr="00B60564">
        <w:rPr>
          <w:sz w:val="24"/>
          <w:szCs w:val="24"/>
        </w:rPr>
        <w:t xml:space="preserve">. Thus, studying it empirically would be a first step to show </w:t>
      </w:r>
      <w:r>
        <w:rPr>
          <w:sz w:val="24"/>
          <w:szCs w:val="24"/>
        </w:rPr>
        <w:t xml:space="preserve">that </w:t>
      </w:r>
      <w:r w:rsidRPr="00B60564">
        <w:rPr>
          <w:sz w:val="24"/>
          <w:szCs w:val="24"/>
        </w:rPr>
        <w:t>AIER exist</w:t>
      </w:r>
      <w:r>
        <w:rPr>
          <w:sz w:val="24"/>
          <w:szCs w:val="24"/>
        </w:rPr>
        <w:t>s</w:t>
      </w:r>
      <w:r w:rsidRPr="00B60564">
        <w:rPr>
          <w:sz w:val="24"/>
          <w:szCs w:val="24"/>
        </w:rPr>
        <w:t>. Answering the second question would h</w:t>
      </w:r>
      <w:r w:rsidR="001A7DB4">
        <w:rPr>
          <w:sz w:val="24"/>
          <w:szCs w:val="24"/>
        </w:rPr>
        <w:t>elp researchers understand some of the</w:t>
      </w:r>
      <w:r w:rsidRPr="00B60564">
        <w:rPr>
          <w:sz w:val="24"/>
          <w:szCs w:val="24"/>
        </w:rPr>
        <w:t xml:space="preserve"> circumstances </w:t>
      </w:r>
      <w:r w:rsidR="001A7DB4">
        <w:rPr>
          <w:sz w:val="24"/>
          <w:szCs w:val="24"/>
        </w:rPr>
        <w:t xml:space="preserve">that </w:t>
      </w:r>
      <w:r w:rsidRPr="00B60564">
        <w:rPr>
          <w:sz w:val="24"/>
          <w:szCs w:val="24"/>
        </w:rPr>
        <w:t xml:space="preserve">make people more likely to use AIER </w:t>
      </w:r>
      <w:r w:rsidR="001A7DB4">
        <w:rPr>
          <w:sz w:val="24"/>
          <w:szCs w:val="24"/>
        </w:rPr>
        <w:t>as well as it would provide researchers with ideas of</w:t>
      </w:r>
      <w:r w:rsidRPr="00B60564">
        <w:rPr>
          <w:sz w:val="24"/>
          <w:szCs w:val="24"/>
        </w:rPr>
        <w:t xml:space="preserve"> scenarios where AIER can be further investigated. To answer these questions in the present thesis the theoretical basis </w:t>
      </w:r>
      <w:r>
        <w:rPr>
          <w:sz w:val="24"/>
          <w:szCs w:val="24"/>
        </w:rPr>
        <w:t>for</w:t>
      </w:r>
      <w:r w:rsidRPr="00B60564">
        <w:rPr>
          <w:sz w:val="24"/>
          <w:szCs w:val="24"/>
        </w:rPr>
        <w:t xml:space="preserve"> AIER </w:t>
      </w:r>
      <w:r>
        <w:rPr>
          <w:sz w:val="24"/>
          <w:szCs w:val="24"/>
        </w:rPr>
        <w:t>was</w:t>
      </w:r>
      <w:r w:rsidRPr="00B60564">
        <w:rPr>
          <w:sz w:val="24"/>
          <w:szCs w:val="24"/>
        </w:rPr>
        <w:t xml:space="preserve"> introduced (</w:t>
      </w:r>
      <w:r>
        <w:rPr>
          <w:sz w:val="24"/>
          <w:szCs w:val="24"/>
        </w:rPr>
        <w:t>C</w:t>
      </w:r>
      <w:r w:rsidRPr="00B60564">
        <w:rPr>
          <w:sz w:val="24"/>
          <w:szCs w:val="24"/>
        </w:rPr>
        <w:t xml:space="preserve">hapter 1) then six empirical studies divided </w:t>
      </w:r>
      <w:r>
        <w:rPr>
          <w:sz w:val="24"/>
          <w:szCs w:val="24"/>
        </w:rPr>
        <w:t xml:space="preserve">into </w:t>
      </w:r>
      <w:r w:rsidRPr="00B60564">
        <w:rPr>
          <w:sz w:val="24"/>
          <w:szCs w:val="24"/>
        </w:rPr>
        <w:t>4 chapters were carried out. The first 4 studies (</w:t>
      </w:r>
      <w:r>
        <w:rPr>
          <w:sz w:val="24"/>
          <w:szCs w:val="24"/>
        </w:rPr>
        <w:t>S</w:t>
      </w:r>
      <w:r w:rsidRPr="00B60564">
        <w:rPr>
          <w:sz w:val="24"/>
          <w:szCs w:val="24"/>
        </w:rPr>
        <w:t xml:space="preserve">tudy 1, and </w:t>
      </w:r>
      <w:r>
        <w:rPr>
          <w:sz w:val="24"/>
          <w:szCs w:val="24"/>
        </w:rPr>
        <w:t>S</w:t>
      </w:r>
      <w:r w:rsidRPr="00B60564">
        <w:rPr>
          <w:sz w:val="24"/>
          <w:szCs w:val="24"/>
        </w:rPr>
        <w:t xml:space="preserve">tudies 2a, 2b and 2c) were designed to answer the first question and see whether AIER occurred as reported by participants and as </w:t>
      </w:r>
      <w:r>
        <w:rPr>
          <w:sz w:val="24"/>
          <w:szCs w:val="24"/>
        </w:rPr>
        <w:t xml:space="preserve">unobtrusively </w:t>
      </w:r>
      <w:r w:rsidRPr="00B60564">
        <w:rPr>
          <w:sz w:val="24"/>
          <w:szCs w:val="24"/>
        </w:rPr>
        <w:t xml:space="preserve">instigated </w:t>
      </w:r>
      <w:r>
        <w:rPr>
          <w:sz w:val="24"/>
          <w:szCs w:val="24"/>
        </w:rPr>
        <w:t>in the context of the laboratory</w:t>
      </w:r>
      <w:r w:rsidRPr="00B60564">
        <w:rPr>
          <w:sz w:val="24"/>
          <w:szCs w:val="24"/>
        </w:rPr>
        <w:t>. Chapter</w:t>
      </w:r>
      <w:r>
        <w:rPr>
          <w:sz w:val="24"/>
          <w:szCs w:val="24"/>
        </w:rPr>
        <w:t>s</w:t>
      </w:r>
      <w:r w:rsidRPr="00B60564">
        <w:rPr>
          <w:sz w:val="24"/>
          <w:szCs w:val="24"/>
        </w:rPr>
        <w:t xml:space="preserve"> 4 and 5 (</w:t>
      </w:r>
      <w:r>
        <w:rPr>
          <w:sz w:val="24"/>
          <w:szCs w:val="24"/>
        </w:rPr>
        <w:t>S</w:t>
      </w:r>
      <w:r w:rsidRPr="00B60564">
        <w:rPr>
          <w:sz w:val="24"/>
          <w:szCs w:val="24"/>
        </w:rPr>
        <w:t xml:space="preserve">tudies 3 and 4 respectively) aimed </w:t>
      </w:r>
      <w:r>
        <w:rPr>
          <w:sz w:val="24"/>
          <w:szCs w:val="24"/>
        </w:rPr>
        <w:t>to</w:t>
      </w:r>
      <w:r w:rsidRPr="00B60564">
        <w:rPr>
          <w:sz w:val="24"/>
          <w:szCs w:val="24"/>
        </w:rPr>
        <w:t xml:space="preserve"> answer the second research question</w:t>
      </w:r>
      <w:r>
        <w:rPr>
          <w:sz w:val="24"/>
          <w:szCs w:val="24"/>
        </w:rPr>
        <w:t>;</w:t>
      </w:r>
      <w:r w:rsidRPr="00B60564">
        <w:rPr>
          <w:sz w:val="24"/>
          <w:szCs w:val="24"/>
        </w:rPr>
        <w:t xml:space="preserve"> namely</w:t>
      </w:r>
      <w:r>
        <w:rPr>
          <w:sz w:val="24"/>
          <w:szCs w:val="24"/>
        </w:rPr>
        <w:t>,</w:t>
      </w:r>
      <w:r w:rsidRPr="00B60564">
        <w:rPr>
          <w:sz w:val="24"/>
          <w:szCs w:val="24"/>
        </w:rPr>
        <w:t xml:space="preserve"> to explore the circumstances under which AIER is more likely to occur. </w:t>
      </w:r>
    </w:p>
    <w:p w:rsidR="0078667D" w:rsidRPr="00B60564" w:rsidRDefault="0078667D" w:rsidP="00AE640B">
      <w:pPr>
        <w:spacing w:line="480" w:lineRule="auto"/>
        <w:ind w:firstLine="720"/>
        <w:jc w:val="both"/>
        <w:rPr>
          <w:sz w:val="24"/>
          <w:szCs w:val="24"/>
        </w:rPr>
      </w:pPr>
      <w:r w:rsidRPr="00B60564">
        <w:rPr>
          <w:sz w:val="24"/>
          <w:szCs w:val="24"/>
        </w:rPr>
        <w:t xml:space="preserve">The present chapter aims to bring together the findings in order to bring a better understanding of AIER by answering the two fundamental questions of this thesis. To do this, first a summary of the findings of each chapter is presented. Then, each of the research questions is answered using the evidence found in the studies presented in this </w:t>
      </w:r>
      <w:r w:rsidRPr="00B60564">
        <w:rPr>
          <w:sz w:val="24"/>
          <w:szCs w:val="24"/>
        </w:rPr>
        <w:lastRenderedPageBreak/>
        <w:t>thesis and</w:t>
      </w:r>
      <w:r w:rsidR="001A7DB4">
        <w:rPr>
          <w:sz w:val="24"/>
          <w:szCs w:val="24"/>
        </w:rPr>
        <w:t xml:space="preserve"> evidence from other research</w:t>
      </w:r>
      <w:r w:rsidRPr="00B60564">
        <w:rPr>
          <w:sz w:val="24"/>
          <w:szCs w:val="24"/>
        </w:rPr>
        <w:t>. Finally, the limitations of the present thesis are discussed and future directions are presented.</w:t>
      </w:r>
    </w:p>
    <w:p w:rsidR="0078667D" w:rsidRPr="00B60564" w:rsidRDefault="0078667D" w:rsidP="00AE640B">
      <w:pPr>
        <w:spacing w:line="480" w:lineRule="auto"/>
        <w:jc w:val="both"/>
        <w:rPr>
          <w:b/>
          <w:sz w:val="24"/>
          <w:szCs w:val="24"/>
        </w:rPr>
      </w:pPr>
      <w:r w:rsidRPr="00B60564">
        <w:rPr>
          <w:b/>
          <w:sz w:val="24"/>
          <w:szCs w:val="24"/>
        </w:rPr>
        <w:t xml:space="preserve">6.1 Summary of </w:t>
      </w:r>
      <w:r>
        <w:rPr>
          <w:b/>
          <w:sz w:val="24"/>
          <w:szCs w:val="24"/>
        </w:rPr>
        <w:t>C</w:t>
      </w:r>
      <w:r w:rsidRPr="00B60564">
        <w:rPr>
          <w:b/>
          <w:sz w:val="24"/>
          <w:szCs w:val="24"/>
        </w:rPr>
        <w:t>hapters 1 to 5</w:t>
      </w:r>
    </w:p>
    <w:p w:rsidR="0078667D" w:rsidRPr="00E17C6F" w:rsidRDefault="0078667D" w:rsidP="00C635C6">
      <w:pPr>
        <w:spacing w:line="480" w:lineRule="auto"/>
        <w:ind w:firstLine="720"/>
        <w:jc w:val="both"/>
        <w:rPr>
          <w:sz w:val="24"/>
          <w:szCs w:val="24"/>
          <w:highlight w:val="yellow"/>
        </w:rPr>
      </w:pPr>
      <w:r w:rsidRPr="00902233">
        <w:rPr>
          <w:sz w:val="24"/>
          <w:szCs w:val="24"/>
        </w:rPr>
        <w:t xml:space="preserve">Chapter </w:t>
      </w:r>
      <w:r>
        <w:rPr>
          <w:sz w:val="24"/>
          <w:szCs w:val="24"/>
        </w:rPr>
        <w:t>1</w:t>
      </w:r>
      <w:r w:rsidRPr="00902233">
        <w:rPr>
          <w:sz w:val="24"/>
          <w:szCs w:val="24"/>
        </w:rPr>
        <w:t xml:space="preserve"> </w:t>
      </w:r>
      <w:r>
        <w:rPr>
          <w:sz w:val="24"/>
          <w:szCs w:val="24"/>
        </w:rPr>
        <w:t>provided</w:t>
      </w:r>
      <w:r w:rsidRPr="00902233">
        <w:rPr>
          <w:sz w:val="24"/>
          <w:szCs w:val="24"/>
        </w:rPr>
        <w:t xml:space="preserve"> the theoretical basis </w:t>
      </w:r>
      <w:r>
        <w:rPr>
          <w:sz w:val="24"/>
          <w:szCs w:val="24"/>
        </w:rPr>
        <w:t>for</w:t>
      </w:r>
      <w:r w:rsidRPr="00902233">
        <w:rPr>
          <w:sz w:val="24"/>
          <w:szCs w:val="24"/>
        </w:rPr>
        <w:t xml:space="preserve"> AIER. Emotions were framed as serving social functions</w:t>
      </w:r>
      <w:r w:rsidR="00C635C6">
        <w:rPr>
          <w:sz w:val="24"/>
          <w:szCs w:val="24"/>
        </w:rPr>
        <w:t xml:space="preserve"> </w:t>
      </w:r>
      <w:r w:rsidRPr="00902233">
        <w:rPr>
          <w:sz w:val="24"/>
          <w:szCs w:val="24"/>
        </w:rPr>
        <w:t>, for example,</w:t>
      </w:r>
      <w:r>
        <w:rPr>
          <w:sz w:val="24"/>
          <w:szCs w:val="24"/>
        </w:rPr>
        <w:t xml:space="preserve"> people interpret what they a</w:t>
      </w:r>
      <w:r w:rsidRPr="00902233">
        <w:rPr>
          <w:sz w:val="24"/>
          <w:szCs w:val="24"/>
        </w:rPr>
        <w:t xml:space="preserve">re feeling by paying attention to others </w:t>
      </w:r>
      <w:r w:rsidR="00B06E70">
        <w:rPr>
          <w:sz w:val="24"/>
          <w:szCs w:val="24"/>
        </w:rPr>
        <w:fldChar w:fldCharType="begin" w:fldLock="1"/>
      </w:r>
      <w:r w:rsidR="00973AEB">
        <w:rPr>
          <w:sz w:val="24"/>
          <w:szCs w:val="24"/>
        </w:rPr>
        <w:instrText>ADDIN CSL_CITATION { "citationItems" : [ { "id" : "ITEM-1", "itemData" : { "DOI" : "10.1631/jzus.2005.AS0128", "ISBN" : "00071269", "ISSN" : "0007-1269", "PMID" : "8962482", "abstract" : "In this paper, I question the assumption that emotions are first and foremost individual reactions, and suggest instead that they are often best viewed as social phenomena. I show that many of the causes of emotions are interpersonally, institutionally or culturally defined; that emotions usually have consequences for other people; and that they serve interpersonal as well as cultural functions in everyday life. Furthermore, many cases of emotion are essentially communicative rather than internal and reactive phenomena. Previous research has often underestimated the importance of social factors in the causation and constitution of emotion. In conclusion, I recommend that existing cognitive and physiological approaches to emotional phenomena be supplemented or supplanted by social psychological analysis.", "author" : [ { "dropping-particle" : "", "family" : "Parkinson", "given" : "B", "non-dropping-particle" : "", "parse-names" : false, "suffix" : "" } ], "container-title" : "British Journal of Psychology", "id" : "ITEM-1", "issue" : "DECEMBER 1996", "issued" : { "date-parts" : [ [ "1996" ] ] }, "page" : "663-683", "title" : "Emotions are social", "type" : "article-journal", "volume" : "87" }, "uris" : [ "http://www.mendeley.com/documents/?uuid=ca75df64-080c-458a-aa70-4fabd1ec69e8" ] } ], "mendeley" : { "formattedCitation" : "(B Parkinson, 1996)", "manualFormatting" : "(Parkinson, 1996)", "plainTextFormattedCitation" : "(B Parkinson, 1996)", "previouslyFormattedCitation" : "(B Parkinson, 1996)" }, "properties" : { "noteIndex" : 0 }, "schema" : "https://github.com/citation-style-language/schema/raw/master/csl-citation.json" }</w:instrText>
      </w:r>
      <w:r w:rsidR="00B06E70">
        <w:rPr>
          <w:sz w:val="24"/>
          <w:szCs w:val="24"/>
        </w:rPr>
        <w:fldChar w:fldCharType="separate"/>
      </w:r>
      <w:r w:rsidR="00973AEB" w:rsidRPr="00973AEB">
        <w:rPr>
          <w:noProof/>
          <w:sz w:val="24"/>
          <w:szCs w:val="24"/>
        </w:rPr>
        <w:t>(Parkinson, 1996)</w:t>
      </w:r>
      <w:r w:rsidR="00B06E70">
        <w:rPr>
          <w:sz w:val="24"/>
          <w:szCs w:val="24"/>
        </w:rPr>
        <w:fldChar w:fldCharType="end"/>
      </w:r>
      <w:r w:rsidR="00A6605A">
        <w:rPr>
          <w:sz w:val="24"/>
          <w:szCs w:val="24"/>
        </w:rPr>
        <w:t>, p</w:t>
      </w:r>
      <w:r w:rsidRPr="00902233">
        <w:rPr>
          <w:sz w:val="24"/>
          <w:szCs w:val="24"/>
        </w:rPr>
        <w:t xml:space="preserve">eople can also </w:t>
      </w:r>
      <w:r>
        <w:rPr>
          <w:sz w:val="24"/>
          <w:szCs w:val="24"/>
        </w:rPr>
        <w:t>feel happy or sad by being around</w:t>
      </w:r>
      <w:r w:rsidRPr="00902233">
        <w:rPr>
          <w:sz w:val="24"/>
          <w:szCs w:val="24"/>
        </w:rPr>
        <w:t xml:space="preserve"> others </w:t>
      </w:r>
      <w:r>
        <w:rPr>
          <w:sz w:val="24"/>
          <w:szCs w:val="24"/>
        </w:rPr>
        <w:t>that are</w:t>
      </w:r>
      <w:r w:rsidRPr="00902233">
        <w:rPr>
          <w:sz w:val="24"/>
          <w:szCs w:val="24"/>
        </w:rPr>
        <w:t xml:space="preserve"> feeling </w:t>
      </w:r>
      <w:r>
        <w:rPr>
          <w:sz w:val="24"/>
          <w:szCs w:val="24"/>
        </w:rPr>
        <w:t>that way</w:t>
      </w:r>
      <w:r w:rsidRPr="00902233">
        <w:rPr>
          <w:sz w:val="24"/>
          <w:szCs w:val="24"/>
        </w:rPr>
        <w:t xml:space="preserve"> </w:t>
      </w:r>
      <w:r w:rsidR="00B06E70">
        <w:rPr>
          <w:sz w:val="24"/>
          <w:szCs w:val="24"/>
        </w:rPr>
        <w:fldChar w:fldCharType="begin" w:fldLock="1"/>
      </w:r>
      <w:r w:rsidR="00D9171E">
        <w:rPr>
          <w:sz w:val="24"/>
          <w:szCs w:val="24"/>
        </w:rPr>
        <w:instrText>ADDIN CSL_CITATION { "citationItems" : [ { "id" : "ITEM-1", "itemData" : { "ISBN" : "0-521-44498-5", "abstract" : "(from the introduction) The focus in this text is on rudimentary or primitive emotional contagion\u2014that which is relatively automatic, unintentional, uncontrollable, and largely inaccessible to conversant awareness. This is defined as the tendency to automatically mimic and synchronize facial expressions, vocalizations, postures, and movements with those of another person, and consequently, to converge emotionally. (introduction)", "author" : [ { "dropping-particle" : "", "family" : "Hatfield", "given" : "Elaine", "non-dropping-particle" : "", "parse-names" : false, "suffix" : "" }, { "dropping-particle" : "", "family" : "Cacioppo", "given" : "John T", "non-dropping-particle" : "", "parse-names" : false, "suffix" : "" }, { "dropping-particle" : "", "family" : "Rapson", "given" : "Richard L", "non-dropping-particle" : "", "parse-names" : false, "suffix" : "" } ], "container-title" : "Emotional Contagion", "id" : "ITEM-1", "issued" : { "date-parts" : [ [ "1994" ] ] }, "title" : "Emotional contagion", "type" : "book" }, "uris" : [ "http://www.mendeley.com/documents/?uuid=c9d14863-6f0e-4e2b-91fd-16f565f0a0a2" ] } ], "mendeley" : { "formattedCitation" : "(Hatfield, Cacioppo, &amp; Rapson, 1994)", "plainTextFormattedCitation" : "(Hatfield, Cacioppo, &amp; Rapson, 1994)", "previouslyFormattedCitation" : "(Hatfield, Cacioppo, &amp; Rapson, 1994)" }, "properties" : { "noteIndex" : 0 }, "schema" : "https://github.com/citation-style-language/schema/raw/master/csl-citation.json" }</w:instrText>
      </w:r>
      <w:r w:rsidR="00B06E70">
        <w:rPr>
          <w:sz w:val="24"/>
          <w:szCs w:val="24"/>
        </w:rPr>
        <w:fldChar w:fldCharType="separate"/>
      </w:r>
      <w:r w:rsidR="00D9171E" w:rsidRPr="00D9171E">
        <w:rPr>
          <w:noProof/>
          <w:sz w:val="24"/>
          <w:szCs w:val="24"/>
        </w:rPr>
        <w:t>(Hatfield, Cacioppo, &amp; Rapson, 1994)</w:t>
      </w:r>
      <w:r w:rsidR="00B06E70">
        <w:rPr>
          <w:sz w:val="24"/>
          <w:szCs w:val="24"/>
        </w:rPr>
        <w:fldChar w:fldCharType="end"/>
      </w:r>
      <w:r w:rsidR="00A6605A">
        <w:rPr>
          <w:sz w:val="24"/>
          <w:szCs w:val="24"/>
        </w:rPr>
        <w:t xml:space="preserve"> or</w:t>
      </w:r>
      <w:r w:rsidRPr="00902233">
        <w:rPr>
          <w:sz w:val="24"/>
          <w:szCs w:val="24"/>
        </w:rPr>
        <w:t xml:space="preserve"> </w:t>
      </w:r>
      <w:r w:rsidRPr="001C3EAF">
        <w:rPr>
          <w:sz w:val="24"/>
          <w:szCs w:val="24"/>
        </w:rPr>
        <w:t xml:space="preserve">people engage in sequences of reciprocating emotions </w:t>
      </w:r>
      <w:r w:rsidR="00A6605A">
        <w:rPr>
          <w:sz w:val="24"/>
          <w:szCs w:val="24"/>
        </w:rPr>
        <w:t xml:space="preserve">in romantic interactions </w:t>
      </w:r>
      <w:r w:rsidRPr="001C3EAF">
        <w:rPr>
          <w:sz w:val="24"/>
          <w:szCs w:val="24"/>
        </w:rPr>
        <w:t>(</w:t>
      </w:r>
      <w:proofErr w:type="spellStart"/>
      <w:r w:rsidRPr="001C3EAF">
        <w:rPr>
          <w:sz w:val="24"/>
          <w:szCs w:val="24"/>
        </w:rPr>
        <w:t>Gottman</w:t>
      </w:r>
      <w:proofErr w:type="spellEnd"/>
      <w:r w:rsidRPr="001C3EAF">
        <w:rPr>
          <w:sz w:val="24"/>
          <w:szCs w:val="24"/>
        </w:rPr>
        <w:t xml:space="preserve">, 1994). </w:t>
      </w:r>
      <w:r>
        <w:rPr>
          <w:sz w:val="24"/>
          <w:szCs w:val="24"/>
        </w:rPr>
        <w:t xml:space="preserve">The concept of emotion regulation (ER) was introduced as the </w:t>
      </w:r>
      <w:r w:rsidR="00A6605A">
        <w:rPr>
          <w:sz w:val="24"/>
          <w:szCs w:val="24"/>
        </w:rPr>
        <w:t>change in any aspect of people’s</w:t>
      </w:r>
      <w:r>
        <w:rPr>
          <w:sz w:val="24"/>
          <w:szCs w:val="24"/>
        </w:rPr>
        <w:t xml:space="preserve"> emotional states that can happen at any point of the emotional response (Gross &amp; Thomson, 2007; </w:t>
      </w:r>
      <w:proofErr w:type="spellStart"/>
      <w:r>
        <w:rPr>
          <w:sz w:val="24"/>
          <w:szCs w:val="24"/>
        </w:rPr>
        <w:t>Koole</w:t>
      </w:r>
      <w:proofErr w:type="spellEnd"/>
      <w:r>
        <w:rPr>
          <w:sz w:val="24"/>
          <w:szCs w:val="24"/>
        </w:rPr>
        <w:t>, 2009). After</w:t>
      </w:r>
      <w:r w:rsidR="00A6605A">
        <w:rPr>
          <w:sz w:val="24"/>
          <w:szCs w:val="24"/>
        </w:rPr>
        <w:t>,</w:t>
      </w:r>
      <w:r>
        <w:rPr>
          <w:sz w:val="24"/>
          <w:szCs w:val="24"/>
        </w:rPr>
        <w:t xml:space="preserve"> it was explained that ER can occur within the person (a person regulating his/her own emotions), termed intrapersonal emotion regulation, or between people (a person can regulate the emotions of someone else), termed interpersonal emotion regulation (IER). </w:t>
      </w:r>
      <w:r w:rsidR="00A6605A">
        <w:rPr>
          <w:sz w:val="24"/>
          <w:szCs w:val="24"/>
        </w:rPr>
        <w:t>Later, i</w:t>
      </w:r>
      <w:r>
        <w:rPr>
          <w:sz w:val="24"/>
          <w:szCs w:val="24"/>
        </w:rPr>
        <w:t>t was explained that emotions can be regulated with the person’s awareness, termed controlled emotion regulation (CER) or outside the person’s awar</w:t>
      </w:r>
      <w:r w:rsidR="00A6605A">
        <w:rPr>
          <w:sz w:val="24"/>
          <w:szCs w:val="24"/>
        </w:rPr>
        <w:t>eness, termed automatic emotion</w:t>
      </w:r>
      <w:r>
        <w:rPr>
          <w:sz w:val="24"/>
          <w:szCs w:val="24"/>
        </w:rPr>
        <w:t xml:space="preserve"> regulation (AER). Finally, </w:t>
      </w:r>
      <w:r w:rsidRPr="00E17C6F">
        <w:rPr>
          <w:sz w:val="24"/>
          <w:szCs w:val="24"/>
        </w:rPr>
        <w:t xml:space="preserve">AIER was </w:t>
      </w:r>
      <w:r w:rsidR="009276D8">
        <w:rPr>
          <w:sz w:val="24"/>
          <w:szCs w:val="24"/>
        </w:rPr>
        <w:t>framed</w:t>
      </w:r>
      <w:r w:rsidRPr="00E17C6F">
        <w:rPr>
          <w:sz w:val="24"/>
          <w:szCs w:val="24"/>
        </w:rPr>
        <w:t xml:space="preserve"> as referring to </w:t>
      </w:r>
      <w:r>
        <w:rPr>
          <w:sz w:val="24"/>
          <w:szCs w:val="24"/>
        </w:rPr>
        <w:t xml:space="preserve">the </w:t>
      </w:r>
      <w:r w:rsidRPr="00E17C6F">
        <w:rPr>
          <w:sz w:val="24"/>
          <w:szCs w:val="24"/>
        </w:rPr>
        <w:t xml:space="preserve">things </w:t>
      </w:r>
      <w:r>
        <w:rPr>
          <w:sz w:val="24"/>
          <w:szCs w:val="24"/>
        </w:rPr>
        <w:t xml:space="preserve">that </w:t>
      </w:r>
      <w:r w:rsidRPr="00E17C6F">
        <w:rPr>
          <w:sz w:val="24"/>
          <w:szCs w:val="24"/>
        </w:rPr>
        <w:t>people do or say with the purpose of modifying someone else’s emotions, and thus, would not include things that may modify the emotions of someone else but that do not occur with the purpose of modifying such emotions (e.g.</w:t>
      </w:r>
      <w:r>
        <w:rPr>
          <w:sz w:val="24"/>
          <w:szCs w:val="24"/>
        </w:rPr>
        <w:t>,</w:t>
      </w:r>
      <w:r w:rsidRPr="00E17C6F">
        <w:rPr>
          <w:sz w:val="24"/>
          <w:szCs w:val="24"/>
        </w:rPr>
        <w:t xml:space="preserve"> smiling at someone to make that person feel better would be considered AIER but smiling at someone because one was remembering something funny would not be considered AIER). </w:t>
      </w:r>
      <w:r>
        <w:rPr>
          <w:sz w:val="24"/>
          <w:szCs w:val="24"/>
        </w:rPr>
        <w:t>C</w:t>
      </w:r>
      <w:r w:rsidRPr="00E17C6F">
        <w:rPr>
          <w:sz w:val="24"/>
          <w:szCs w:val="24"/>
        </w:rPr>
        <w:t xml:space="preserve">hapter </w:t>
      </w:r>
      <w:r>
        <w:rPr>
          <w:sz w:val="24"/>
          <w:szCs w:val="24"/>
        </w:rPr>
        <w:t>1 also explained</w:t>
      </w:r>
      <w:r w:rsidRPr="00E17C6F">
        <w:rPr>
          <w:sz w:val="24"/>
          <w:szCs w:val="24"/>
        </w:rPr>
        <w:t xml:space="preserve"> that AIER strategies </w:t>
      </w:r>
      <w:r>
        <w:rPr>
          <w:sz w:val="24"/>
          <w:szCs w:val="24"/>
        </w:rPr>
        <w:t>c</w:t>
      </w:r>
      <w:r w:rsidRPr="00E17C6F">
        <w:rPr>
          <w:sz w:val="24"/>
          <w:szCs w:val="24"/>
        </w:rPr>
        <w:t>ould be roughly divided into</w:t>
      </w:r>
      <w:r>
        <w:rPr>
          <w:sz w:val="24"/>
          <w:szCs w:val="24"/>
        </w:rPr>
        <w:t xml:space="preserve"> strategies designed to</w:t>
      </w:r>
      <w:r w:rsidRPr="00E17C6F">
        <w:rPr>
          <w:sz w:val="24"/>
          <w:szCs w:val="24"/>
        </w:rPr>
        <w:t xml:space="preserve"> improv</w:t>
      </w:r>
      <w:r>
        <w:rPr>
          <w:sz w:val="24"/>
          <w:szCs w:val="24"/>
        </w:rPr>
        <w:t>e or</w:t>
      </w:r>
      <w:r w:rsidRPr="00E17C6F">
        <w:rPr>
          <w:sz w:val="24"/>
          <w:szCs w:val="24"/>
        </w:rPr>
        <w:t xml:space="preserve"> worsen</w:t>
      </w:r>
      <w:r>
        <w:rPr>
          <w:sz w:val="24"/>
          <w:szCs w:val="24"/>
        </w:rPr>
        <w:t xml:space="preserve"> someone else’s emotions</w:t>
      </w:r>
      <w:r w:rsidRPr="00E17C6F">
        <w:rPr>
          <w:sz w:val="24"/>
          <w:szCs w:val="24"/>
        </w:rPr>
        <w:t xml:space="preserve">, given </w:t>
      </w:r>
      <w:r w:rsidRPr="00E17C6F">
        <w:rPr>
          <w:sz w:val="24"/>
          <w:szCs w:val="24"/>
        </w:rPr>
        <w:lastRenderedPageBreak/>
        <w:t xml:space="preserve">the fact that most research that categorises ER have found these two categories as the most basic forms of dividing ER. The </w:t>
      </w:r>
      <w:r>
        <w:rPr>
          <w:sz w:val="24"/>
          <w:szCs w:val="24"/>
        </w:rPr>
        <w:t xml:space="preserve">defining </w:t>
      </w:r>
      <w:r w:rsidRPr="00E17C6F">
        <w:rPr>
          <w:sz w:val="24"/>
          <w:szCs w:val="24"/>
        </w:rPr>
        <w:t xml:space="preserve">features of AIER were </w:t>
      </w:r>
      <w:r>
        <w:rPr>
          <w:sz w:val="24"/>
          <w:szCs w:val="24"/>
        </w:rPr>
        <w:t xml:space="preserve">also </w:t>
      </w:r>
      <w:r w:rsidRPr="00E17C6F">
        <w:rPr>
          <w:sz w:val="24"/>
          <w:szCs w:val="24"/>
        </w:rPr>
        <w:t>presented</w:t>
      </w:r>
      <w:r>
        <w:rPr>
          <w:sz w:val="24"/>
          <w:szCs w:val="24"/>
        </w:rPr>
        <w:t xml:space="preserve"> - b</w:t>
      </w:r>
      <w:r w:rsidRPr="00E17C6F">
        <w:rPr>
          <w:sz w:val="24"/>
          <w:szCs w:val="24"/>
        </w:rPr>
        <w:t>ased on the automaticity of some other mental processe</w:t>
      </w:r>
      <w:r>
        <w:rPr>
          <w:sz w:val="24"/>
          <w:szCs w:val="24"/>
        </w:rPr>
        <w:t>s</w:t>
      </w:r>
      <w:r w:rsidRPr="00E17C6F">
        <w:rPr>
          <w:sz w:val="24"/>
          <w:szCs w:val="24"/>
        </w:rPr>
        <w:t xml:space="preserve">, it was reasoned that AIER would likely have the same automatic features, namely, </w:t>
      </w:r>
      <w:r w:rsidR="00A6605A">
        <w:rPr>
          <w:sz w:val="24"/>
          <w:szCs w:val="24"/>
        </w:rPr>
        <w:t xml:space="preserve">that it would </w:t>
      </w:r>
      <w:r w:rsidRPr="00E17C6F">
        <w:rPr>
          <w:sz w:val="24"/>
          <w:szCs w:val="24"/>
        </w:rPr>
        <w:t xml:space="preserve">occur without the person’s awareness, without the person’s explicit intention, without the person’s control and without the person’s effort. It was also mentioned that not all of these features needed to be present for AIER to be considered automatic. Finally, some ways of studying AIER were presented, such as the ones used </w:t>
      </w:r>
      <w:r>
        <w:rPr>
          <w:sz w:val="24"/>
          <w:szCs w:val="24"/>
        </w:rPr>
        <w:t>in the present</w:t>
      </w:r>
      <w:r w:rsidRPr="00E17C6F">
        <w:rPr>
          <w:sz w:val="24"/>
          <w:szCs w:val="24"/>
        </w:rPr>
        <w:t xml:space="preserve"> thesis, which included self-report measures, priming, and manipulations of self-control and cognitive load. </w:t>
      </w:r>
    </w:p>
    <w:p w:rsidR="0078667D" w:rsidRPr="00B60564" w:rsidRDefault="0078667D" w:rsidP="00AE640B">
      <w:pPr>
        <w:spacing w:line="480" w:lineRule="auto"/>
        <w:ind w:firstLine="720"/>
        <w:jc w:val="both"/>
        <w:rPr>
          <w:sz w:val="24"/>
          <w:szCs w:val="24"/>
        </w:rPr>
      </w:pPr>
      <w:r>
        <w:rPr>
          <w:sz w:val="24"/>
          <w:szCs w:val="24"/>
        </w:rPr>
        <w:t>C</w:t>
      </w:r>
      <w:r w:rsidRPr="00B60564">
        <w:rPr>
          <w:sz w:val="24"/>
          <w:szCs w:val="24"/>
        </w:rPr>
        <w:t xml:space="preserve">hapter 2 </w:t>
      </w:r>
      <w:r>
        <w:rPr>
          <w:sz w:val="24"/>
          <w:szCs w:val="24"/>
        </w:rPr>
        <w:t>presented S</w:t>
      </w:r>
      <w:r w:rsidRPr="00B60564">
        <w:rPr>
          <w:sz w:val="24"/>
          <w:szCs w:val="24"/>
        </w:rPr>
        <w:t>tudy 1</w:t>
      </w:r>
      <w:r>
        <w:rPr>
          <w:sz w:val="24"/>
          <w:szCs w:val="24"/>
        </w:rPr>
        <w:t>, which used</w:t>
      </w:r>
      <w:r w:rsidRPr="00B60564">
        <w:rPr>
          <w:sz w:val="24"/>
          <w:szCs w:val="24"/>
        </w:rPr>
        <w:t xml:space="preserve"> an adapted version of the Self-</w:t>
      </w:r>
      <w:r>
        <w:rPr>
          <w:sz w:val="24"/>
          <w:szCs w:val="24"/>
        </w:rPr>
        <w:t>R</w:t>
      </w:r>
      <w:r w:rsidRPr="00B60564">
        <w:rPr>
          <w:sz w:val="24"/>
          <w:szCs w:val="24"/>
        </w:rPr>
        <w:t xml:space="preserve">eport </w:t>
      </w:r>
      <w:r>
        <w:rPr>
          <w:sz w:val="24"/>
          <w:szCs w:val="24"/>
        </w:rPr>
        <w:t>B</w:t>
      </w:r>
      <w:r w:rsidRPr="00B60564">
        <w:rPr>
          <w:sz w:val="24"/>
          <w:szCs w:val="24"/>
        </w:rPr>
        <w:t xml:space="preserve">ehavioural </w:t>
      </w:r>
      <w:r>
        <w:rPr>
          <w:sz w:val="24"/>
          <w:szCs w:val="24"/>
        </w:rPr>
        <w:t>A</w:t>
      </w:r>
      <w:r w:rsidRPr="00B60564">
        <w:rPr>
          <w:sz w:val="24"/>
          <w:szCs w:val="24"/>
        </w:rPr>
        <w:t xml:space="preserve">utomaticity </w:t>
      </w:r>
      <w:r>
        <w:rPr>
          <w:sz w:val="24"/>
          <w:szCs w:val="24"/>
        </w:rPr>
        <w:t>I</w:t>
      </w:r>
      <w:r w:rsidRPr="00B60564">
        <w:rPr>
          <w:sz w:val="24"/>
          <w:szCs w:val="24"/>
        </w:rPr>
        <w:t xml:space="preserve">ndex, the SRBAI </w:t>
      </w:r>
      <w:r>
        <w:rPr>
          <w:sz w:val="24"/>
          <w:szCs w:val="24"/>
        </w:rPr>
        <w:t>(Gardner et al., 2012), that was named Automatic Emotion Regulation of Others (AERO). The AERO explored</w:t>
      </w:r>
      <w:r w:rsidRPr="00B60564">
        <w:rPr>
          <w:sz w:val="24"/>
          <w:szCs w:val="24"/>
        </w:rPr>
        <w:t xml:space="preserve"> the extent</w:t>
      </w:r>
      <w:r>
        <w:rPr>
          <w:sz w:val="24"/>
          <w:szCs w:val="24"/>
        </w:rPr>
        <w:t xml:space="preserve"> to which participants reported</w:t>
      </w:r>
      <w:r w:rsidRPr="00B60564">
        <w:rPr>
          <w:sz w:val="24"/>
          <w:szCs w:val="24"/>
        </w:rPr>
        <w:t xml:space="preserve"> using worsening and improving AIER</w:t>
      </w:r>
      <w:r>
        <w:rPr>
          <w:sz w:val="24"/>
          <w:szCs w:val="24"/>
        </w:rPr>
        <w:t xml:space="preserve"> strategies</w:t>
      </w:r>
      <w:r w:rsidRPr="00B60564">
        <w:rPr>
          <w:sz w:val="24"/>
          <w:szCs w:val="24"/>
        </w:rPr>
        <w:t xml:space="preserve"> with close others and with acquaintances</w:t>
      </w:r>
      <w:r>
        <w:rPr>
          <w:sz w:val="24"/>
          <w:szCs w:val="24"/>
        </w:rPr>
        <w:t>. It was</w:t>
      </w:r>
      <w:r w:rsidRPr="00B60564">
        <w:rPr>
          <w:sz w:val="24"/>
          <w:szCs w:val="24"/>
        </w:rPr>
        <w:t xml:space="preserve"> found that participants reported using more improving IER in an automatic way with people </w:t>
      </w:r>
      <w:r>
        <w:rPr>
          <w:sz w:val="24"/>
          <w:szCs w:val="24"/>
        </w:rPr>
        <w:t xml:space="preserve">with whom </w:t>
      </w:r>
      <w:r w:rsidRPr="00B60564">
        <w:rPr>
          <w:sz w:val="24"/>
          <w:szCs w:val="24"/>
        </w:rPr>
        <w:t>they fel</w:t>
      </w:r>
      <w:r>
        <w:rPr>
          <w:sz w:val="24"/>
          <w:szCs w:val="24"/>
        </w:rPr>
        <w:t>t</w:t>
      </w:r>
      <w:r w:rsidRPr="00B60564">
        <w:rPr>
          <w:sz w:val="24"/>
          <w:szCs w:val="24"/>
        </w:rPr>
        <w:t xml:space="preserve"> close</w:t>
      </w:r>
      <w:r>
        <w:rPr>
          <w:sz w:val="24"/>
          <w:szCs w:val="24"/>
        </w:rPr>
        <w:t xml:space="preserve"> to</w:t>
      </w:r>
      <w:r w:rsidRPr="00B60564">
        <w:rPr>
          <w:sz w:val="24"/>
          <w:szCs w:val="24"/>
        </w:rPr>
        <w:t xml:space="preserve"> than with acquaintances. Even though participants reported using both improving and worsening IER with close-others and with acquaintances, the scores on the </w:t>
      </w:r>
      <w:r>
        <w:rPr>
          <w:sz w:val="24"/>
          <w:szCs w:val="24"/>
        </w:rPr>
        <w:t>AERO</w:t>
      </w:r>
      <w:r w:rsidRPr="00B60564">
        <w:rPr>
          <w:sz w:val="24"/>
          <w:szCs w:val="24"/>
        </w:rPr>
        <w:t xml:space="preserve"> indicated that only the improving IER seemed to be used in a more automatic way but only when people reported using improving IER with a close-other. The results of Study 1 then suggest that AIER happens (as reported by participants) but that it occurs with people participants considered close to them and when the purpose of the IER is to make the other person feel good, thus, the valence of the IER </w:t>
      </w:r>
      <w:r>
        <w:rPr>
          <w:sz w:val="24"/>
          <w:szCs w:val="24"/>
        </w:rPr>
        <w:t xml:space="preserve">(to improve or to worsen the </w:t>
      </w:r>
      <w:r>
        <w:rPr>
          <w:sz w:val="24"/>
          <w:szCs w:val="24"/>
        </w:rPr>
        <w:lastRenderedPageBreak/>
        <w:t xml:space="preserve">emotions of others) </w:t>
      </w:r>
      <w:r w:rsidRPr="00B60564">
        <w:rPr>
          <w:sz w:val="24"/>
          <w:szCs w:val="24"/>
        </w:rPr>
        <w:t>and the nature of the relationship</w:t>
      </w:r>
      <w:r>
        <w:rPr>
          <w:sz w:val="24"/>
          <w:szCs w:val="24"/>
        </w:rPr>
        <w:t xml:space="preserve"> (close relationships or relationships with acquaintances)</w:t>
      </w:r>
      <w:r w:rsidRPr="00B60564">
        <w:rPr>
          <w:sz w:val="24"/>
          <w:szCs w:val="24"/>
        </w:rPr>
        <w:t xml:space="preserve"> in which </w:t>
      </w:r>
      <w:r>
        <w:rPr>
          <w:sz w:val="24"/>
          <w:szCs w:val="24"/>
        </w:rPr>
        <w:t>AIER</w:t>
      </w:r>
      <w:r w:rsidRPr="00B60564">
        <w:rPr>
          <w:sz w:val="24"/>
          <w:szCs w:val="24"/>
        </w:rPr>
        <w:t xml:space="preserve"> occurs are important aspects to consider when investigating AIER. Chapter 2 proposed that this might happen because close othe</w:t>
      </w:r>
      <w:r>
        <w:rPr>
          <w:sz w:val="24"/>
          <w:szCs w:val="24"/>
        </w:rPr>
        <w:t xml:space="preserve">rs activate interpersonal goals. </w:t>
      </w:r>
      <w:r w:rsidR="00820954">
        <w:rPr>
          <w:sz w:val="24"/>
          <w:szCs w:val="24"/>
        </w:rPr>
        <w:t>One of the main limitations of Study 1, was that self-reports require the person’s awareness on what is being reported, thus, r</w:t>
      </w:r>
      <w:r w:rsidRPr="00B60564">
        <w:rPr>
          <w:sz w:val="24"/>
          <w:szCs w:val="24"/>
        </w:rPr>
        <w:t>eporting on the use of AIER requires the participant</w:t>
      </w:r>
      <w:r w:rsidR="00820954">
        <w:rPr>
          <w:sz w:val="24"/>
          <w:szCs w:val="24"/>
        </w:rPr>
        <w:t xml:space="preserve"> to</w:t>
      </w:r>
      <w:r w:rsidRPr="00B60564">
        <w:rPr>
          <w:sz w:val="24"/>
          <w:szCs w:val="24"/>
        </w:rPr>
        <w:t xml:space="preserve"> </w:t>
      </w:r>
      <w:r>
        <w:rPr>
          <w:sz w:val="24"/>
          <w:szCs w:val="24"/>
        </w:rPr>
        <w:t>have awareness</w:t>
      </w:r>
      <w:r w:rsidRPr="00B60564">
        <w:rPr>
          <w:sz w:val="24"/>
          <w:szCs w:val="24"/>
        </w:rPr>
        <w:t xml:space="preserve"> of using AIER, </w:t>
      </w:r>
      <w:r w:rsidR="00820954">
        <w:rPr>
          <w:sz w:val="24"/>
          <w:szCs w:val="24"/>
        </w:rPr>
        <w:t>so</w:t>
      </w:r>
      <w:r>
        <w:rPr>
          <w:sz w:val="24"/>
          <w:szCs w:val="24"/>
        </w:rPr>
        <w:t xml:space="preserve"> </w:t>
      </w:r>
      <w:r w:rsidRPr="00B60564">
        <w:rPr>
          <w:sz w:val="24"/>
          <w:szCs w:val="24"/>
        </w:rPr>
        <w:t xml:space="preserve">it could be argued that having knowledge of using </w:t>
      </w:r>
      <w:r>
        <w:rPr>
          <w:sz w:val="24"/>
          <w:szCs w:val="24"/>
        </w:rPr>
        <w:t>A</w:t>
      </w:r>
      <w:r w:rsidRPr="00B60564">
        <w:rPr>
          <w:sz w:val="24"/>
          <w:szCs w:val="24"/>
        </w:rPr>
        <w:t>IER cannot reflect true AIER. Furthermore, research has found that worsening IER also happens</w:t>
      </w:r>
      <w:r>
        <w:rPr>
          <w:sz w:val="24"/>
          <w:szCs w:val="24"/>
        </w:rPr>
        <w:t>;</w:t>
      </w:r>
      <w:r w:rsidRPr="00B60564">
        <w:rPr>
          <w:sz w:val="24"/>
          <w:szCs w:val="24"/>
        </w:rPr>
        <w:t xml:space="preserve"> nevertheless, it was not possible to observe worsening AIER in the reports of participants, perhaps because portraying themselves as being bad towards someone </w:t>
      </w:r>
      <w:r>
        <w:rPr>
          <w:sz w:val="24"/>
          <w:szCs w:val="24"/>
        </w:rPr>
        <w:t xml:space="preserve">else </w:t>
      </w:r>
      <w:r w:rsidRPr="00B60564">
        <w:rPr>
          <w:sz w:val="24"/>
          <w:szCs w:val="24"/>
        </w:rPr>
        <w:t>is not socially accepted. To address these limitations, in Chapter 3</w:t>
      </w:r>
      <w:r>
        <w:rPr>
          <w:sz w:val="24"/>
          <w:szCs w:val="24"/>
        </w:rPr>
        <w:t>,</w:t>
      </w:r>
      <w:r w:rsidRPr="00B60564">
        <w:rPr>
          <w:sz w:val="24"/>
          <w:szCs w:val="24"/>
        </w:rPr>
        <w:t xml:space="preserve"> worsening IER was instigated </w:t>
      </w:r>
      <w:r>
        <w:rPr>
          <w:sz w:val="24"/>
          <w:szCs w:val="24"/>
        </w:rPr>
        <w:t>un</w:t>
      </w:r>
      <w:r w:rsidRPr="00B60564">
        <w:rPr>
          <w:sz w:val="24"/>
          <w:szCs w:val="24"/>
        </w:rPr>
        <w:t>obtrusively and social desirability was controlled for.</w:t>
      </w:r>
    </w:p>
    <w:p w:rsidR="0078667D" w:rsidRDefault="0078667D" w:rsidP="00AE640B">
      <w:pPr>
        <w:spacing w:line="480" w:lineRule="auto"/>
        <w:ind w:firstLine="720"/>
        <w:jc w:val="both"/>
        <w:rPr>
          <w:sz w:val="24"/>
          <w:szCs w:val="24"/>
        </w:rPr>
      </w:pPr>
      <w:r w:rsidRPr="00B60564">
        <w:rPr>
          <w:sz w:val="24"/>
          <w:szCs w:val="24"/>
        </w:rPr>
        <w:t xml:space="preserve">Chapter 3 presented </w:t>
      </w:r>
      <w:r>
        <w:rPr>
          <w:sz w:val="24"/>
          <w:szCs w:val="24"/>
        </w:rPr>
        <w:t>S</w:t>
      </w:r>
      <w:r w:rsidRPr="00B60564">
        <w:rPr>
          <w:sz w:val="24"/>
          <w:szCs w:val="24"/>
        </w:rPr>
        <w:t>tudies 2a, 2b and 2c</w:t>
      </w:r>
      <w:r>
        <w:rPr>
          <w:sz w:val="24"/>
          <w:szCs w:val="24"/>
        </w:rPr>
        <w:t xml:space="preserve"> that used</w:t>
      </w:r>
      <w:r w:rsidRPr="00B60564">
        <w:rPr>
          <w:sz w:val="24"/>
          <w:szCs w:val="24"/>
        </w:rPr>
        <w:t xml:space="preserve"> a priming task </w:t>
      </w:r>
      <w:r>
        <w:rPr>
          <w:sz w:val="24"/>
          <w:szCs w:val="24"/>
        </w:rPr>
        <w:t xml:space="preserve">in an effort </w:t>
      </w:r>
      <w:r w:rsidRPr="00B60564">
        <w:rPr>
          <w:sz w:val="24"/>
          <w:szCs w:val="24"/>
        </w:rPr>
        <w:t>to instigate worsening IER (i.e.</w:t>
      </w:r>
      <w:r>
        <w:rPr>
          <w:sz w:val="24"/>
          <w:szCs w:val="24"/>
        </w:rPr>
        <w:t>,</w:t>
      </w:r>
      <w:r w:rsidRPr="00B60564">
        <w:rPr>
          <w:sz w:val="24"/>
          <w:szCs w:val="24"/>
        </w:rPr>
        <w:t xml:space="preserve"> to make someone else feel bad). In Study 2a, half of </w:t>
      </w:r>
      <w:r>
        <w:rPr>
          <w:sz w:val="24"/>
          <w:szCs w:val="24"/>
        </w:rPr>
        <w:t xml:space="preserve">the </w:t>
      </w:r>
      <w:r w:rsidRPr="00B60564">
        <w:rPr>
          <w:sz w:val="24"/>
          <w:szCs w:val="24"/>
        </w:rPr>
        <w:t xml:space="preserve">participants were primed </w:t>
      </w:r>
      <w:r>
        <w:rPr>
          <w:sz w:val="24"/>
          <w:szCs w:val="24"/>
        </w:rPr>
        <w:t xml:space="preserve">via the Scrambled Sentence Task (SST, </w:t>
      </w:r>
      <w:proofErr w:type="spellStart"/>
      <w:r>
        <w:rPr>
          <w:sz w:val="24"/>
          <w:szCs w:val="24"/>
        </w:rPr>
        <w:t>Srull</w:t>
      </w:r>
      <w:proofErr w:type="spellEnd"/>
      <w:r>
        <w:rPr>
          <w:sz w:val="24"/>
          <w:szCs w:val="24"/>
        </w:rPr>
        <w:t xml:space="preserve"> &amp; </w:t>
      </w:r>
      <w:proofErr w:type="spellStart"/>
      <w:r>
        <w:rPr>
          <w:sz w:val="24"/>
          <w:szCs w:val="24"/>
        </w:rPr>
        <w:t>Wyer</w:t>
      </w:r>
      <w:proofErr w:type="spellEnd"/>
      <w:r>
        <w:rPr>
          <w:sz w:val="24"/>
          <w:szCs w:val="24"/>
        </w:rPr>
        <w:t xml:space="preserve">, 1979) </w:t>
      </w:r>
      <w:r w:rsidRPr="00B60564">
        <w:rPr>
          <w:sz w:val="24"/>
          <w:szCs w:val="24"/>
        </w:rPr>
        <w:t>to worsen the emotions of someone else by unscrambling sentences that included words related to worsening IER (e.g.</w:t>
      </w:r>
      <w:r>
        <w:rPr>
          <w:sz w:val="24"/>
          <w:szCs w:val="24"/>
        </w:rPr>
        <w:t>,</w:t>
      </w:r>
      <w:r w:rsidRPr="00B60564">
        <w:rPr>
          <w:sz w:val="24"/>
          <w:szCs w:val="24"/>
        </w:rPr>
        <w:t xml:space="preserve"> insult, hurt), the other half of the participants unscrambled sentences that included neutral words. All participants were then asked to write an imaginary script between two characters, where they would play the part of one of </w:t>
      </w:r>
      <w:r>
        <w:rPr>
          <w:sz w:val="24"/>
          <w:szCs w:val="24"/>
        </w:rPr>
        <w:t>the</w:t>
      </w:r>
      <w:r w:rsidRPr="00B60564">
        <w:rPr>
          <w:sz w:val="24"/>
          <w:szCs w:val="24"/>
        </w:rPr>
        <w:t xml:space="preserve"> characters</w:t>
      </w:r>
      <w:r>
        <w:rPr>
          <w:sz w:val="24"/>
          <w:szCs w:val="24"/>
        </w:rPr>
        <w:t xml:space="preserve"> in the script</w:t>
      </w:r>
      <w:r w:rsidRPr="00B60564">
        <w:rPr>
          <w:sz w:val="24"/>
          <w:szCs w:val="24"/>
        </w:rPr>
        <w:t>. Before writing the script and after the priming task, participants were asked to choose one of two IER goals: to make the fictional character they were going to have the conversation with feel better or to make her/him feel worse. It was found that participants in the priming condition more frequen</w:t>
      </w:r>
      <w:r>
        <w:rPr>
          <w:sz w:val="24"/>
          <w:szCs w:val="24"/>
        </w:rPr>
        <w:t>tly chose</w:t>
      </w:r>
      <w:r w:rsidRPr="00B60564">
        <w:rPr>
          <w:sz w:val="24"/>
          <w:szCs w:val="24"/>
        </w:rPr>
        <w:t xml:space="preserve"> the </w:t>
      </w:r>
      <w:r w:rsidRPr="00B60564">
        <w:rPr>
          <w:sz w:val="24"/>
          <w:szCs w:val="24"/>
        </w:rPr>
        <w:lastRenderedPageBreak/>
        <w:t xml:space="preserve">worsening IER goal in comparison </w:t>
      </w:r>
      <w:r>
        <w:rPr>
          <w:sz w:val="24"/>
          <w:szCs w:val="24"/>
        </w:rPr>
        <w:t>to</w:t>
      </w:r>
      <w:r w:rsidRPr="00B60564">
        <w:rPr>
          <w:sz w:val="24"/>
          <w:szCs w:val="24"/>
        </w:rPr>
        <w:t xml:space="preserve"> participants who were not primed. It was also observed that participants primed to worsen the emotions of someone else used more worsening IER in their scripts (e.g. used phrases that criticised, insulted, mocked the other fictional character) than </w:t>
      </w:r>
      <w:r>
        <w:rPr>
          <w:sz w:val="24"/>
          <w:szCs w:val="24"/>
        </w:rPr>
        <w:t xml:space="preserve">did </w:t>
      </w:r>
      <w:r w:rsidRPr="00B60564">
        <w:rPr>
          <w:sz w:val="24"/>
          <w:szCs w:val="24"/>
        </w:rPr>
        <w:t xml:space="preserve">control participants. Furthermore, primed participants used less IER aimed at improving the emotions of the other character </w:t>
      </w:r>
      <w:r>
        <w:rPr>
          <w:sz w:val="24"/>
          <w:szCs w:val="24"/>
        </w:rPr>
        <w:t>than</w:t>
      </w:r>
      <w:r w:rsidRPr="00B60564">
        <w:rPr>
          <w:sz w:val="24"/>
          <w:szCs w:val="24"/>
        </w:rPr>
        <w:t xml:space="preserve"> participants who were not primed. </w:t>
      </w:r>
    </w:p>
    <w:p w:rsidR="0078667D" w:rsidRDefault="0078667D" w:rsidP="00AE640B">
      <w:pPr>
        <w:spacing w:line="480" w:lineRule="auto"/>
        <w:ind w:firstLine="720"/>
        <w:jc w:val="both"/>
        <w:rPr>
          <w:sz w:val="24"/>
          <w:szCs w:val="24"/>
        </w:rPr>
      </w:pPr>
      <w:r w:rsidRPr="00B60564">
        <w:rPr>
          <w:sz w:val="24"/>
          <w:szCs w:val="24"/>
        </w:rPr>
        <w:t xml:space="preserve">In study 2a it was suggested that the </w:t>
      </w:r>
      <w:r>
        <w:rPr>
          <w:sz w:val="24"/>
          <w:szCs w:val="24"/>
        </w:rPr>
        <w:t xml:space="preserve">explicit </w:t>
      </w:r>
      <w:r w:rsidRPr="00B60564">
        <w:rPr>
          <w:sz w:val="24"/>
          <w:szCs w:val="24"/>
        </w:rPr>
        <w:t xml:space="preserve">IER goal may have </w:t>
      </w:r>
      <w:r w:rsidR="00B01722">
        <w:rPr>
          <w:sz w:val="24"/>
          <w:szCs w:val="24"/>
        </w:rPr>
        <w:t>mediated</w:t>
      </w:r>
      <w:r w:rsidRPr="00B60564">
        <w:rPr>
          <w:sz w:val="24"/>
          <w:szCs w:val="24"/>
        </w:rPr>
        <w:t xml:space="preserve"> the effect of the priming task, </w:t>
      </w:r>
      <w:r w:rsidR="00B01722">
        <w:rPr>
          <w:sz w:val="24"/>
          <w:szCs w:val="24"/>
        </w:rPr>
        <w:t xml:space="preserve">but only in </w:t>
      </w:r>
      <w:r w:rsidRPr="00B60564">
        <w:rPr>
          <w:sz w:val="24"/>
          <w:szCs w:val="24"/>
        </w:rPr>
        <w:t xml:space="preserve">making participants who chose the worsening IER goal more prone to use worsening IER </w:t>
      </w:r>
      <w:r w:rsidR="00B01722">
        <w:rPr>
          <w:sz w:val="24"/>
          <w:szCs w:val="24"/>
        </w:rPr>
        <w:t xml:space="preserve">strategies </w:t>
      </w:r>
      <w:r w:rsidRPr="00B60564">
        <w:rPr>
          <w:sz w:val="24"/>
          <w:szCs w:val="24"/>
        </w:rPr>
        <w:t>in their scripts</w:t>
      </w:r>
      <w:r w:rsidR="00B01722">
        <w:rPr>
          <w:sz w:val="24"/>
          <w:szCs w:val="24"/>
        </w:rPr>
        <w:t xml:space="preserve"> (as using less strategies aimed at improving someone else’s emotions, which could also be considered as a way of making someone feel bad, seemed not to be affected by whether participants were able or not to choose a worsening IER goal</w:t>
      </w:r>
      <w:r w:rsidR="004F3545">
        <w:rPr>
          <w:sz w:val="24"/>
          <w:szCs w:val="24"/>
        </w:rPr>
        <w:t>, but seemed to only be affect by being assigned to the experimental condition</w:t>
      </w:r>
      <w:r w:rsidR="00B01722">
        <w:rPr>
          <w:sz w:val="24"/>
          <w:szCs w:val="24"/>
        </w:rPr>
        <w:t>)</w:t>
      </w:r>
      <w:r w:rsidRPr="00B60564">
        <w:rPr>
          <w:sz w:val="24"/>
          <w:szCs w:val="24"/>
        </w:rPr>
        <w:t xml:space="preserve">. To investigate whether or not the effect of the prime would remain in the absence of an </w:t>
      </w:r>
      <w:r>
        <w:rPr>
          <w:sz w:val="24"/>
          <w:szCs w:val="24"/>
        </w:rPr>
        <w:t xml:space="preserve">explicit </w:t>
      </w:r>
      <w:r w:rsidRPr="00B60564">
        <w:rPr>
          <w:sz w:val="24"/>
          <w:szCs w:val="24"/>
        </w:rPr>
        <w:t xml:space="preserve">IER goal, </w:t>
      </w:r>
      <w:r>
        <w:rPr>
          <w:sz w:val="24"/>
          <w:szCs w:val="24"/>
        </w:rPr>
        <w:t>S</w:t>
      </w:r>
      <w:r w:rsidRPr="00B60564">
        <w:rPr>
          <w:sz w:val="24"/>
          <w:szCs w:val="24"/>
        </w:rPr>
        <w:t xml:space="preserve">tudy 2b replicated </w:t>
      </w:r>
      <w:r>
        <w:rPr>
          <w:sz w:val="24"/>
          <w:szCs w:val="24"/>
        </w:rPr>
        <w:t>the procedure of S</w:t>
      </w:r>
      <w:r w:rsidRPr="00B60564">
        <w:rPr>
          <w:sz w:val="24"/>
          <w:szCs w:val="24"/>
        </w:rPr>
        <w:t>tudy 2a with the only exception of removing the IER goal</w:t>
      </w:r>
      <w:r>
        <w:rPr>
          <w:sz w:val="24"/>
          <w:szCs w:val="24"/>
        </w:rPr>
        <w:t>. T</w:t>
      </w:r>
      <w:r w:rsidRPr="00B60564">
        <w:rPr>
          <w:sz w:val="24"/>
          <w:szCs w:val="24"/>
        </w:rPr>
        <w:t xml:space="preserve">hus, participants were not asked before completing the script whether they would like or not to make the other fictional character on script feel either good or bad. It was observed that primed participants did not use more worsening IER strategies in the imaginary scripts they wrote, nevertheless, participants </w:t>
      </w:r>
      <w:r>
        <w:rPr>
          <w:sz w:val="24"/>
          <w:szCs w:val="24"/>
        </w:rPr>
        <w:t xml:space="preserve">who were primed </w:t>
      </w:r>
      <w:r w:rsidR="004F3545">
        <w:rPr>
          <w:sz w:val="24"/>
          <w:szCs w:val="24"/>
        </w:rPr>
        <w:t>still</w:t>
      </w:r>
      <w:r>
        <w:rPr>
          <w:sz w:val="24"/>
          <w:szCs w:val="24"/>
        </w:rPr>
        <w:t xml:space="preserve"> </w:t>
      </w:r>
      <w:r w:rsidRPr="00B60564">
        <w:rPr>
          <w:sz w:val="24"/>
          <w:szCs w:val="24"/>
        </w:rPr>
        <w:t>use</w:t>
      </w:r>
      <w:r w:rsidR="004F3545">
        <w:rPr>
          <w:sz w:val="24"/>
          <w:szCs w:val="24"/>
        </w:rPr>
        <w:t>d</w:t>
      </w:r>
      <w:r w:rsidRPr="00B60564">
        <w:rPr>
          <w:sz w:val="24"/>
          <w:szCs w:val="24"/>
        </w:rPr>
        <w:t xml:space="preserve"> less improving IER strategies. </w:t>
      </w:r>
    </w:p>
    <w:p w:rsidR="0078667D" w:rsidRPr="00B60564" w:rsidRDefault="0078667D" w:rsidP="00AE640B">
      <w:pPr>
        <w:spacing w:line="480" w:lineRule="auto"/>
        <w:ind w:firstLine="720"/>
        <w:jc w:val="both"/>
        <w:rPr>
          <w:sz w:val="24"/>
          <w:szCs w:val="24"/>
        </w:rPr>
      </w:pPr>
      <w:r w:rsidRPr="00B60564">
        <w:rPr>
          <w:sz w:val="24"/>
          <w:szCs w:val="24"/>
        </w:rPr>
        <w:t xml:space="preserve">Having observed that the priming task (the SST) had an effect on the participants’ use of IER strategies as reflected on their scripts, it was </w:t>
      </w:r>
      <w:r>
        <w:rPr>
          <w:sz w:val="24"/>
          <w:szCs w:val="24"/>
        </w:rPr>
        <w:t xml:space="preserve">expected </w:t>
      </w:r>
      <w:r w:rsidRPr="00B60564">
        <w:rPr>
          <w:sz w:val="24"/>
          <w:szCs w:val="24"/>
        </w:rPr>
        <w:t xml:space="preserve">that the </w:t>
      </w:r>
      <w:r>
        <w:rPr>
          <w:sz w:val="24"/>
          <w:szCs w:val="24"/>
        </w:rPr>
        <w:t xml:space="preserve">effect of the </w:t>
      </w:r>
      <w:r w:rsidRPr="00B60564">
        <w:rPr>
          <w:sz w:val="24"/>
          <w:szCs w:val="24"/>
        </w:rPr>
        <w:t xml:space="preserve">priming task would also </w:t>
      </w:r>
      <w:r>
        <w:rPr>
          <w:sz w:val="24"/>
          <w:szCs w:val="24"/>
        </w:rPr>
        <w:t>be reflected on</w:t>
      </w:r>
      <w:r w:rsidRPr="00B60564">
        <w:rPr>
          <w:sz w:val="24"/>
          <w:szCs w:val="24"/>
        </w:rPr>
        <w:t xml:space="preserve"> task different to the script. Therefore, in </w:t>
      </w:r>
      <w:r>
        <w:rPr>
          <w:sz w:val="24"/>
          <w:szCs w:val="24"/>
        </w:rPr>
        <w:t>S</w:t>
      </w:r>
      <w:r w:rsidRPr="00B60564">
        <w:rPr>
          <w:sz w:val="24"/>
          <w:szCs w:val="24"/>
        </w:rPr>
        <w:t xml:space="preserve">tudy </w:t>
      </w:r>
      <w:r w:rsidRPr="00B60564">
        <w:rPr>
          <w:sz w:val="24"/>
          <w:szCs w:val="24"/>
        </w:rPr>
        <w:lastRenderedPageBreak/>
        <w:t xml:space="preserve">2c, participants were asked to write a letter to a romantic ex-partner of theirs. It was reasoned that, as break-ups are </w:t>
      </w:r>
      <w:r w:rsidR="002569BD">
        <w:rPr>
          <w:sz w:val="24"/>
          <w:szCs w:val="24"/>
        </w:rPr>
        <w:t xml:space="preserve">generally </w:t>
      </w:r>
      <w:r w:rsidRPr="00B60564">
        <w:rPr>
          <w:sz w:val="24"/>
          <w:szCs w:val="24"/>
        </w:rPr>
        <w:t>not a happy scenario, writing a letter to a romantic ex-partner would be a good situation to investigate the use of worsening IER. Participants were divided in</w:t>
      </w:r>
      <w:r w:rsidR="002569BD">
        <w:rPr>
          <w:sz w:val="24"/>
          <w:szCs w:val="24"/>
        </w:rPr>
        <w:t>to</w:t>
      </w:r>
      <w:r w:rsidRPr="00B60564">
        <w:rPr>
          <w:sz w:val="24"/>
          <w:szCs w:val="24"/>
        </w:rPr>
        <w:t xml:space="preserve"> 4 groups</w:t>
      </w:r>
      <w:r w:rsidR="002569BD">
        <w:rPr>
          <w:sz w:val="24"/>
          <w:szCs w:val="24"/>
        </w:rPr>
        <w:t>: o</w:t>
      </w:r>
      <w:r w:rsidRPr="00B60564">
        <w:rPr>
          <w:sz w:val="24"/>
          <w:szCs w:val="24"/>
        </w:rPr>
        <w:t xml:space="preserve">ne group of participants were primed and given the option to choose </w:t>
      </w:r>
      <w:r>
        <w:rPr>
          <w:sz w:val="24"/>
          <w:szCs w:val="24"/>
        </w:rPr>
        <w:t>to</w:t>
      </w:r>
      <w:r w:rsidRPr="00B60564">
        <w:rPr>
          <w:sz w:val="24"/>
          <w:szCs w:val="24"/>
        </w:rPr>
        <w:t xml:space="preserve"> mak</w:t>
      </w:r>
      <w:r>
        <w:rPr>
          <w:sz w:val="24"/>
          <w:szCs w:val="24"/>
        </w:rPr>
        <w:t>e</w:t>
      </w:r>
      <w:r w:rsidRPr="00B60564">
        <w:rPr>
          <w:sz w:val="24"/>
          <w:szCs w:val="24"/>
        </w:rPr>
        <w:t xml:space="preserve"> their ex-partner feel better or worse on the letter they would write to him/her, another group of participants were primed but they were not given the option to choose between the two IER goals, a third group of participants were not primed but given the IER goal option and the last group of participants were neither primed no</w:t>
      </w:r>
      <w:r>
        <w:rPr>
          <w:sz w:val="24"/>
          <w:szCs w:val="24"/>
        </w:rPr>
        <w:t>r</w:t>
      </w:r>
      <w:r w:rsidRPr="00B60564">
        <w:rPr>
          <w:sz w:val="24"/>
          <w:szCs w:val="24"/>
        </w:rPr>
        <w:t xml:space="preserve"> given an IER goal option. The </w:t>
      </w:r>
      <w:r>
        <w:rPr>
          <w:sz w:val="24"/>
          <w:szCs w:val="24"/>
        </w:rPr>
        <w:t>findings suggested</w:t>
      </w:r>
      <w:r w:rsidRPr="00B60564">
        <w:rPr>
          <w:sz w:val="24"/>
          <w:szCs w:val="24"/>
        </w:rPr>
        <w:t xml:space="preserve"> that the priming condition did not influence the </w:t>
      </w:r>
      <w:r>
        <w:rPr>
          <w:sz w:val="24"/>
          <w:szCs w:val="24"/>
        </w:rPr>
        <w:t>frequency</w:t>
      </w:r>
      <w:r w:rsidRPr="00B60564">
        <w:rPr>
          <w:sz w:val="24"/>
          <w:szCs w:val="24"/>
        </w:rPr>
        <w:t xml:space="preserve"> </w:t>
      </w:r>
      <w:r>
        <w:rPr>
          <w:sz w:val="24"/>
          <w:szCs w:val="24"/>
        </w:rPr>
        <w:t>with which</w:t>
      </w:r>
      <w:r w:rsidRPr="00B60564">
        <w:rPr>
          <w:sz w:val="24"/>
          <w:szCs w:val="24"/>
        </w:rPr>
        <w:t xml:space="preserve"> participants used </w:t>
      </w:r>
      <w:r w:rsidR="002569BD">
        <w:rPr>
          <w:sz w:val="24"/>
          <w:szCs w:val="24"/>
        </w:rPr>
        <w:t xml:space="preserve">worsening </w:t>
      </w:r>
      <w:r>
        <w:rPr>
          <w:sz w:val="24"/>
          <w:szCs w:val="24"/>
        </w:rPr>
        <w:t xml:space="preserve">IER </w:t>
      </w:r>
      <w:r w:rsidRPr="00B60564">
        <w:rPr>
          <w:sz w:val="24"/>
          <w:szCs w:val="24"/>
        </w:rPr>
        <w:t xml:space="preserve">in the letters </w:t>
      </w:r>
      <w:r>
        <w:rPr>
          <w:sz w:val="24"/>
          <w:szCs w:val="24"/>
        </w:rPr>
        <w:t xml:space="preserve">that </w:t>
      </w:r>
      <w:r w:rsidRPr="00B60564">
        <w:rPr>
          <w:sz w:val="24"/>
          <w:szCs w:val="24"/>
        </w:rPr>
        <w:t xml:space="preserve">they wrote to their ex-partners. </w:t>
      </w:r>
      <w:r>
        <w:rPr>
          <w:sz w:val="24"/>
          <w:szCs w:val="24"/>
        </w:rPr>
        <w:t>Rather, w</w:t>
      </w:r>
      <w:r w:rsidRPr="00B60564">
        <w:rPr>
          <w:sz w:val="24"/>
          <w:szCs w:val="24"/>
        </w:rPr>
        <w:t xml:space="preserve">hat seemed to </w:t>
      </w:r>
      <w:r w:rsidR="002569BD">
        <w:rPr>
          <w:sz w:val="24"/>
          <w:szCs w:val="24"/>
        </w:rPr>
        <w:t xml:space="preserve">have </w:t>
      </w:r>
      <w:r w:rsidRPr="00B60564">
        <w:rPr>
          <w:sz w:val="24"/>
          <w:szCs w:val="24"/>
        </w:rPr>
        <w:t>affect</w:t>
      </w:r>
      <w:r w:rsidR="002569BD">
        <w:rPr>
          <w:sz w:val="24"/>
          <w:szCs w:val="24"/>
        </w:rPr>
        <w:t>ed</w:t>
      </w:r>
      <w:r w:rsidRPr="00B60564">
        <w:rPr>
          <w:sz w:val="24"/>
          <w:szCs w:val="24"/>
        </w:rPr>
        <w:t xml:space="preserve"> the amount of worsening or improving IER participants used was the IER goal </w:t>
      </w:r>
      <w:r>
        <w:rPr>
          <w:sz w:val="24"/>
          <w:szCs w:val="24"/>
        </w:rPr>
        <w:t xml:space="preserve">that </w:t>
      </w:r>
      <w:r w:rsidRPr="00B60564">
        <w:rPr>
          <w:sz w:val="24"/>
          <w:szCs w:val="24"/>
        </w:rPr>
        <w:t>they choose, with participants choosing the improving IER goal using more improving IER strategies in their letters, and participants choosing the worsening IER goal choosing more worsening IER in their letter.</w:t>
      </w:r>
      <w:r>
        <w:rPr>
          <w:sz w:val="24"/>
          <w:szCs w:val="24"/>
        </w:rPr>
        <w:t xml:space="preserve"> Importantly, the priming condition did not affect the participant’s choice of IER goal, as it did in Study 2a.</w:t>
      </w:r>
      <w:r w:rsidRPr="00B60564">
        <w:rPr>
          <w:sz w:val="24"/>
          <w:szCs w:val="24"/>
        </w:rPr>
        <w:t xml:space="preserve"> Thus, the results of studies 2a and 2b were not replicated. </w:t>
      </w:r>
    </w:p>
    <w:p w:rsidR="0078667D" w:rsidRPr="00B60564" w:rsidRDefault="0078667D" w:rsidP="00AE640B">
      <w:pPr>
        <w:spacing w:line="480" w:lineRule="auto"/>
        <w:ind w:firstLine="720"/>
        <w:jc w:val="both"/>
        <w:rPr>
          <w:rFonts w:cs="Times New Roman"/>
          <w:sz w:val="24"/>
          <w:szCs w:val="24"/>
        </w:rPr>
      </w:pPr>
      <w:r w:rsidRPr="0039246B">
        <w:rPr>
          <w:sz w:val="24"/>
          <w:szCs w:val="24"/>
        </w:rPr>
        <w:t>Chapter 4</w:t>
      </w:r>
      <w:r>
        <w:rPr>
          <w:sz w:val="24"/>
          <w:szCs w:val="24"/>
        </w:rPr>
        <w:t xml:space="preserve"> presented Study 3</w:t>
      </w:r>
      <w:r w:rsidRPr="0039246B">
        <w:rPr>
          <w:sz w:val="24"/>
          <w:szCs w:val="24"/>
        </w:rPr>
        <w:t>.</w:t>
      </w:r>
      <w:r w:rsidRPr="00B17F72">
        <w:rPr>
          <w:sz w:val="24"/>
          <w:szCs w:val="24"/>
        </w:rPr>
        <w:t xml:space="preserve"> </w:t>
      </w:r>
      <w:r>
        <w:rPr>
          <w:sz w:val="24"/>
          <w:szCs w:val="24"/>
        </w:rPr>
        <w:t>While t</w:t>
      </w:r>
      <w:r w:rsidRPr="00B17F72">
        <w:rPr>
          <w:sz w:val="24"/>
          <w:szCs w:val="24"/>
        </w:rPr>
        <w:t xml:space="preserve">he previous studies (1, 2a and 2b) </w:t>
      </w:r>
      <w:r w:rsidR="002569BD">
        <w:rPr>
          <w:sz w:val="24"/>
          <w:szCs w:val="24"/>
        </w:rPr>
        <w:t>showed</w:t>
      </w:r>
      <w:r w:rsidRPr="00B17F72">
        <w:rPr>
          <w:sz w:val="24"/>
          <w:szCs w:val="24"/>
        </w:rPr>
        <w:t xml:space="preserve"> some evidence of AIER</w:t>
      </w:r>
      <w:r w:rsidRPr="00B60564">
        <w:rPr>
          <w:sz w:val="24"/>
          <w:szCs w:val="24"/>
        </w:rPr>
        <w:t xml:space="preserve">, this evidence </w:t>
      </w:r>
      <w:r>
        <w:rPr>
          <w:sz w:val="24"/>
          <w:szCs w:val="24"/>
        </w:rPr>
        <w:t>wa</w:t>
      </w:r>
      <w:r w:rsidRPr="00B60564">
        <w:rPr>
          <w:sz w:val="24"/>
          <w:szCs w:val="24"/>
        </w:rPr>
        <w:t>s based on self-reports (Study 1) and on imaginary interactions (Studies 2a and 2b)</w:t>
      </w:r>
      <w:r>
        <w:rPr>
          <w:sz w:val="24"/>
          <w:szCs w:val="24"/>
        </w:rPr>
        <w:t>. F</w:t>
      </w:r>
      <w:r w:rsidRPr="00B60564">
        <w:rPr>
          <w:sz w:val="24"/>
          <w:szCs w:val="24"/>
        </w:rPr>
        <w:t xml:space="preserve">urthermore, none of these studies </w:t>
      </w:r>
      <w:r>
        <w:rPr>
          <w:sz w:val="24"/>
          <w:szCs w:val="24"/>
        </w:rPr>
        <w:t>identified</w:t>
      </w:r>
      <w:r w:rsidRPr="00B60564">
        <w:rPr>
          <w:sz w:val="24"/>
          <w:szCs w:val="24"/>
        </w:rPr>
        <w:t xml:space="preserve"> the factors that make people more </w:t>
      </w:r>
      <w:r>
        <w:rPr>
          <w:sz w:val="24"/>
          <w:szCs w:val="24"/>
        </w:rPr>
        <w:t>likely</w:t>
      </w:r>
      <w:r w:rsidRPr="00B60564">
        <w:rPr>
          <w:sz w:val="24"/>
          <w:szCs w:val="24"/>
        </w:rPr>
        <w:t xml:space="preserve"> to use IER. </w:t>
      </w:r>
      <w:r>
        <w:rPr>
          <w:sz w:val="24"/>
          <w:szCs w:val="24"/>
        </w:rPr>
        <w:t>S</w:t>
      </w:r>
      <w:r w:rsidRPr="00B60564">
        <w:rPr>
          <w:sz w:val="24"/>
          <w:szCs w:val="24"/>
        </w:rPr>
        <w:t>tudy 3</w:t>
      </w:r>
      <w:r>
        <w:rPr>
          <w:sz w:val="24"/>
          <w:szCs w:val="24"/>
        </w:rPr>
        <w:t xml:space="preserve"> drew</w:t>
      </w:r>
      <w:r w:rsidRPr="00B60564">
        <w:rPr>
          <w:sz w:val="24"/>
          <w:szCs w:val="24"/>
        </w:rPr>
        <w:t xml:space="preserve"> on evidence that suggests that when people are depleted of their self-control resources they are more likely to rely on automatic processes, </w:t>
      </w:r>
      <w:r>
        <w:rPr>
          <w:sz w:val="24"/>
          <w:szCs w:val="24"/>
        </w:rPr>
        <w:t xml:space="preserve">to develop </w:t>
      </w:r>
      <w:r w:rsidRPr="00B60564">
        <w:rPr>
          <w:sz w:val="24"/>
          <w:szCs w:val="24"/>
        </w:rPr>
        <w:t>a (self-report) measure of self-</w:t>
      </w:r>
      <w:r w:rsidRPr="00B60564">
        <w:rPr>
          <w:sz w:val="24"/>
          <w:szCs w:val="24"/>
        </w:rPr>
        <w:lastRenderedPageBreak/>
        <w:t xml:space="preserve">control depletion that could then be used to investigate the relationship between self-control depletion and use of AIER. A modified version of the </w:t>
      </w:r>
      <w:r w:rsidRPr="00B60564">
        <w:rPr>
          <w:rFonts w:cs="Times New Roman"/>
          <w:sz w:val="24"/>
          <w:szCs w:val="24"/>
        </w:rPr>
        <w:t>Brief Self-Control Scale (BSCS; Tangney et al., 2004) was used to measure participants</w:t>
      </w:r>
      <w:r>
        <w:rPr>
          <w:rFonts w:cs="Times New Roman"/>
          <w:sz w:val="24"/>
          <w:szCs w:val="24"/>
        </w:rPr>
        <w:t>’</w:t>
      </w:r>
      <w:r w:rsidRPr="00B60564">
        <w:rPr>
          <w:rFonts w:cs="Times New Roman"/>
          <w:sz w:val="24"/>
          <w:szCs w:val="24"/>
        </w:rPr>
        <w:t xml:space="preserve"> use of self-control during their </w:t>
      </w:r>
      <w:r w:rsidR="00412EB5">
        <w:rPr>
          <w:rFonts w:cs="Times New Roman"/>
          <w:sz w:val="24"/>
          <w:szCs w:val="24"/>
        </w:rPr>
        <w:t xml:space="preserve">working </w:t>
      </w:r>
      <w:r w:rsidRPr="00B60564">
        <w:rPr>
          <w:rFonts w:cs="Times New Roman"/>
          <w:sz w:val="24"/>
          <w:szCs w:val="24"/>
        </w:rPr>
        <w:t xml:space="preserve">day. </w:t>
      </w:r>
      <w:r>
        <w:rPr>
          <w:rFonts w:cs="Times New Roman"/>
          <w:sz w:val="24"/>
          <w:szCs w:val="24"/>
        </w:rPr>
        <w:t>In an attempt to validate t</w:t>
      </w:r>
      <w:r w:rsidRPr="00B60564">
        <w:rPr>
          <w:rFonts w:cs="Times New Roman"/>
          <w:sz w:val="24"/>
          <w:szCs w:val="24"/>
        </w:rPr>
        <w:t xml:space="preserve">his new </w:t>
      </w:r>
      <w:r>
        <w:rPr>
          <w:rFonts w:cs="Times New Roman"/>
          <w:sz w:val="24"/>
          <w:szCs w:val="24"/>
        </w:rPr>
        <w:t xml:space="preserve">measure of the </w:t>
      </w:r>
      <w:r w:rsidRPr="00B60564">
        <w:rPr>
          <w:rFonts w:cs="Times New Roman"/>
          <w:sz w:val="24"/>
          <w:szCs w:val="24"/>
        </w:rPr>
        <w:t>use of self-control</w:t>
      </w:r>
      <w:r w:rsidR="00412EB5">
        <w:rPr>
          <w:rFonts w:cs="Times New Roman"/>
          <w:sz w:val="24"/>
          <w:szCs w:val="24"/>
        </w:rPr>
        <w:t>,</w:t>
      </w:r>
      <w:r w:rsidRPr="00B60564">
        <w:rPr>
          <w:rFonts w:cs="Times New Roman"/>
          <w:sz w:val="24"/>
          <w:szCs w:val="24"/>
        </w:rPr>
        <w:t xml:space="preserve"> participant’s self-control capacity </w:t>
      </w:r>
      <w:r>
        <w:rPr>
          <w:rFonts w:cs="Times New Roman"/>
          <w:sz w:val="24"/>
          <w:szCs w:val="24"/>
        </w:rPr>
        <w:t xml:space="preserve">was measured </w:t>
      </w:r>
      <w:r w:rsidRPr="00B60564">
        <w:rPr>
          <w:rFonts w:cs="Times New Roman"/>
          <w:sz w:val="24"/>
          <w:szCs w:val="24"/>
        </w:rPr>
        <w:t>using the Stroop task. It was predicted that participants who reported using lots of self-control would perform worse on the Stroop than participants who have exerted less self-control.</w:t>
      </w:r>
      <w:r w:rsidRPr="00B60564">
        <w:rPr>
          <w:rStyle w:val="Refdecomentario"/>
          <w:sz w:val="24"/>
          <w:szCs w:val="24"/>
        </w:rPr>
        <w:t xml:space="preserve"> </w:t>
      </w:r>
      <w:r w:rsidRPr="00B60564">
        <w:rPr>
          <w:rFonts w:cs="Times New Roman"/>
          <w:sz w:val="24"/>
          <w:szCs w:val="24"/>
        </w:rPr>
        <w:t xml:space="preserve">Unfortunately, the scores of participants in the new </w:t>
      </w:r>
      <w:r>
        <w:rPr>
          <w:rFonts w:cs="Times New Roman"/>
          <w:sz w:val="24"/>
          <w:szCs w:val="24"/>
        </w:rPr>
        <w:t xml:space="preserve">measure of </w:t>
      </w:r>
      <w:r w:rsidRPr="00B60564">
        <w:rPr>
          <w:rFonts w:cs="Times New Roman"/>
          <w:sz w:val="24"/>
          <w:szCs w:val="24"/>
        </w:rPr>
        <w:t xml:space="preserve">use of self-control during the day </w:t>
      </w:r>
      <w:r>
        <w:rPr>
          <w:rFonts w:cs="Times New Roman"/>
          <w:sz w:val="24"/>
          <w:szCs w:val="24"/>
        </w:rPr>
        <w:t>were</w:t>
      </w:r>
      <w:r w:rsidRPr="00B60564">
        <w:rPr>
          <w:rFonts w:cs="Times New Roman"/>
          <w:sz w:val="24"/>
          <w:szCs w:val="24"/>
        </w:rPr>
        <w:t xml:space="preserve"> not </w:t>
      </w:r>
      <w:r>
        <w:rPr>
          <w:rFonts w:cs="Times New Roman"/>
          <w:sz w:val="24"/>
          <w:szCs w:val="24"/>
        </w:rPr>
        <w:t>associated with</w:t>
      </w:r>
      <w:r w:rsidRPr="00B60564">
        <w:rPr>
          <w:rFonts w:cs="Times New Roman"/>
          <w:sz w:val="24"/>
          <w:szCs w:val="24"/>
        </w:rPr>
        <w:t xml:space="preserve"> participant’s performance on the Stroop task, meaning that it was not possible to identify participants depleted of their self-control resources by their scores on the new scale. Therefore</w:t>
      </w:r>
      <w:r>
        <w:rPr>
          <w:rFonts w:cs="Times New Roman"/>
          <w:sz w:val="24"/>
          <w:szCs w:val="24"/>
        </w:rPr>
        <w:t>,</w:t>
      </w:r>
      <w:r w:rsidRPr="00B60564">
        <w:rPr>
          <w:rFonts w:cs="Times New Roman"/>
          <w:sz w:val="24"/>
          <w:szCs w:val="24"/>
        </w:rPr>
        <w:t xml:space="preserve"> in the next empirical study, </w:t>
      </w:r>
      <w:r>
        <w:rPr>
          <w:rFonts w:cs="Times New Roman"/>
          <w:sz w:val="24"/>
          <w:szCs w:val="24"/>
        </w:rPr>
        <w:t xml:space="preserve">the impact of </w:t>
      </w:r>
      <w:r w:rsidRPr="00B60564">
        <w:rPr>
          <w:rFonts w:cs="Times New Roman"/>
          <w:sz w:val="24"/>
          <w:szCs w:val="24"/>
        </w:rPr>
        <w:t xml:space="preserve">another factor associated </w:t>
      </w:r>
      <w:r>
        <w:rPr>
          <w:rFonts w:cs="Times New Roman"/>
          <w:sz w:val="24"/>
          <w:szCs w:val="24"/>
        </w:rPr>
        <w:t>with</w:t>
      </w:r>
      <w:r w:rsidRPr="00B60564">
        <w:rPr>
          <w:rFonts w:cs="Times New Roman"/>
          <w:sz w:val="24"/>
          <w:szCs w:val="24"/>
        </w:rPr>
        <w:t xml:space="preserve"> automaticity </w:t>
      </w:r>
      <w:r>
        <w:rPr>
          <w:rFonts w:cs="Times New Roman"/>
          <w:sz w:val="24"/>
          <w:szCs w:val="24"/>
        </w:rPr>
        <w:t xml:space="preserve">on the use of AIER </w:t>
      </w:r>
      <w:r w:rsidRPr="00B60564">
        <w:rPr>
          <w:rFonts w:cs="Times New Roman"/>
          <w:sz w:val="24"/>
          <w:szCs w:val="24"/>
        </w:rPr>
        <w:t>was explored</w:t>
      </w:r>
      <w:r>
        <w:rPr>
          <w:rFonts w:cs="Times New Roman"/>
          <w:sz w:val="24"/>
          <w:szCs w:val="24"/>
        </w:rPr>
        <w:t>;</w:t>
      </w:r>
      <w:r w:rsidRPr="00B60564">
        <w:rPr>
          <w:rFonts w:cs="Times New Roman"/>
          <w:sz w:val="24"/>
          <w:szCs w:val="24"/>
        </w:rPr>
        <w:t xml:space="preserve"> namely, being under high cognitive load. </w:t>
      </w:r>
    </w:p>
    <w:p w:rsidR="0078667D" w:rsidRDefault="0078667D" w:rsidP="00AE640B">
      <w:pPr>
        <w:spacing w:line="480" w:lineRule="auto"/>
        <w:ind w:firstLine="720"/>
        <w:jc w:val="both"/>
        <w:rPr>
          <w:rFonts w:cs="Times New Roman"/>
          <w:sz w:val="24"/>
          <w:szCs w:val="24"/>
        </w:rPr>
      </w:pPr>
      <w:r>
        <w:rPr>
          <w:rFonts w:cs="Times New Roman"/>
          <w:sz w:val="24"/>
          <w:szCs w:val="24"/>
        </w:rPr>
        <w:t>Chapter 5 described</w:t>
      </w:r>
      <w:r w:rsidRPr="00B60564">
        <w:rPr>
          <w:rFonts w:cs="Times New Roman"/>
          <w:sz w:val="24"/>
          <w:szCs w:val="24"/>
        </w:rPr>
        <w:t xml:space="preserve"> </w:t>
      </w:r>
      <w:r>
        <w:rPr>
          <w:rFonts w:cs="Times New Roman"/>
          <w:sz w:val="24"/>
          <w:szCs w:val="24"/>
        </w:rPr>
        <w:t>S</w:t>
      </w:r>
      <w:r w:rsidRPr="00B60564">
        <w:rPr>
          <w:rFonts w:cs="Times New Roman"/>
          <w:sz w:val="24"/>
          <w:szCs w:val="24"/>
        </w:rPr>
        <w:t xml:space="preserve">tudy 4 </w:t>
      </w:r>
      <w:r>
        <w:rPr>
          <w:rFonts w:cs="Times New Roman"/>
          <w:sz w:val="24"/>
          <w:szCs w:val="24"/>
        </w:rPr>
        <w:t xml:space="preserve">that </w:t>
      </w:r>
      <w:r w:rsidRPr="00B60564">
        <w:rPr>
          <w:rFonts w:cs="Times New Roman"/>
          <w:sz w:val="24"/>
          <w:szCs w:val="24"/>
        </w:rPr>
        <w:t xml:space="preserve">explored whether being under high cognitive load would make participants taking part in a heterosexual speed dating event, more prone to use AIER when interacting with their dates. AIER was identified </w:t>
      </w:r>
      <w:r>
        <w:rPr>
          <w:rFonts w:cs="Times New Roman"/>
          <w:sz w:val="24"/>
          <w:szCs w:val="24"/>
        </w:rPr>
        <w:t>by asking participants to report the extent to which they were aware, intended</w:t>
      </w:r>
      <w:r w:rsidRPr="00B60564">
        <w:rPr>
          <w:rFonts w:cs="Times New Roman"/>
          <w:sz w:val="24"/>
          <w:szCs w:val="24"/>
        </w:rPr>
        <w:t xml:space="preserve">, and </w:t>
      </w:r>
      <w:r>
        <w:rPr>
          <w:rFonts w:cs="Times New Roman"/>
          <w:sz w:val="24"/>
          <w:szCs w:val="24"/>
        </w:rPr>
        <w:t xml:space="preserve">exerted </w:t>
      </w:r>
      <w:r w:rsidRPr="00B60564">
        <w:rPr>
          <w:rFonts w:cs="Times New Roman"/>
          <w:sz w:val="24"/>
          <w:szCs w:val="24"/>
        </w:rPr>
        <w:t>effort to</w:t>
      </w:r>
      <w:r>
        <w:rPr>
          <w:rFonts w:cs="Times New Roman"/>
          <w:sz w:val="24"/>
          <w:szCs w:val="24"/>
        </w:rPr>
        <w:t xml:space="preserve"> use</w:t>
      </w:r>
      <w:r w:rsidRPr="00B60564">
        <w:rPr>
          <w:rFonts w:cs="Times New Roman"/>
          <w:sz w:val="24"/>
          <w:szCs w:val="24"/>
        </w:rPr>
        <w:t xml:space="preserve"> IER.</w:t>
      </w:r>
      <w:r>
        <w:rPr>
          <w:rFonts w:cs="Times New Roman"/>
          <w:sz w:val="24"/>
          <w:szCs w:val="24"/>
        </w:rPr>
        <w:t xml:space="preserve"> To do this a modified version of the Emotion Regulation of Others and Self (EROS) was used.</w:t>
      </w:r>
      <w:r w:rsidRPr="00B60564">
        <w:rPr>
          <w:rFonts w:cs="Times New Roman"/>
          <w:sz w:val="24"/>
          <w:szCs w:val="24"/>
        </w:rPr>
        <w:t xml:space="preserve"> </w:t>
      </w:r>
      <w:r>
        <w:rPr>
          <w:rFonts w:cs="Times New Roman"/>
          <w:sz w:val="24"/>
          <w:szCs w:val="24"/>
        </w:rPr>
        <w:t>Dyads of participants had a</w:t>
      </w:r>
      <w:r w:rsidRPr="00B60564">
        <w:rPr>
          <w:rFonts w:cs="Times New Roman"/>
          <w:sz w:val="24"/>
          <w:szCs w:val="24"/>
        </w:rPr>
        <w:t xml:space="preserve"> series of short dates while they were trying to remember an 11-digit </w:t>
      </w:r>
      <w:r w:rsidR="00412EB5" w:rsidRPr="00B60564">
        <w:rPr>
          <w:rFonts w:cs="Times New Roman"/>
          <w:sz w:val="24"/>
          <w:szCs w:val="24"/>
        </w:rPr>
        <w:t>number (</w:t>
      </w:r>
      <w:r w:rsidRPr="00B60564">
        <w:rPr>
          <w:rFonts w:cs="Times New Roman"/>
          <w:sz w:val="24"/>
          <w:szCs w:val="24"/>
        </w:rPr>
        <w:t xml:space="preserve">in the high cognitive load condition) or a 1-digit number (in the low cognitive load condition). Participants were both actors (people that used IER) and partners (people that perceived </w:t>
      </w:r>
      <w:r>
        <w:rPr>
          <w:rFonts w:cs="Times New Roman"/>
          <w:sz w:val="24"/>
          <w:szCs w:val="24"/>
        </w:rPr>
        <w:t xml:space="preserve">the </w:t>
      </w:r>
      <w:r w:rsidRPr="00B60564">
        <w:rPr>
          <w:rFonts w:cs="Times New Roman"/>
          <w:sz w:val="24"/>
          <w:szCs w:val="24"/>
        </w:rPr>
        <w:t xml:space="preserve">actors used IER) in the speed dating event. </w:t>
      </w:r>
      <w:r>
        <w:rPr>
          <w:rFonts w:cs="Times New Roman"/>
          <w:sz w:val="24"/>
          <w:szCs w:val="24"/>
        </w:rPr>
        <w:t>At the end of each date, using the modified version of the EROS, p</w:t>
      </w:r>
      <w:r w:rsidRPr="00B60564">
        <w:rPr>
          <w:rFonts w:cs="Times New Roman"/>
          <w:sz w:val="24"/>
          <w:szCs w:val="24"/>
        </w:rPr>
        <w:t xml:space="preserve">articipants </w:t>
      </w:r>
      <w:r w:rsidRPr="00B60564">
        <w:rPr>
          <w:rFonts w:cs="Times New Roman"/>
          <w:sz w:val="24"/>
          <w:szCs w:val="24"/>
        </w:rPr>
        <w:lastRenderedPageBreak/>
        <w:t>reported their levels of awareness, intention and</w:t>
      </w:r>
      <w:r>
        <w:rPr>
          <w:rFonts w:cs="Times New Roman"/>
          <w:sz w:val="24"/>
          <w:szCs w:val="24"/>
        </w:rPr>
        <w:t xml:space="preserve"> the amount of</w:t>
      </w:r>
      <w:r w:rsidRPr="00B60564">
        <w:rPr>
          <w:rFonts w:cs="Times New Roman"/>
          <w:sz w:val="24"/>
          <w:szCs w:val="24"/>
        </w:rPr>
        <w:t xml:space="preserve"> effort</w:t>
      </w:r>
      <w:r>
        <w:rPr>
          <w:rFonts w:cs="Times New Roman"/>
          <w:sz w:val="24"/>
          <w:szCs w:val="24"/>
        </w:rPr>
        <w:t xml:space="preserve"> that they had exerted</w:t>
      </w:r>
      <w:r w:rsidRPr="00B60564">
        <w:rPr>
          <w:rFonts w:cs="Times New Roman"/>
          <w:sz w:val="24"/>
          <w:szCs w:val="24"/>
        </w:rPr>
        <w:t xml:space="preserve"> to make their partners feel good and bad. Participants also reported whether they thought that their partners tried to make them feel good or bad. </w:t>
      </w:r>
    </w:p>
    <w:p w:rsidR="0078667D" w:rsidRDefault="0078667D" w:rsidP="00AE640B">
      <w:pPr>
        <w:spacing w:line="480" w:lineRule="auto"/>
        <w:ind w:firstLine="720"/>
        <w:jc w:val="both"/>
        <w:rPr>
          <w:rFonts w:cs="Times New Roman"/>
          <w:sz w:val="24"/>
          <w:szCs w:val="24"/>
        </w:rPr>
      </w:pPr>
      <w:r>
        <w:rPr>
          <w:rFonts w:cs="Times New Roman"/>
          <w:sz w:val="24"/>
          <w:szCs w:val="24"/>
        </w:rPr>
        <w:t>Participants’ responses suggested that they r</w:t>
      </w:r>
      <w:r w:rsidRPr="00B60564">
        <w:rPr>
          <w:rFonts w:cs="Times New Roman"/>
          <w:sz w:val="24"/>
          <w:szCs w:val="24"/>
        </w:rPr>
        <w:t>arely used worsening IER</w:t>
      </w:r>
      <w:r>
        <w:rPr>
          <w:rFonts w:cs="Times New Roman"/>
          <w:sz w:val="24"/>
          <w:szCs w:val="24"/>
        </w:rPr>
        <w:t>; therefore, t</w:t>
      </w:r>
      <w:r w:rsidRPr="00B60564">
        <w:rPr>
          <w:rFonts w:cs="Times New Roman"/>
          <w:sz w:val="24"/>
          <w:szCs w:val="24"/>
        </w:rPr>
        <w:t>he focus</w:t>
      </w:r>
      <w:r>
        <w:rPr>
          <w:rFonts w:cs="Times New Roman"/>
          <w:sz w:val="24"/>
          <w:szCs w:val="24"/>
        </w:rPr>
        <w:t xml:space="preserve"> was</w:t>
      </w:r>
      <w:r w:rsidRPr="00B60564">
        <w:rPr>
          <w:rFonts w:cs="Times New Roman"/>
          <w:sz w:val="24"/>
          <w:szCs w:val="24"/>
        </w:rPr>
        <w:t xml:space="preserve"> on</w:t>
      </w:r>
      <w:r>
        <w:rPr>
          <w:rFonts w:cs="Times New Roman"/>
          <w:sz w:val="24"/>
          <w:szCs w:val="24"/>
        </w:rPr>
        <w:t xml:space="preserve"> the extent to which</w:t>
      </w:r>
      <w:r w:rsidRPr="00B60564">
        <w:rPr>
          <w:rFonts w:cs="Times New Roman"/>
          <w:sz w:val="24"/>
          <w:szCs w:val="24"/>
        </w:rPr>
        <w:t xml:space="preserve"> improving IER strategies</w:t>
      </w:r>
      <w:r>
        <w:rPr>
          <w:rFonts w:cs="Times New Roman"/>
          <w:sz w:val="24"/>
          <w:szCs w:val="24"/>
        </w:rPr>
        <w:t xml:space="preserve"> were used automatically</w:t>
      </w:r>
      <w:r w:rsidRPr="00B60564">
        <w:rPr>
          <w:rFonts w:cs="Times New Roman"/>
          <w:sz w:val="24"/>
          <w:szCs w:val="24"/>
        </w:rPr>
        <w:t>. It was found that participants reported exerting less effort when under hig</w:t>
      </w:r>
      <w:r w:rsidR="00412EB5">
        <w:rPr>
          <w:rFonts w:cs="Times New Roman"/>
          <w:sz w:val="24"/>
          <w:szCs w:val="24"/>
        </w:rPr>
        <w:t>h cognitive load. I</w:t>
      </w:r>
      <w:r w:rsidRPr="00B60564">
        <w:rPr>
          <w:rFonts w:cs="Times New Roman"/>
          <w:sz w:val="24"/>
          <w:szCs w:val="24"/>
        </w:rPr>
        <w:t>mportantly</w:t>
      </w:r>
      <w:r w:rsidR="00412EB5">
        <w:rPr>
          <w:rFonts w:cs="Times New Roman"/>
          <w:sz w:val="24"/>
          <w:szCs w:val="24"/>
        </w:rPr>
        <w:t>,</w:t>
      </w:r>
      <w:r w:rsidRPr="00B60564">
        <w:rPr>
          <w:rFonts w:cs="Times New Roman"/>
          <w:sz w:val="24"/>
          <w:szCs w:val="24"/>
        </w:rPr>
        <w:t xml:space="preserve"> </w:t>
      </w:r>
      <w:r>
        <w:rPr>
          <w:rFonts w:cs="Times New Roman"/>
          <w:sz w:val="24"/>
          <w:szCs w:val="24"/>
        </w:rPr>
        <w:t>reduced effort</w:t>
      </w:r>
      <w:r w:rsidRPr="00B60564">
        <w:rPr>
          <w:rFonts w:cs="Times New Roman"/>
          <w:sz w:val="24"/>
          <w:szCs w:val="24"/>
        </w:rPr>
        <w:t xml:space="preserve"> </w:t>
      </w:r>
      <w:r w:rsidR="00412EB5">
        <w:rPr>
          <w:rFonts w:cs="Times New Roman"/>
          <w:sz w:val="24"/>
          <w:szCs w:val="24"/>
        </w:rPr>
        <w:t>seemed to be</w:t>
      </w:r>
      <w:r w:rsidRPr="00B60564">
        <w:rPr>
          <w:rFonts w:cs="Times New Roman"/>
          <w:sz w:val="24"/>
          <w:szCs w:val="24"/>
        </w:rPr>
        <w:t xml:space="preserve"> not </w:t>
      </w:r>
      <w:r>
        <w:rPr>
          <w:rFonts w:cs="Times New Roman"/>
          <w:sz w:val="24"/>
          <w:szCs w:val="24"/>
        </w:rPr>
        <w:t>simply a function</w:t>
      </w:r>
      <w:r w:rsidRPr="00B60564">
        <w:rPr>
          <w:rFonts w:cs="Times New Roman"/>
          <w:sz w:val="24"/>
          <w:szCs w:val="24"/>
        </w:rPr>
        <w:t xml:space="preserve"> </w:t>
      </w:r>
      <w:r w:rsidR="00412EB5">
        <w:rPr>
          <w:rFonts w:cs="Times New Roman"/>
          <w:sz w:val="24"/>
          <w:szCs w:val="24"/>
        </w:rPr>
        <w:t xml:space="preserve">of </w:t>
      </w:r>
      <w:r>
        <w:rPr>
          <w:rFonts w:cs="Times New Roman"/>
          <w:sz w:val="24"/>
          <w:szCs w:val="24"/>
        </w:rPr>
        <w:t>actors</w:t>
      </w:r>
      <w:r w:rsidRPr="00B60564">
        <w:rPr>
          <w:rFonts w:cs="Times New Roman"/>
          <w:sz w:val="24"/>
          <w:szCs w:val="24"/>
        </w:rPr>
        <w:t xml:space="preserve"> using less IER in the high cognitive load condition, as there was no difference between the reports of the actors in the high and low cognitive load condition with respect to their use of improving IER</w:t>
      </w:r>
      <w:r>
        <w:rPr>
          <w:rFonts w:cs="Times New Roman"/>
          <w:sz w:val="24"/>
          <w:szCs w:val="24"/>
        </w:rPr>
        <w:t xml:space="preserve">. </w:t>
      </w:r>
      <w:r w:rsidDel="00DB36F7">
        <w:rPr>
          <w:rFonts w:cs="Times New Roman"/>
          <w:sz w:val="24"/>
          <w:szCs w:val="24"/>
        </w:rPr>
        <w:t xml:space="preserve"> </w:t>
      </w:r>
      <w:r w:rsidR="005E38A8">
        <w:rPr>
          <w:rFonts w:cs="Times New Roman"/>
          <w:sz w:val="24"/>
          <w:szCs w:val="24"/>
        </w:rPr>
        <w:t xml:space="preserve">The results also suggest the presence of some sort of </w:t>
      </w:r>
      <w:r w:rsidRPr="00B60564">
        <w:rPr>
          <w:rFonts w:cs="Times New Roman"/>
          <w:sz w:val="24"/>
          <w:szCs w:val="24"/>
        </w:rPr>
        <w:t>self-regulatory depletion (thought to have occurred by the consecutive use of IER</w:t>
      </w:r>
      <w:r w:rsidR="00412EB5">
        <w:rPr>
          <w:rFonts w:cs="Times New Roman"/>
          <w:sz w:val="24"/>
          <w:szCs w:val="24"/>
        </w:rPr>
        <w:t xml:space="preserve"> date after date)</w:t>
      </w:r>
      <w:r w:rsidR="005E38A8">
        <w:rPr>
          <w:rFonts w:cs="Times New Roman"/>
          <w:sz w:val="24"/>
          <w:szCs w:val="24"/>
        </w:rPr>
        <w:t>. The results of study 4 showed that a likely self-regulatory depletion may have</w:t>
      </w:r>
      <w:r w:rsidRPr="00B60564">
        <w:rPr>
          <w:rFonts w:cs="Times New Roman"/>
          <w:sz w:val="24"/>
          <w:szCs w:val="24"/>
        </w:rPr>
        <w:t xml:space="preserve"> made participants more prone to </w:t>
      </w:r>
      <w:r w:rsidR="005E38A8">
        <w:rPr>
          <w:rFonts w:cs="Times New Roman"/>
          <w:sz w:val="24"/>
          <w:szCs w:val="24"/>
        </w:rPr>
        <w:t>use</w:t>
      </w:r>
      <w:r w:rsidRPr="00B60564">
        <w:rPr>
          <w:rFonts w:cs="Times New Roman"/>
          <w:sz w:val="24"/>
          <w:szCs w:val="24"/>
        </w:rPr>
        <w:t xml:space="preserve"> AIER, but only while under high cognitive load</w:t>
      </w:r>
      <w:r>
        <w:rPr>
          <w:rFonts w:cs="Times New Roman"/>
          <w:sz w:val="24"/>
          <w:szCs w:val="24"/>
        </w:rPr>
        <w:t>.</w:t>
      </w:r>
      <w:r w:rsidRPr="00B60564">
        <w:rPr>
          <w:rFonts w:cs="Times New Roman"/>
          <w:sz w:val="24"/>
          <w:szCs w:val="24"/>
        </w:rPr>
        <w:t xml:space="preserve"> </w:t>
      </w:r>
      <w:r>
        <w:rPr>
          <w:rFonts w:cs="Times New Roman"/>
          <w:sz w:val="24"/>
          <w:szCs w:val="24"/>
        </w:rPr>
        <w:t>S</w:t>
      </w:r>
      <w:r w:rsidRPr="00B60564">
        <w:rPr>
          <w:rFonts w:cs="Times New Roman"/>
          <w:sz w:val="24"/>
          <w:szCs w:val="24"/>
        </w:rPr>
        <w:t xml:space="preserve">pecifically, the results showed that participants under high cognitive load reported being less aware of using improving IER with their dates, and </w:t>
      </w:r>
      <w:r w:rsidR="005E38A8">
        <w:rPr>
          <w:rFonts w:cs="Times New Roman"/>
          <w:sz w:val="24"/>
          <w:szCs w:val="24"/>
        </w:rPr>
        <w:t>intending less</w:t>
      </w:r>
      <w:r w:rsidR="00412EB5" w:rsidRPr="00B60564">
        <w:rPr>
          <w:rFonts w:cs="Times New Roman"/>
          <w:sz w:val="24"/>
          <w:szCs w:val="24"/>
        </w:rPr>
        <w:t xml:space="preserve"> to</w:t>
      </w:r>
      <w:r w:rsidRPr="00B60564">
        <w:rPr>
          <w:rFonts w:cs="Times New Roman"/>
          <w:sz w:val="24"/>
          <w:szCs w:val="24"/>
        </w:rPr>
        <w:t xml:space="preserve"> make their dates feel good the more dates </w:t>
      </w:r>
      <w:r>
        <w:rPr>
          <w:rFonts w:cs="Times New Roman"/>
          <w:sz w:val="24"/>
          <w:szCs w:val="24"/>
        </w:rPr>
        <w:t xml:space="preserve">that </w:t>
      </w:r>
      <w:r w:rsidRPr="00B60564">
        <w:rPr>
          <w:rFonts w:cs="Times New Roman"/>
          <w:sz w:val="24"/>
          <w:szCs w:val="24"/>
        </w:rPr>
        <w:t xml:space="preserve">they had. </w:t>
      </w:r>
    </w:p>
    <w:p w:rsidR="0078667D" w:rsidRPr="00B60564" w:rsidRDefault="0078667D" w:rsidP="00AE640B">
      <w:pPr>
        <w:spacing w:line="480" w:lineRule="auto"/>
        <w:ind w:firstLine="720"/>
        <w:jc w:val="both"/>
        <w:rPr>
          <w:sz w:val="24"/>
          <w:szCs w:val="24"/>
        </w:rPr>
      </w:pPr>
      <w:r w:rsidRPr="00B60564">
        <w:rPr>
          <w:rFonts w:cs="Times New Roman"/>
          <w:sz w:val="24"/>
          <w:szCs w:val="24"/>
        </w:rPr>
        <w:t xml:space="preserve">Finally, some individual differences in the use of AIER were found. Before attending the event, participants were </w:t>
      </w:r>
      <w:r>
        <w:rPr>
          <w:rFonts w:cs="Times New Roman"/>
          <w:sz w:val="24"/>
          <w:szCs w:val="24"/>
        </w:rPr>
        <w:t>sent</w:t>
      </w:r>
      <w:r w:rsidRPr="00B60564">
        <w:rPr>
          <w:rFonts w:cs="Times New Roman"/>
          <w:sz w:val="24"/>
          <w:szCs w:val="24"/>
        </w:rPr>
        <w:t xml:space="preserve"> a questionnaire exploring several aspects that could be associated </w:t>
      </w:r>
      <w:r>
        <w:rPr>
          <w:rFonts w:cs="Times New Roman"/>
          <w:sz w:val="24"/>
          <w:szCs w:val="24"/>
        </w:rPr>
        <w:t>with</w:t>
      </w:r>
      <w:r w:rsidRPr="00B60564">
        <w:rPr>
          <w:rFonts w:cs="Times New Roman"/>
          <w:sz w:val="24"/>
          <w:szCs w:val="24"/>
        </w:rPr>
        <w:t xml:space="preserve"> a stronger reliance on AIER, namely, how habitually they use both improving and worsening</w:t>
      </w:r>
      <w:r>
        <w:rPr>
          <w:rFonts w:cs="Times New Roman"/>
          <w:sz w:val="24"/>
          <w:szCs w:val="24"/>
        </w:rPr>
        <w:t xml:space="preserve"> forms of</w:t>
      </w:r>
      <w:r w:rsidRPr="00B60564">
        <w:rPr>
          <w:rFonts w:cs="Times New Roman"/>
          <w:sz w:val="24"/>
          <w:szCs w:val="24"/>
        </w:rPr>
        <w:t xml:space="preserve"> IER and </w:t>
      </w:r>
      <w:r>
        <w:rPr>
          <w:rFonts w:cs="Times New Roman"/>
          <w:sz w:val="24"/>
          <w:szCs w:val="24"/>
        </w:rPr>
        <w:t xml:space="preserve">the extent to which they experience </w:t>
      </w:r>
      <w:r w:rsidRPr="00B60564">
        <w:rPr>
          <w:rFonts w:cs="Times New Roman"/>
          <w:sz w:val="24"/>
          <w:szCs w:val="24"/>
        </w:rPr>
        <w:t>difficulties in ER (i.e.</w:t>
      </w:r>
      <w:r>
        <w:rPr>
          <w:rFonts w:cs="Times New Roman"/>
          <w:sz w:val="24"/>
          <w:szCs w:val="24"/>
        </w:rPr>
        <w:t>,</w:t>
      </w:r>
      <w:r w:rsidRPr="00B60564">
        <w:rPr>
          <w:rFonts w:cs="Times New Roman"/>
          <w:sz w:val="24"/>
          <w:szCs w:val="24"/>
        </w:rPr>
        <w:t xml:space="preserve"> problems controlling impulses and lack of awareness of emotional responses). It w</w:t>
      </w:r>
      <w:r w:rsidR="005E38A8">
        <w:rPr>
          <w:rFonts w:cs="Times New Roman"/>
          <w:sz w:val="24"/>
          <w:szCs w:val="24"/>
        </w:rPr>
        <w:t xml:space="preserve">as found that the participants </w:t>
      </w:r>
      <w:r>
        <w:rPr>
          <w:rFonts w:cs="Times New Roman"/>
          <w:sz w:val="24"/>
          <w:szCs w:val="24"/>
        </w:rPr>
        <w:t xml:space="preserve">who reported </w:t>
      </w:r>
      <w:r w:rsidRPr="00B60564">
        <w:rPr>
          <w:rFonts w:cs="Times New Roman"/>
          <w:sz w:val="24"/>
          <w:szCs w:val="24"/>
        </w:rPr>
        <w:t xml:space="preserve">using improving </w:t>
      </w:r>
      <w:r>
        <w:rPr>
          <w:rFonts w:cs="Times New Roman"/>
          <w:sz w:val="24"/>
          <w:szCs w:val="24"/>
        </w:rPr>
        <w:t xml:space="preserve">forms of </w:t>
      </w:r>
      <w:r w:rsidRPr="00B60564">
        <w:rPr>
          <w:rFonts w:cs="Times New Roman"/>
          <w:sz w:val="24"/>
          <w:szCs w:val="24"/>
        </w:rPr>
        <w:t xml:space="preserve">IER </w:t>
      </w:r>
      <w:r w:rsidR="005E38A8">
        <w:rPr>
          <w:rFonts w:cs="Times New Roman"/>
          <w:sz w:val="24"/>
          <w:szCs w:val="24"/>
        </w:rPr>
        <w:t>in a habitual way,</w:t>
      </w:r>
      <w:r>
        <w:rPr>
          <w:rFonts w:cs="Times New Roman"/>
          <w:sz w:val="24"/>
          <w:szCs w:val="24"/>
        </w:rPr>
        <w:t xml:space="preserve"> were less likely to intend</w:t>
      </w:r>
      <w:r w:rsidRPr="00B60564">
        <w:rPr>
          <w:rFonts w:cs="Times New Roman"/>
          <w:sz w:val="24"/>
          <w:szCs w:val="24"/>
        </w:rPr>
        <w:t xml:space="preserve"> to make their partners feel good. It was </w:t>
      </w:r>
      <w:r w:rsidRPr="00B60564">
        <w:rPr>
          <w:rFonts w:cs="Times New Roman"/>
          <w:sz w:val="24"/>
          <w:szCs w:val="24"/>
        </w:rPr>
        <w:lastRenderedPageBreak/>
        <w:t xml:space="preserve">also found that the participants’ </w:t>
      </w:r>
      <w:r>
        <w:rPr>
          <w:rFonts w:cs="Times New Roman"/>
          <w:sz w:val="24"/>
          <w:szCs w:val="24"/>
        </w:rPr>
        <w:t xml:space="preserve">who </w:t>
      </w:r>
      <w:r w:rsidRPr="00B60564">
        <w:rPr>
          <w:rFonts w:cs="Times New Roman"/>
          <w:sz w:val="24"/>
          <w:szCs w:val="24"/>
        </w:rPr>
        <w:t>report</w:t>
      </w:r>
      <w:r>
        <w:rPr>
          <w:rFonts w:cs="Times New Roman"/>
          <w:sz w:val="24"/>
          <w:szCs w:val="24"/>
        </w:rPr>
        <w:t>ed</w:t>
      </w:r>
      <w:r w:rsidRPr="00B60564">
        <w:rPr>
          <w:rFonts w:cs="Times New Roman"/>
          <w:sz w:val="24"/>
          <w:szCs w:val="24"/>
        </w:rPr>
        <w:t xml:space="preserve"> having low levels of emotional awareness </w:t>
      </w:r>
      <w:r>
        <w:rPr>
          <w:rFonts w:cs="Times New Roman"/>
          <w:sz w:val="24"/>
          <w:szCs w:val="24"/>
        </w:rPr>
        <w:t>had weaker</w:t>
      </w:r>
      <w:r w:rsidRPr="00B60564">
        <w:rPr>
          <w:rFonts w:cs="Times New Roman"/>
          <w:sz w:val="24"/>
          <w:szCs w:val="24"/>
        </w:rPr>
        <w:t xml:space="preserve"> inten</w:t>
      </w:r>
      <w:r>
        <w:rPr>
          <w:rFonts w:cs="Times New Roman"/>
          <w:sz w:val="24"/>
          <w:szCs w:val="24"/>
        </w:rPr>
        <w:t>tions</w:t>
      </w:r>
      <w:r w:rsidRPr="00B60564">
        <w:rPr>
          <w:rFonts w:cs="Times New Roman"/>
          <w:sz w:val="24"/>
          <w:szCs w:val="24"/>
        </w:rPr>
        <w:t xml:space="preserve"> and exert</w:t>
      </w:r>
      <w:r>
        <w:rPr>
          <w:rFonts w:cs="Times New Roman"/>
          <w:sz w:val="24"/>
          <w:szCs w:val="24"/>
        </w:rPr>
        <w:t>ed</w:t>
      </w:r>
      <w:r w:rsidRPr="00B60564">
        <w:rPr>
          <w:rFonts w:cs="Times New Roman"/>
          <w:sz w:val="24"/>
          <w:szCs w:val="24"/>
        </w:rPr>
        <w:t xml:space="preserve"> less effort to improve their partner’s emotions. </w:t>
      </w:r>
    </w:p>
    <w:p w:rsidR="0078667D" w:rsidRPr="00B60564" w:rsidRDefault="0078667D" w:rsidP="00AE640B">
      <w:pPr>
        <w:spacing w:line="480" w:lineRule="auto"/>
        <w:jc w:val="both"/>
        <w:rPr>
          <w:b/>
          <w:sz w:val="24"/>
          <w:szCs w:val="24"/>
        </w:rPr>
      </w:pPr>
      <w:r w:rsidRPr="00B60564">
        <w:rPr>
          <w:b/>
          <w:sz w:val="24"/>
          <w:szCs w:val="24"/>
        </w:rPr>
        <w:t xml:space="preserve">6.2 Does AIER happen, and if so, can it be empirically studied? </w:t>
      </w:r>
    </w:p>
    <w:p w:rsidR="0078667D" w:rsidRPr="00B60564" w:rsidRDefault="0078667D" w:rsidP="00AE640B">
      <w:pPr>
        <w:spacing w:line="480" w:lineRule="auto"/>
        <w:ind w:firstLine="720"/>
        <w:jc w:val="both"/>
        <w:rPr>
          <w:sz w:val="24"/>
          <w:szCs w:val="24"/>
        </w:rPr>
      </w:pPr>
      <w:r w:rsidRPr="00B60564">
        <w:rPr>
          <w:sz w:val="24"/>
          <w:szCs w:val="24"/>
        </w:rPr>
        <w:t xml:space="preserve">The answer to these questions would be yes, according to the evidence provided in this thesis. In </w:t>
      </w:r>
      <w:r>
        <w:rPr>
          <w:sz w:val="24"/>
          <w:szCs w:val="24"/>
        </w:rPr>
        <w:t>four</w:t>
      </w:r>
      <w:r w:rsidRPr="00B60564">
        <w:rPr>
          <w:sz w:val="24"/>
          <w:szCs w:val="24"/>
        </w:rPr>
        <w:t xml:space="preserve"> of the six studies </w:t>
      </w:r>
      <w:r w:rsidR="00C24052">
        <w:rPr>
          <w:sz w:val="24"/>
          <w:szCs w:val="24"/>
        </w:rPr>
        <w:t>the results suggest that AIER happens</w:t>
      </w:r>
      <w:r w:rsidRPr="00B60564">
        <w:rPr>
          <w:sz w:val="24"/>
          <w:szCs w:val="24"/>
        </w:rPr>
        <w:t xml:space="preserve">. In Study 1, people reported engaging in AIER to make someone </w:t>
      </w:r>
      <w:r>
        <w:rPr>
          <w:sz w:val="24"/>
          <w:szCs w:val="24"/>
        </w:rPr>
        <w:t>close feel good</w:t>
      </w:r>
      <w:r w:rsidRPr="00B60564">
        <w:rPr>
          <w:sz w:val="24"/>
          <w:szCs w:val="24"/>
        </w:rPr>
        <w:t xml:space="preserve">. In Studies 2a and 2b, it </w:t>
      </w:r>
      <w:r>
        <w:rPr>
          <w:sz w:val="24"/>
          <w:szCs w:val="24"/>
        </w:rPr>
        <w:t>was found</w:t>
      </w:r>
      <w:r w:rsidRPr="00B60564">
        <w:rPr>
          <w:sz w:val="24"/>
          <w:szCs w:val="24"/>
        </w:rPr>
        <w:t xml:space="preserve"> that participants </w:t>
      </w:r>
      <w:r>
        <w:rPr>
          <w:sz w:val="24"/>
          <w:szCs w:val="24"/>
        </w:rPr>
        <w:t>could be primed</w:t>
      </w:r>
      <w:r w:rsidRPr="00B60564">
        <w:rPr>
          <w:sz w:val="24"/>
          <w:szCs w:val="24"/>
        </w:rPr>
        <w:t xml:space="preserve"> to make a fictional person feel bad and that they were not aware of what caused them to engage in worsening IER</w:t>
      </w:r>
      <w:r>
        <w:rPr>
          <w:sz w:val="24"/>
          <w:szCs w:val="24"/>
        </w:rPr>
        <w:t>.</w:t>
      </w:r>
      <w:r w:rsidRPr="00B60564">
        <w:rPr>
          <w:sz w:val="24"/>
          <w:szCs w:val="24"/>
        </w:rPr>
        <w:t xml:space="preserve"> </w:t>
      </w:r>
      <w:r>
        <w:rPr>
          <w:sz w:val="24"/>
          <w:szCs w:val="24"/>
        </w:rPr>
        <w:t>I</w:t>
      </w:r>
      <w:r w:rsidRPr="00B60564">
        <w:rPr>
          <w:sz w:val="24"/>
          <w:szCs w:val="24"/>
        </w:rPr>
        <w:t xml:space="preserve">n </w:t>
      </w:r>
      <w:r>
        <w:rPr>
          <w:sz w:val="24"/>
          <w:szCs w:val="24"/>
        </w:rPr>
        <w:t>S</w:t>
      </w:r>
      <w:r w:rsidRPr="00B60564">
        <w:rPr>
          <w:sz w:val="24"/>
          <w:szCs w:val="24"/>
        </w:rPr>
        <w:t>tudy 4</w:t>
      </w:r>
      <w:r w:rsidR="00C24052">
        <w:rPr>
          <w:sz w:val="24"/>
          <w:szCs w:val="24"/>
        </w:rPr>
        <w:t xml:space="preserve">, variations in the levels of three </w:t>
      </w:r>
      <w:r w:rsidR="00943A8B">
        <w:rPr>
          <w:sz w:val="24"/>
          <w:szCs w:val="24"/>
        </w:rPr>
        <w:t>features</w:t>
      </w:r>
      <w:r w:rsidR="00C24052">
        <w:rPr>
          <w:sz w:val="24"/>
          <w:szCs w:val="24"/>
        </w:rPr>
        <w:t xml:space="preserve"> of automaticity (little or no awareness, intention and/or effort) as a function of being under high cognitive load, of being </w:t>
      </w:r>
      <w:r w:rsidR="00F54F1F">
        <w:rPr>
          <w:sz w:val="24"/>
          <w:szCs w:val="24"/>
        </w:rPr>
        <w:t xml:space="preserve">likely </w:t>
      </w:r>
      <w:r w:rsidR="00C24052">
        <w:rPr>
          <w:sz w:val="24"/>
          <w:szCs w:val="24"/>
        </w:rPr>
        <w:t>depleted of self-control resources</w:t>
      </w:r>
      <w:r w:rsidR="00F54F1F">
        <w:rPr>
          <w:sz w:val="24"/>
          <w:szCs w:val="24"/>
        </w:rPr>
        <w:t>, habitually using IER strategies,</w:t>
      </w:r>
      <w:r w:rsidR="00C24052">
        <w:rPr>
          <w:sz w:val="24"/>
          <w:szCs w:val="24"/>
        </w:rPr>
        <w:t xml:space="preserve"> and on individual differences, seemed to have </w:t>
      </w:r>
      <w:r w:rsidRPr="00B60564">
        <w:rPr>
          <w:sz w:val="24"/>
          <w:szCs w:val="24"/>
        </w:rPr>
        <w:t xml:space="preserve">indicated that </w:t>
      </w:r>
      <w:r w:rsidR="00C24052">
        <w:rPr>
          <w:sz w:val="24"/>
          <w:szCs w:val="24"/>
        </w:rPr>
        <w:t xml:space="preserve">the </w:t>
      </w:r>
      <w:r w:rsidR="00F54F1F">
        <w:rPr>
          <w:sz w:val="24"/>
          <w:szCs w:val="24"/>
        </w:rPr>
        <w:t xml:space="preserve">participants were </w:t>
      </w:r>
      <w:r w:rsidRPr="00B60564">
        <w:rPr>
          <w:sz w:val="24"/>
          <w:szCs w:val="24"/>
        </w:rPr>
        <w:t>using</w:t>
      </w:r>
      <w:r>
        <w:rPr>
          <w:sz w:val="24"/>
          <w:szCs w:val="24"/>
        </w:rPr>
        <w:t xml:space="preserve"> relatively</w:t>
      </w:r>
      <w:r w:rsidRPr="00B60564">
        <w:rPr>
          <w:sz w:val="24"/>
          <w:szCs w:val="24"/>
        </w:rPr>
        <w:t xml:space="preserve"> automatic forms of IER. </w:t>
      </w:r>
    </w:p>
    <w:p w:rsidR="001B0682" w:rsidRDefault="0078667D" w:rsidP="00AE640B">
      <w:pPr>
        <w:spacing w:line="480" w:lineRule="auto"/>
        <w:ind w:firstLine="720"/>
        <w:jc w:val="both"/>
        <w:rPr>
          <w:sz w:val="24"/>
          <w:szCs w:val="24"/>
        </w:rPr>
      </w:pPr>
      <w:bookmarkStart w:id="1" w:name="_GoBack"/>
      <w:r w:rsidRPr="00B60564">
        <w:rPr>
          <w:sz w:val="24"/>
          <w:szCs w:val="24"/>
        </w:rPr>
        <w:t xml:space="preserve">But how </w:t>
      </w:r>
      <w:r>
        <w:rPr>
          <w:sz w:val="24"/>
          <w:szCs w:val="24"/>
        </w:rPr>
        <w:t>do we</w:t>
      </w:r>
      <w:r w:rsidRPr="00B60564">
        <w:rPr>
          <w:sz w:val="24"/>
          <w:szCs w:val="24"/>
        </w:rPr>
        <w:t xml:space="preserve"> know that AIER actually occurred</w:t>
      </w:r>
      <w:r>
        <w:rPr>
          <w:sz w:val="24"/>
          <w:szCs w:val="24"/>
        </w:rPr>
        <w:t xml:space="preserve"> in the studies presented i</w:t>
      </w:r>
      <w:r w:rsidRPr="00B60564">
        <w:rPr>
          <w:sz w:val="24"/>
          <w:szCs w:val="24"/>
        </w:rPr>
        <w:t>n this thesis</w:t>
      </w:r>
      <w:r>
        <w:rPr>
          <w:sz w:val="24"/>
          <w:szCs w:val="24"/>
        </w:rPr>
        <w:t>?</w:t>
      </w:r>
      <w:r w:rsidRPr="00B60564">
        <w:rPr>
          <w:sz w:val="24"/>
          <w:szCs w:val="24"/>
        </w:rPr>
        <w:t xml:space="preserve"> </w:t>
      </w:r>
      <w:r>
        <w:rPr>
          <w:sz w:val="24"/>
          <w:szCs w:val="24"/>
        </w:rPr>
        <w:t>I</w:t>
      </w:r>
      <w:r w:rsidRPr="00B60564">
        <w:rPr>
          <w:sz w:val="24"/>
          <w:szCs w:val="24"/>
        </w:rPr>
        <w:t xml:space="preserve">t is </w:t>
      </w:r>
      <w:r>
        <w:rPr>
          <w:sz w:val="24"/>
          <w:szCs w:val="24"/>
        </w:rPr>
        <w:t>difficult to know for sure whether automatic processes occur or not</w:t>
      </w:r>
      <w:r w:rsidR="00943A8B">
        <w:rPr>
          <w:sz w:val="24"/>
          <w:szCs w:val="24"/>
        </w:rPr>
        <w:t xml:space="preserve"> as the features that define an automatic process are not directly observable. Being unaware of</w:t>
      </w:r>
      <w:r w:rsidR="0010552E">
        <w:rPr>
          <w:sz w:val="24"/>
          <w:szCs w:val="24"/>
        </w:rPr>
        <w:t xml:space="preserve"> using IER to improve someone else affect, for example, is not something researchers can directly observe but only infer from their participant’s reports or from research that manipulates people’s behaviour, attitudes or believes in an unobtrusive was (such as in priming). Nevertheless,</w:t>
      </w:r>
      <w:r w:rsidRPr="00B60564">
        <w:rPr>
          <w:sz w:val="24"/>
          <w:szCs w:val="24"/>
        </w:rPr>
        <w:t xml:space="preserve"> the present thesis presents </w:t>
      </w:r>
      <w:r w:rsidR="006D435B">
        <w:rPr>
          <w:sz w:val="24"/>
          <w:szCs w:val="24"/>
        </w:rPr>
        <w:t>initial evidence</w:t>
      </w:r>
      <w:r w:rsidRPr="00B60564">
        <w:rPr>
          <w:sz w:val="24"/>
          <w:szCs w:val="24"/>
        </w:rPr>
        <w:t xml:space="preserve"> to believe </w:t>
      </w:r>
      <w:r>
        <w:rPr>
          <w:sz w:val="24"/>
          <w:szCs w:val="24"/>
        </w:rPr>
        <w:t>that AIER happens</w:t>
      </w:r>
      <w:r w:rsidRPr="00B60564">
        <w:rPr>
          <w:sz w:val="24"/>
          <w:szCs w:val="24"/>
        </w:rPr>
        <w:t>,</w:t>
      </w:r>
      <w:r>
        <w:rPr>
          <w:sz w:val="24"/>
          <w:szCs w:val="24"/>
        </w:rPr>
        <w:t xml:space="preserve"> which is</w:t>
      </w:r>
      <w:r w:rsidRPr="00B60564">
        <w:rPr>
          <w:sz w:val="24"/>
          <w:szCs w:val="24"/>
        </w:rPr>
        <w:t xml:space="preserve"> </w:t>
      </w:r>
      <w:r>
        <w:rPr>
          <w:sz w:val="24"/>
          <w:szCs w:val="24"/>
        </w:rPr>
        <w:t>supported</w:t>
      </w:r>
      <w:r w:rsidRPr="00B60564">
        <w:rPr>
          <w:sz w:val="24"/>
          <w:szCs w:val="24"/>
        </w:rPr>
        <w:t xml:space="preserve"> by </w:t>
      </w:r>
      <w:r>
        <w:rPr>
          <w:sz w:val="24"/>
          <w:szCs w:val="24"/>
        </w:rPr>
        <w:t xml:space="preserve">existing </w:t>
      </w:r>
      <w:r w:rsidRPr="00B60564">
        <w:rPr>
          <w:sz w:val="24"/>
          <w:szCs w:val="24"/>
        </w:rPr>
        <w:t xml:space="preserve">research on automaticity. Starting with the first piece of evidence </w:t>
      </w:r>
      <w:r>
        <w:rPr>
          <w:sz w:val="24"/>
          <w:szCs w:val="24"/>
        </w:rPr>
        <w:t xml:space="preserve">that </w:t>
      </w:r>
      <w:r w:rsidRPr="00B60564">
        <w:rPr>
          <w:sz w:val="24"/>
          <w:szCs w:val="24"/>
        </w:rPr>
        <w:t>this thesis provide</w:t>
      </w:r>
      <w:r>
        <w:rPr>
          <w:sz w:val="24"/>
          <w:szCs w:val="24"/>
        </w:rPr>
        <w:t>s</w:t>
      </w:r>
      <w:r w:rsidR="00D9171E">
        <w:rPr>
          <w:sz w:val="24"/>
          <w:szCs w:val="24"/>
        </w:rPr>
        <w:t>, S</w:t>
      </w:r>
      <w:r w:rsidRPr="00B60564">
        <w:rPr>
          <w:sz w:val="24"/>
          <w:szCs w:val="24"/>
        </w:rPr>
        <w:t>tudy 1 showed that participants use</w:t>
      </w:r>
      <w:r>
        <w:rPr>
          <w:sz w:val="24"/>
          <w:szCs w:val="24"/>
        </w:rPr>
        <w:t>d</w:t>
      </w:r>
      <w:r w:rsidRPr="00B60564">
        <w:rPr>
          <w:sz w:val="24"/>
          <w:szCs w:val="24"/>
        </w:rPr>
        <w:t xml:space="preserve"> improving forms of AIER with close-others. It is believed that </w:t>
      </w:r>
      <w:bookmarkEnd w:id="1"/>
      <w:r w:rsidRPr="00B60564">
        <w:rPr>
          <w:sz w:val="24"/>
          <w:szCs w:val="24"/>
        </w:rPr>
        <w:t xml:space="preserve">their reports truly reflected </w:t>
      </w:r>
      <w:r w:rsidRPr="00B60564">
        <w:rPr>
          <w:sz w:val="24"/>
          <w:szCs w:val="24"/>
        </w:rPr>
        <w:lastRenderedPageBreak/>
        <w:t xml:space="preserve">AIER because the </w:t>
      </w:r>
      <w:r>
        <w:rPr>
          <w:sz w:val="24"/>
          <w:szCs w:val="24"/>
        </w:rPr>
        <w:t xml:space="preserve">AERO questionnaire (based on the SRBAI) that </w:t>
      </w:r>
      <w:r w:rsidRPr="00B60564">
        <w:rPr>
          <w:sz w:val="24"/>
          <w:szCs w:val="24"/>
        </w:rPr>
        <w:t>they answered to p</w:t>
      </w:r>
      <w:r>
        <w:rPr>
          <w:sz w:val="24"/>
          <w:szCs w:val="24"/>
        </w:rPr>
        <w:t>rovide this information explored</w:t>
      </w:r>
      <w:r w:rsidRPr="00B60564">
        <w:rPr>
          <w:sz w:val="24"/>
          <w:szCs w:val="24"/>
        </w:rPr>
        <w:t xml:space="preserve"> the habitual use of IER</w:t>
      </w:r>
      <w:r>
        <w:rPr>
          <w:sz w:val="24"/>
          <w:szCs w:val="24"/>
        </w:rPr>
        <w:t>;</w:t>
      </w:r>
      <w:r w:rsidRPr="00B60564">
        <w:rPr>
          <w:sz w:val="24"/>
          <w:szCs w:val="24"/>
        </w:rPr>
        <w:t xml:space="preserve"> and </w:t>
      </w:r>
      <w:r>
        <w:rPr>
          <w:sz w:val="24"/>
          <w:szCs w:val="24"/>
        </w:rPr>
        <w:t>automaticity is the main feature of habitual behaviours (Gardner et al., 2012)</w:t>
      </w:r>
      <w:r w:rsidRPr="00B60564">
        <w:rPr>
          <w:sz w:val="24"/>
          <w:szCs w:val="24"/>
        </w:rPr>
        <w:t>.</w:t>
      </w:r>
      <w:r>
        <w:rPr>
          <w:sz w:val="24"/>
          <w:szCs w:val="24"/>
        </w:rPr>
        <w:t xml:space="preserve"> Also, the SRBAI and the long version of this scale, the SRHI, have been used to study other automatic (Gardner, et al., 2012) and habitual </w:t>
      </w:r>
      <w:r w:rsidR="00B06E70">
        <w:rPr>
          <w:sz w:val="24"/>
          <w:szCs w:val="24"/>
        </w:rPr>
        <w:fldChar w:fldCharType="begin" w:fldLock="1"/>
      </w:r>
      <w:r w:rsidR="001B0682">
        <w:rPr>
          <w:sz w:val="24"/>
          <w:szCs w:val="24"/>
        </w:rPr>
        <w:instrText>ADDIN CSL_CITATION { "citationItems" : [ { "id" : "ITEM-1", "itemData" : { "DOI" : "10.1016/j.trf.2008.08.001", "ISBN" : "1369-8478", "ISSN" : "13698478", "PMID" : "14031", "abstract" : "The habitual action perspective suggests that where transport users have strong travel choice habits, motivation will have no effect on behaviour. This has commonly been demonstrated in situations where travel habits and intentions conflict, but in stable decision settings intentions and habits will correspond. This paper reports two studies which demonstrate the moderating effect of habit on the intention-behaviour relationship within established commuting contexts. Results illustrate how motivational accounts of travel behaviour may be misleading if statistical significance of correlational data is the main criterion for model acceptance. Alternative methods for theory testing are discussed, and strategies for disrupting driving habits reviewed. ?? 2008 Elsevier Ltd. All rights reserved.", "author" : [ { "dropping-particle" : "", "family" : "Gardner", "given" : "Benjamin", "non-dropping-particle" : "", "parse-names" : false, "suffix" : "" } ], "container-title" : "Transportation Research Part F: Traffic Psychology and Behaviour", "id" : "ITEM-1", "issue" : "1", "issued" : { "date-parts" : [ [ "2009" ] ] }, "page" : "68-76", "title" : "Modelling motivation and habit in stable travel mode contexts", "type" : "article-journal", "volume" : "12" }, "uris" : [ "http://www.mendeley.com/documents/?uuid=4d63f368-aac5-4a45-97fe-c5114b0e44ee" ] }, { "id" : "ITEM-2", "itemData" : { "DOI" : "10.1007/s12160-009-9118-3", "ISBN" : "0883-6612", "ISSN" : "08836612", "PMID" : "19787308", "abstract" : "PURPOSE AND METHODS: This paper examines the social cognitive processes that regulate people's eating behavior. Specifically, we examine how eating behavior can be regulated by reflective, deliberative processes as well as automatic and habitual processes. Moreover, we consider how these processes operate when people are not only initiating a change in behavior but also maintaining the behavior over time.\\n\\nRESULTS AND DISCUSSION: Decomposing action control and behavior change into a 2 (reflective, automatic) x 2 (initiation, maintenance) matrix offers a useful way of conceptualizing the various determinants of eating behavior and suggests that different intervention strategies will be needed to target particular processes during respective phases of behavior change. The matrix also helps to identify key areas of intervention development that deserve attention.", "author" : [ { "dropping-particle" : "", "family" : "Rothman", "given" : "Alexander J.", "non-dropping-particle" : "", "parse-names" : false, "suffix" : "" }, { "dropping-particle" : "", "family" : "Sheeran", "given" : "Paschal", "non-dropping-particle" : "", "parse-names" : false, "suffix" : "" }, { "dropping-particle" : "", "family" : "Wood", "given" : "Wendy", "non-dropping-particle" : "", "parse-names" : false, "suffix" : "" } ], "container-title" : "Annals of Behavioral Medicine", "id" : "ITEM-2", "issue" : "SUPPL.", "issued" : { "date-parts" : [ [ "2009", "12", "29" ] ] }, "page" : "4-17", "title" : "Reflective and automatic processes in the initiation and maintenance of dietary change", "type" : "article", "volume" : "38" }, "uris" : [ "http://www.mendeley.com/documents/?uuid=a8a6d069-a422-33a9-893f-b3507b0c7027" ] } ], "mendeley" : { "formattedCitation" : "(Gardner, 2009; Rothman et al., 2009)", "plainTextFormattedCitation" : "(Gardner, 2009; Rothman et al., 2009)", "previouslyFormattedCitation" : "(Gardner, 2009; Rothman et al., 2009)" }, "properties" : { "noteIndex" : 0 }, "schema" : "https://github.com/citation-style-language/schema/raw/master/csl-citation.json" }</w:instrText>
      </w:r>
      <w:r w:rsidR="00B06E70">
        <w:rPr>
          <w:sz w:val="24"/>
          <w:szCs w:val="24"/>
        </w:rPr>
        <w:fldChar w:fldCharType="separate"/>
      </w:r>
      <w:r w:rsidR="00D9171E" w:rsidRPr="00D9171E">
        <w:rPr>
          <w:noProof/>
          <w:sz w:val="24"/>
          <w:szCs w:val="24"/>
        </w:rPr>
        <w:t>(Gardner, 2009; Rothman et al., 2009)</w:t>
      </w:r>
      <w:r w:rsidR="00B06E70">
        <w:rPr>
          <w:sz w:val="24"/>
          <w:szCs w:val="24"/>
        </w:rPr>
        <w:fldChar w:fldCharType="end"/>
      </w:r>
      <w:r>
        <w:rPr>
          <w:sz w:val="24"/>
          <w:szCs w:val="24"/>
        </w:rPr>
        <w:t xml:space="preserve"> behaviours (i.e. habitual transportation mode and unhealthy snacking, respectively), and have found it to be a valid way of assessing them. </w:t>
      </w:r>
      <w:r w:rsidRPr="002C42AB">
        <w:rPr>
          <w:sz w:val="24"/>
          <w:szCs w:val="24"/>
        </w:rPr>
        <w:t>Improving IER with close others may occur so frequently that it may become, like other skills that become</w:t>
      </w:r>
      <w:r>
        <w:rPr>
          <w:sz w:val="24"/>
          <w:szCs w:val="24"/>
        </w:rPr>
        <w:t xml:space="preserve"> less effortful with repetition, less effortful, and consequently more automatic the more that people use it </w:t>
      </w:r>
      <w:r w:rsidR="00B06E70">
        <w:rPr>
          <w:sz w:val="24"/>
          <w:szCs w:val="24"/>
        </w:rPr>
        <w:fldChar w:fldCharType="begin" w:fldLock="1"/>
      </w:r>
      <w:r w:rsidR="002B44D5">
        <w:rPr>
          <w:sz w:val="24"/>
          <w:szCs w:val="24"/>
        </w:rPr>
        <w:instrText>ADDIN CSL_CITATION { "citationItems" : [ { "id" : "ITEM-1", "itemData" : { "author" : [ { "dropping-particle" : "", "family" : "Fitzsimons", "given" : "Gr\u00e1inne M", "non-dropping-particle" : "", "parse-names" : false, "suffix" : "" }, { "dropping-particle" : "", "family" : "Bargh", "given" : "John A", "non-dropping-particle" : "", "parse-names" : false, "suffix" : "" } ], "container-title" : "Handbook of Self-regulation: research, theory and applications", "editor" : [ { "dropping-particle" : "", "family" : "Baumeister", "given" : "R F", "non-dropping-particle" : "", "parse-names" : false, "suffix" : "" }, { "dropping-particle" : "", "family" : "Vohs", "given" : "K D", "non-dropping-particle" : "", "parse-names" : false, "suffix" : "" } ], "id" : "ITEM-1", "issued" : { "date-parts" : [ [ "2004" ] ] }, "page" : "151-170", "publisher" : "Guilford Press", "publisher-place" : "New York", "title" : "Automatic self-regulation", "type" : "chapter" }, "uris" : [ "http://www.mendeley.com/documents/?uuid=1da84e5a-f050-4d21-ad40-d3c3e353d9f7" ] }, { "id" : "ITEM-2", "itemData" : { "author" : [ { "dropping-particle" : "", "family" : "Bargh", "given" : "John A", "non-dropping-particle" : "", "parse-names" : false, "suffix" : "" }, { "dropping-particle" : "", "family" : "Williams", "given" : "Lawrence E", "non-dropping-particle" : "", "parse-names" : false, "suffix" : "" } ], "container-title" : "Handbook of Emotion Regulation", "editor" : [ { "dropping-particle" : "", "family" : "James J. Gross", "given" : "", "non-dropping-particle" : "", "parse-names" : false, "suffix" : "" } ], "id" : "ITEM-2", "issued" : { "date-parts" : [ [ "2007" ] ] }, "page" : "429-445", "publisher" : "Guilford Press", "publisher-place" : "New York, NY", "title" : "Handbook of Emotion Regulation", "type" : "chapter" }, "uris" : [ "http://www.mendeley.com/documents/?uuid=1b8e8abc-4fa8-4bb2-b793-caee09f3330c" ] } ], "mendeley" : { "formattedCitation" : "(J. A. Bargh &amp; Williams, 2007; Fitzsimons &amp; Bargh, 2004)", "plainTextFormattedCitation" : "(J. A. Bargh &amp; Williams, 2007; Fitzsimons &amp; Bargh, 2004)", "previouslyFormattedCitation" : "(J. A. Bargh &amp; Williams, 2007; Fitzsimons &amp; Bargh, 2004)" }, "properties" : { "noteIndex" : 0 }, "schema" : "https://github.com/citation-style-language/schema/raw/master/csl-citation.json" }</w:instrText>
      </w:r>
      <w:r w:rsidR="00B06E70">
        <w:rPr>
          <w:sz w:val="24"/>
          <w:szCs w:val="24"/>
        </w:rPr>
        <w:fldChar w:fldCharType="separate"/>
      </w:r>
      <w:r w:rsidR="00A67E19">
        <w:rPr>
          <w:noProof/>
          <w:sz w:val="24"/>
          <w:szCs w:val="24"/>
        </w:rPr>
        <w:t>(</w:t>
      </w:r>
      <w:r w:rsidR="001B0682" w:rsidRPr="001B0682">
        <w:rPr>
          <w:noProof/>
          <w:sz w:val="24"/>
          <w:szCs w:val="24"/>
        </w:rPr>
        <w:t>Bargh &amp; Williams, 2007; Fitzsimons &amp; Bargh, 2004)</w:t>
      </w:r>
      <w:r w:rsidR="00B06E70">
        <w:rPr>
          <w:sz w:val="24"/>
          <w:szCs w:val="24"/>
        </w:rPr>
        <w:fldChar w:fldCharType="end"/>
      </w:r>
      <w:r w:rsidR="001B0682">
        <w:rPr>
          <w:sz w:val="24"/>
          <w:szCs w:val="24"/>
        </w:rPr>
        <w:t>.</w:t>
      </w:r>
    </w:p>
    <w:p w:rsidR="0078667D" w:rsidRDefault="0078667D" w:rsidP="00AE640B">
      <w:pPr>
        <w:spacing w:line="480" w:lineRule="auto"/>
        <w:ind w:firstLine="720"/>
        <w:jc w:val="both"/>
        <w:rPr>
          <w:sz w:val="24"/>
          <w:szCs w:val="24"/>
        </w:rPr>
      </w:pPr>
      <w:r w:rsidRPr="00B60564">
        <w:rPr>
          <w:sz w:val="24"/>
          <w:szCs w:val="24"/>
        </w:rPr>
        <w:t>Other research supports this</w:t>
      </w:r>
      <w:r>
        <w:rPr>
          <w:sz w:val="24"/>
          <w:szCs w:val="24"/>
        </w:rPr>
        <w:t>. F</w:t>
      </w:r>
      <w:r w:rsidRPr="00B60564">
        <w:rPr>
          <w:sz w:val="24"/>
          <w:szCs w:val="24"/>
        </w:rPr>
        <w:t>or example</w:t>
      </w:r>
      <w:r>
        <w:rPr>
          <w:sz w:val="24"/>
          <w:szCs w:val="24"/>
        </w:rPr>
        <w:t>,</w:t>
      </w:r>
      <w:r w:rsidRPr="00B60564">
        <w:rPr>
          <w:sz w:val="24"/>
          <w:szCs w:val="24"/>
        </w:rPr>
        <w:t xml:space="preserve"> </w:t>
      </w:r>
      <w:r w:rsidR="00B06E70">
        <w:rPr>
          <w:sz w:val="24"/>
          <w:szCs w:val="24"/>
        </w:rPr>
        <w:fldChar w:fldCharType="begin" w:fldLock="1"/>
      </w:r>
      <w:r w:rsidR="002B44D5">
        <w:rPr>
          <w:sz w:val="24"/>
          <w:szCs w:val="24"/>
        </w:rPr>
        <w:instrText>ADDIN CSL_CITATION { "citationItems" : [ { "id" : "ITEM-1", "itemData" : { "DOI" : "10.1080/02699931.2014.901213", "ISBN" : "1464-0600 (Electronic)\\r0269-9931 (Linking)", "ISSN" : "1464-0600", "PMID" : "24678930", "abstract" : "COGNITION AND EMOTION, 2014. doi:10.1080/02699931.2014.901213", "author" : [ { "dropping-particle" : "", "family" : "Christou-Champi", "given" : "Spyros", "non-dropping-particle" : "", "parse-names" : false, "suffix" : "" }, { "dropping-particle" : "", "family" : "Farrow", "given" : "Tom F D", "non-dropping-particle" : "", "parse-names" : false, "suffix" : "" }, { "dropping-particle" : "", "family" : "Webb", "given" : "Thomas L", "non-dropping-particle" : "", "parse-names" : false, "suffix" : "" } ], "container-title" : "Cognition &amp; Emotion", "id" : "ITEM-1", "issued" : { "date-parts" : [ [ "2014" ] ] }, "page" : "1-13", "title" : "Automatic control of negative emotions: Evidence that structured practice increases the efficiency of emotion regulation", "type" : "article-journal" }, "uris" : [ "http://www.mendeley.com/documents/?uuid=dfab2f43-18ad-3418-866b-93255874b130" ] } ], "mendeley" : { "formattedCitation" : "(Christou-Champi, Farrow, &amp; Webb, 2014)", "manualFormatting" : "Christou-Champi, Farrow, and Webb (2014)", "plainTextFormattedCitation" : "(Christou-Champi, Farrow, &amp; Webb, 2014)", "previouslyFormattedCitation" : "(Christou-Champi, Farrow, &amp; Webb, 2014)" }, "properties" : { "noteIndex" : 0 }, "schema" : "https://github.com/citation-style-language/schema/raw/master/csl-citation.json" }</w:instrText>
      </w:r>
      <w:r w:rsidR="00B06E70">
        <w:rPr>
          <w:sz w:val="24"/>
          <w:szCs w:val="24"/>
        </w:rPr>
        <w:fldChar w:fldCharType="separate"/>
      </w:r>
      <w:r w:rsidR="002B44D5">
        <w:rPr>
          <w:noProof/>
          <w:sz w:val="24"/>
          <w:szCs w:val="24"/>
        </w:rPr>
        <w:t>Christou-Champi, Farrow, and Webb</w:t>
      </w:r>
      <w:r w:rsidR="002B44D5" w:rsidRPr="002B44D5">
        <w:rPr>
          <w:noProof/>
          <w:sz w:val="24"/>
          <w:szCs w:val="24"/>
        </w:rPr>
        <w:t xml:space="preserve"> </w:t>
      </w:r>
      <w:r w:rsidR="002B44D5">
        <w:rPr>
          <w:noProof/>
          <w:sz w:val="24"/>
          <w:szCs w:val="24"/>
        </w:rPr>
        <w:t>(</w:t>
      </w:r>
      <w:r w:rsidR="002B44D5" w:rsidRPr="002B44D5">
        <w:rPr>
          <w:noProof/>
          <w:sz w:val="24"/>
          <w:szCs w:val="24"/>
        </w:rPr>
        <w:t>2014)</w:t>
      </w:r>
      <w:r w:rsidR="00B06E70">
        <w:rPr>
          <w:sz w:val="24"/>
          <w:szCs w:val="24"/>
        </w:rPr>
        <w:fldChar w:fldCharType="end"/>
      </w:r>
      <w:r w:rsidRPr="00B60564">
        <w:rPr>
          <w:sz w:val="24"/>
          <w:szCs w:val="24"/>
        </w:rPr>
        <w:t xml:space="preserve"> </w:t>
      </w:r>
      <w:r>
        <w:rPr>
          <w:sz w:val="24"/>
          <w:szCs w:val="24"/>
        </w:rPr>
        <w:t>found</w:t>
      </w:r>
      <w:r w:rsidRPr="00B60564">
        <w:rPr>
          <w:sz w:val="24"/>
          <w:szCs w:val="24"/>
        </w:rPr>
        <w:t xml:space="preserve"> that practice increase</w:t>
      </w:r>
      <w:r>
        <w:rPr>
          <w:sz w:val="24"/>
          <w:szCs w:val="24"/>
        </w:rPr>
        <w:t>d</w:t>
      </w:r>
      <w:r w:rsidRPr="00B60564">
        <w:rPr>
          <w:sz w:val="24"/>
          <w:szCs w:val="24"/>
        </w:rPr>
        <w:t xml:space="preserve"> the efficiency of emotion regulation</w:t>
      </w:r>
      <w:r>
        <w:rPr>
          <w:sz w:val="24"/>
          <w:szCs w:val="24"/>
        </w:rPr>
        <w:t xml:space="preserve"> </w:t>
      </w:r>
      <w:r w:rsidRPr="00B60564">
        <w:rPr>
          <w:sz w:val="24"/>
          <w:szCs w:val="24"/>
        </w:rPr>
        <w:t>(</w:t>
      </w:r>
      <w:r>
        <w:rPr>
          <w:sz w:val="24"/>
          <w:szCs w:val="24"/>
        </w:rPr>
        <w:t xml:space="preserve">in the sense that it required </w:t>
      </w:r>
      <w:r w:rsidRPr="00B60564">
        <w:rPr>
          <w:sz w:val="24"/>
          <w:szCs w:val="24"/>
        </w:rPr>
        <w:t>less effort)</w:t>
      </w:r>
      <w:r>
        <w:rPr>
          <w:sz w:val="24"/>
          <w:szCs w:val="24"/>
        </w:rPr>
        <w:t xml:space="preserve">. Thus constantly using improving IER with close others would likely increase the efficiency of the strategies used, making improving IER more automatic. </w:t>
      </w:r>
      <w:r w:rsidRPr="00B60564">
        <w:rPr>
          <w:sz w:val="24"/>
          <w:szCs w:val="24"/>
        </w:rPr>
        <w:t>Furthermore, Study 4 showed that one of the factors that predicted participants</w:t>
      </w:r>
      <w:r>
        <w:rPr>
          <w:sz w:val="24"/>
          <w:szCs w:val="24"/>
        </w:rPr>
        <w:t>’</w:t>
      </w:r>
      <w:r w:rsidRPr="00B60564">
        <w:rPr>
          <w:sz w:val="24"/>
          <w:szCs w:val="24"/>
        </w:rPr>
        <w:t xml:space="preserve"> use of AIER (as reported by their low levels of awareness, intention and effort to use IER) was habitually using IER to improve other peoples’ emotions. </w:t>
      </w:r>
      <w:r>
        <w:rPr>
          <w:sz w:val="24"/>
          <w:szCs w:val="24"/>
        </w:rPr>
        <w:t xml:space="preserve">It is possible that the constant repetition of IER strategies in close relationships has strengthened these strategies making them habitual </w:t>
      </w:r>
      <w:r w:rsidR="00B06E70">
        <w:rPr>
          <w:sz w:val="24"/>
          <w:szCs w:val="24"/>
        </w:rPr>
        <w:fldChar w:fldCharType="begin" w:fldLock="1"/>
      </w:r>
      <w:r w:rsidR="006D20F5">
        <w:rPr>
          <w:sz w:val="24"/>
          <w:szCs w:val="24"/>
        </w:rPr>
        <w:instrText>ADDIN CSL_CITATION { "citationItems" : [ { "id" : "ITEM-1", "itemData" : { "DOI" : "10.1177/1088868311411164", "abstract" : "Emotion is often framed as an intrapersonal system comprised of subcomponents such as experience, behavior, and physiology that interact over time to give rise to emotional states. What is missing is that many emotions occur in the context of social interaction or ongoing relationships. When this happens, the result can be conceptualized as a temporal interpersonal emotion system (TIES) in which the subcomponents of emotion interact not only within the individual but across the partners as well. The present review (a) suggests that TIES can be understood in terms of the characteristics of dynamic systems, (b) reviews examples from diverse research that has investigated characteristics of TIES, (c) attempts to clarify the overlapping terms that have been used to refer to those characteristics by mapping them to the statistical, mathematical, and graphical models that have been used to represent TIES, and (d) offers pragmatic advice for analyzing TIES data.", "author" : [ { "dropping-particle" : "", "family" : "Butler", "given" : "Emily A", "non-dropping-particle" : "", "parse-names" : false, "suffix" : "" } ], "container-title" : "Personality and Social Psychology Review", "id" : "ITEM-1", "issue" : "4", "issued" : { "date-parts" : [ [ "2011" ] ] }, "page" : "367-393", "title" : "Temporal Interpersonal Emotion Systems: The \" TIES \" That Form Relationships", "type" : "article-journal", "volume" : "15" }, "uris" : [ "http://www.mendeley.com/documents/?uuid=b0742a8c-aada-3fa0-b31e-aa2501be2bbe" ] } ], "mendeley" : { "formattedCitation" : "(Butler, 2011)", "plainTextFormattedCitation" : "(Butler, 2011)", "previouslyFormattedCitation" : "(Butler, 2011)" }, "properties" : { "noteIndex" : 0 }, "schema" : "https://github.com/citation-style-language/schema/raw/master/csl-citation.json" }</w:instrText>
      </w:r>
      <w:r w:rsidR="00B06E70">
        <w:rPr>
          <w:sz w:val="24"/>
          <w:szCs w:val="24"/>
        </w:rPr>
        <w:fldChar w:fldCharType="separate"/>
      </w:r>
      <w:r w:rsidR="008A3316" w:rsidRPr="008A3316">
        <w:rPr>
          <w:noProof/>
          <w:sz w:val="24"/>
          <w:szCs w:val="24"/>
        </w:rPr>
        <w:t>(Butler, 2011)</w:t>
      </w:r>
      <w:r w:rsidR="00B06E70">
        <w:rPr>
          <w:sz w:val="24"/>
          <w:szCs w:val="24"/>
        </w:rPr>
        <w:fldChar w:fldCharType="end"/>
      </w:r>
      <w:r w:rsidRPr="006E4BED">
        <w:rPr>
          <w:sz w:val="24"/>
          <w:szCs w:val="24"/>
        </w:rPr>
        <w:t>.</w:t>
      </w:r>
      <w:r w:rsidRPr="00B37B97">
        <w:rPr>
          <w:sz w:val="24"/>
          <w:szCs w:val="24"/>
        </w:rPr>
        <w:t xml:space="preserve"> </w:t>
      </w:r>
    </w:p>
    <w:p w:rsidR="005F5635" w:rsidRPr="005F5635" w:rsidRDefault="0078667D" w:rsidP="00AE640B">
      <w:pPr>
        <w:spacing w:line="480" w:lineRule="auto"/>
        <w:ind w:firstLine="720"/>
        <w:jc w:val="both"/>
        <w:rPr>
          <w:sz w:val="24"/>
          <w:szCs w:val="24"/>
        </w:rPr>
      </w:pPr>
      <w:r w:rsidRPr="00B60564">
        <w:rPr>
          <w:sz w:val="24"/>
          <w:szCs w:val="24"/>
        </w:rPr>
        <w:t xml:space="preserve">The second piece of evidence </w:t>
      </w:r>
      <w:r>
        <w:rPr>
          <w:sz w:val="24"/>
          <w:szCs w:val="24"/>
        </w:rPr>
        <w:t xml:space="preserve">that it is possible to regulate others emotions relatively automatically </w:t>
      </w:r>
      <w:r w:rsidRPr="00B60564">
        <w:rPr>
          <w:sz w:val="24"/>
          <w:szCs w:val="24"/>
        </w:rPr>
        <w:t xml:space="preserve">comes from </w:t>
      </w:r>
      <w:r>
        <w:rPr>
          <w:sz w:val="24"/>
          <w:szCs w:val="24"/>
        </w:rPr>
        <w:t>S</w:t>
      </w:r>
      <w:r w:rsidRPr="00B60564">
        <w:rPr>
          <w:sz w:val="24"/>
          <w:szCs w:val="24"/>
        </w:rPr>
        <w:t xml:space="preserve">tudies 2a and 2b, </w:t>
      </w:r>
      <w:r>
        <w:rPr>
          <w:sz w:val="24"/>
          <w:szCs w:val="24"/>
        </w:rPr>
        <w:t>where</w:t>
      </w:r>
      <w:r w:rsidRPr="00B60564">
        <w:rPr>
          <w:sz w:val="24"/>
          <w:szCs w:val="24"/>
        </w:rPr>
        <w:t xml:space="preserve"> it is proposed that AIER occurred because the participants used AIER to worsen the emotions of a fictional character (either by using more worsening IER strategies or by using less improving IER) </w:t>
      </w:r>
      <w:r w:rsidRPr="00B60564">
        <w:rPr>
          <w:sz w:val="24"/>
          <w:szCs w:val="24"/>
        </w:rPr>
        <w:lastRenderedPageBreak/>
        <w:t>without knowing what cause</w:t>
      </w:r>
      <w:r>
        <w:rPr>
          <w:sz w:val="24"/>
          <w:szCs w:val="24"/>
        </w:rPr>
        <w:t>d</w:t>
      </w:r>
      <w:r w:rsidRPr="00B60564">
        <w:rPr>
          <w:sz w:val="24"/>
          <w:szCs w:val="24"/>
        </w:rPr>
        <w:t xml:space="preserve"> them to behave like this towards the fictional character.</w:t>
      </w:r>
      <w:r>
        <w:rPr>
          <w:sz w:val="24"/>
          <w:szCs w:val="24"/>
        </w:rPr>
        <w:t xml:space="preserve"> In these particular studies then, the lack of awareness by participants of what caused them to use IER  before the IER behaviour unfolded is what suggests that their actions were relatively automatic. </w:t>
      </w:r>
      <w:r w:rsidR="006D435B">
        <w:rPr>
          <w:sz w:val="24"/>
          <w:szCs w:val="24"/>
        </w:rPr>
        <w:t xml:space="preserve">Nevertheless the results of these studies should be interpreted with care because of two reasons: </w:t>
      </w:r>
      <w:proofErr w:type="spellStart"/>
      <w:r w:rsidR="006D435B">
        <w:rPr>
          <w:sz w:val="24"/>
          <w:szCs w:val="24"/>
        </w:rPr>
        <w:t>i</w:t>
      </w:r>
      <w:proofErr w:type="spellEnd"/>
      <w:r w:rsidR="006D435B">
        <w:rPr>
          <w:sz w:val="24"/>
          <w:szCs w:val="24"/>
        </w:rPr>
        <w:t>) it was not possible to observe an effect of the prime (more use of worsening IER strategies) on the participants target task (the script and the romantic letter to an ex-partner participants wrote) across the three studies, even though the priming task was the same for the three studies and; ii) the nature and size of the samples varied across studies, with study 2b being underpowered.</w:t>
      </w:r>
      <w:r w:rsidR="005F5635">
        <w:rPr>
          <w:color w:val="808080" w:themeColor="background1" w:themeShade="80"/>
          <w:sz w:val="24"/>
          <w:szCs w:val="24"/>
        </w:rPr>
        <w:t xml:space="preserve"> </w:t>
      </w:r>
      <w:r w:rsidR="00D873E7" w:rsidRPr="00D873E7">
        <w:rPr>
          <w:sz w:val="24"/>
          <w:szCs w:val="24"/>
        </w:rPr>
        <w:t>P</w:t>
      </w:r>
      <w:r w:rsidR="005F5635" w:rsidRPr="00D873E7">
        <w:rPr>
          <w:sz w:val="24"/>
          <w:szCs w:val="24"/>
        </w:rPr>
        <w:t>riming effects are very sensitive to variations in experimental features and subject populations</w:t>
      </w:r>
      <w:r w:rsidR="00D873E7" w:rsidRPr="00D873E7">
        <w:rPr>
          <w:sz w:val="24"/>
          <w:szCs w:val="24"/>
        </w:rPr>
        <w:t xml:space="preserve"> (</w:t>
      </w:r>
      <w:proofErr w:type="spellStart"/>
      <w:r w:rsidR="00D873E7" w:rsidRPr="00D873E7">
        <w:rPr>
          <w:sz w:val="24"/>
          <w:szCs w:val="24"/>
        </w:rPr>
        <w:t>Cesario</w:t>
      </w:r>
      <w:proofErr w:type="spellEnd"/>
      <w:r w:rsidR="00D873E7" w:rsidRPr="00D873E7">
        <w:rPr>
          <w:sz w:val="24"/>
          <w:szCs w:val="24"/>
        </w:rPr>
        <w:t>, 2014)</w:t>
      </w:r>
      <w:r w:rsidR="009B6342">
        <w:rPr>
          <w:sz w:val="24"/>
          <w:szCs w:val="24"/>
        </w:rPr>
        <w:t xml:space="preserve">, this might have explained why it was not possible to observe an effect of the prime on the participants’ target tasks every time. </w:t>
      </w:r>
      <w:proofErr w:type="spellStart"/>
      <w:r w:rsidR="009B6342">
        <w:rPr>
          <w:sz w:val="24"/>
          <w:szCs w:val="24"/>
        </w:rPr>
        <w:t>Cesario</w:t>
      </w:r>
      <w:proofErr w:type="spellEnd"/>
      <w:r w:rsidR="009B6342">
        <w:rPr>
          <w:sz w:val="24"/>
          <w:szCs w:val="24"/>
        </w:rPr>
        <w:t xml:space="preserve"> suggests that researchers should predict such variations </w:t>
      </w:r>
      <w:proofErr w:type="spellStart"/>
      <w:r w:rsidR="005F5635" w:rsidRPr="009B6342">
        <w:rPr>
          <w:sz w:val="24"/>
          <w:szCs w:val="24"/>
        </w:rPr>
        <w:t>apriori</w:t>
      </w:r>
      <w:proofErr w:type="spellEnd"/>
      <w:r w:rsidR="009B6342">
        <w:rPr>
          <w:color w:val="808080" w:themeColor="background1" w:themeShade="80"/>
          <w:sz w:val="24"/>
          <w:szCs w:val="24"/>
        </w:rPr>
        <w:t xml:space="preserve"> </w:t>
      </w:r>
      <w:r w:rsidR="009B6342">
        <w:rPr>
          <w:sz w:val="24"/>
          <w:szCs w:val="24"/>
        </w:rPr>
        <w:t>as well as they should replicate their studies to confidently talk about their results. In the present studies no exact replications were carried out, thus it would be necessary to conduct exact replications of each study and see whether or not the findings remain the same, only then it would be safe (and maybe not even then) to claim AIER occurred because people were successfully primed to worsen the emotions of someone else.</w:t>
      </w:r>
      <w:r w:rsidR="005F5635">
        <w:rPr>
          <w:color w:val="808080" w:themeColor="background1" w:themeShade="80"/>
          <w:sz w:val="24"/>
          <w:szCs w:val="24"/>
        </w:rPr>
        <w:t xml:space="preserve"> </w:t>
      </w:r>
      <w:r w:rsidR="007B2F20">
        <w:rPr>
          <w:sz w:val="24"/>
          <w:szCs w:val="24"/>
        </w:rPr>
        <w:t xml:space="preserve">Nevertheless, a meta-analysis of 133 behavioural priming studies by </w:t>
      </w:r>
      <w:r w:rsidR="005F5635" w:rsidRPr="007B2F20">
        <w:rPr>
          <w:sz w:val="24"/>
          <w:szCs w:val="24"/>
        </w:rPr>
        <w:t>Weingarten</w:t>
      </w:r>
      <w:r w:rsidR="00B0342B" w:rsidRPr="007B2F20">
        <w:rPr>
          <w:sz w:val="24"/>
          <w:szCs w:val="24"/>
        </w:rPr>
        <w:t xml:space="preserve">, Chen, </w:t>
      </w:r>
      <w:r w:rsidR="005F5635" w:rsidRPr="007B2F20">
        <w:rPr>
          <w:sz w:val="24"/>
          <w:szCs w:val="24"/>
        </w:rPr>
        <w:t>McAdams,</w:t>
      </w:r>
      <w:r w:rsidR="00B0342B" w:rsidRPr="007B2F20">
        <w:rPr>
          <w:sz w:val="24"/>
          <w:szCs w:val="24"/>
        </w:rPr>
        <w:t xml:space="preserve"> Yi, </w:t>
      </w:r>
      <w:proofErr w:type="spellStart"/>
      <w:r w:rsidR="00B0342B" w:rsidRPr="007B2F20">
        <w:rPr>
          <w:sz w:val="24"/>
          <w:szCs w:val="24"/>
        </w:rPr>
        <w:t>Hepler</w:t>
      </w:r>
      <w:proofErr w:type="spellEnd"/>
      <w:r w:rsidR="00B0342B" w:rsidRPr="007B2F20">
        <w:rPr>
          <w:sz w:val="24"/>
          <w:szCs w:val="24"/>
        </w:rPr>
        <w:t xml:space="preserve">, and </w:t>
      </w:r>
      <w:proofErr w:type="spellStart"/>
      <w:r w:rsidR="00B0342B" w:rsidRPr="007B2F20">
        <w:rPr>
          <w:sz w:val="24"/>
          <w:szCs w:val="24"/>
        </w:rPr>
        <w:t>Albarracín</w:t>
      </w:r>
      <w:proofErr w:type="spellEnd"/>
      <w:r w:rsidR="00B0342B" w:rsidRPr="007B2F20">
        <w:rPr>
          <w:sz w:val="24"/>
          <w:szCs w:val="24"/>
        </w:rPr>
        <w:t xml:space="preserve"> (</w:t>
      </w:r>
      <w:r w:rsidR="005F5635" w:rsidRPr="007B2F20">
        <w:rPr>
          <w:sz w:val="24"/>
          <w:szCs w:val="24"/>
        </w:rPr>
        <w:t>2016</w:t>
      </w:r>
      <w:r w:rsidR="00B0342B" w:rsidRPr="007B2F20">
        <w:rPr>
          <w:sz w:val="24"/>
          <w:szCs w:val="24"/>
        </w:rPr>
        <w:t>)</w:t>
      </w:r>
      <w:r w:rsidR="005F5635" w:rsidRPr="005F5635">
        <w:rPr>
          <w:color w:val="808080" w:themeColor="background1" w:themeShade="80"/>
          <w:sz w:val="24"/>
          <w:szCs w:val="24"/>
        </w:rPr>
        <w:t xml:space="preserve"> </w:t>
      </w:r>
      <w:r w:rsidR="007B2F20" w:rsidRPr="007B2F20">
        <w:rPr>
          <w:sz w:val="24"/>
          <w:szCs w:val="24"/>
        </w:rPr>
        <w:t>still found an effect</w:t>
      </w:r>
      <w:r w:rsidR="007B2F20">
        <w:rPr>
          <w:sz w:val="24"/>
          <w:szCs w:val="24"/>
        </w:rPr>
        <w:t xml:space="preserve"> (although s</w:t>
      </w:r>
      <w:r w:rsidR="00677F8D" w:rsidRPr="007B2F20">
        <w:rPr>
          <w:sz w:val="24"/>
          <w:szCs w:val="24"/>
        </w:rPr>
        <w:t>mall</w:t>
      </w:r>
      <w:r w:rsidR="005F5635" w:rsidRPr="007B2F20">
        <w:rPr>
          <w:sz w:val="24"/>
          <w:szCs w:val="24"/>
        </w:rPr>
        <w:t xml:space="preserve"> </w:t>
      </w:r>
      <w:r w:rsidR="007B2F20">
        <w:rPr>
          <w:sz w:val="24"/>
          <w:szCs w:val="24"/>
        </w:rPr>
        <w:t xml:space="preserve">d = </w:t>
      </w:r>
      <w:r w:rsidR="005F5635" w:rsidRPr="007B2F20">
        <w:rPr>
          <w:sz w:val="24"/>
          <w:szCs w:val="24"/>
        </w:rPr>
        <w:t>.35</w:t>
      </w:r>
      <w:r w:rsidR="007B2F20">
        <w:rPr>
          <w:sz w:val="24"/>
          <w:szCs w:val="24"/>
        </w:rPr>
        <w:t>)</w:t>
      </w:r>
      <w:r w:rsidR="005F5635" w:rsidRPr="007B2F20">
        <w:rPr>
          <w:sz w:val="24"/>
          <w:szCs w:val="24"/>
        </w:rPr>
        <w:t>.</w:t>
      </w:r>
      <w:r w:rsidR="005F5635">
        <w:rPr>
          <w:color w:val="808080" w:themeColor="background1" w:themeShade="80"/>
          <w:sz w:val="24"/>
          <w:szCs w:val="24"/>
        </w:rPr>
        <w:t xml:space="preserve"> </w:t>
      </w:r>
      <w:r w:rsidR="00356B93">
        <w:rPr>
          <w:sz w:val="24"/>
          <w:szCs w:val="24"/>
        </w:rPr>
        <w:t>They also found that more valued behaviours or goal concepts (associated with important values or outcomes, for example, a student valuing as high getting a high score in a IQ test)</w:t>
      </w:r>
      <w:r w:rsidR="00356B93">
        <w:rPr>
          <w:color w:val="808080" w:themeColor="background1" w:themeShade="80"/>
          <w:sz w:val="24"/>
          <w:szCs w:val="24"/>
        </w:rPr>
        <w:t xml:space="preserve"> </w:t>
      </w:r>
      <w:r w:rsidR="00356B93" w:rsidRPr="00356B93">
        <w:rPr>
          <w:sz w:val="24"/>
          <w:szCs w:val="24"/>
        </w:rPr>
        <w:t>had stronger priming effects.</w:t>
      </w:r>
      <w:r w:rsidR="005F5635" w:rsidRPr="00356B93">
        <w:rPr>
          <w:sz w:val="24"/>
          <w:szCs w:val="24"/>
        </w:rPr>
        <w:t xml:space="preserve"> </w:t>
      </w:r>
      <w:r w:rsidR="00356B93" w:rsidRPr="00356B93">
        <w:rPr>
          <w:sz w:val="24"/>
          <w:szCs w:val="24"/>
        </w:rPr>
        <w:t xml:space="preserve">The authors of this meta-analysis </w:t>
      </w:r>
      <w:r w:rsidR="00393E36">
        <w:rPr>
          <w:sz w:val="24"/>
          <w:szCs w:val="24"/>
        </w:rPr>
        <w:t xml:space="preserve">mentioned that goals are important to see the effect of priming, either because the goal task the participant is </w:t>
      </w:r>
      <w:r w:rsidR="00393E36">
        <w:rPr>
          <w:sz w:val="24"/>
          <w:szCs w:val="24"/>
        </w:rPr>
        <w:lastRenderedPageBreak/>
        <w:t>engaged in is inherently important for him/her or because the goals in the priming experiments are manipulated. Thus, g</w:t>
      </w:r>
      <w:r w:rsidR="005F5635" w:rsidRPr="00356B93">
        <w:rPr>
          <w:sz w:val="24"/>
          <w:szCs w:val="24"/>
        </w:rPr>
        <w:t xml:space="preserve">oal activation contributes </w:t>
      </w:r>
      <w:r w:rsidR="00393E36">
        <w:rPr>
          <w:sz w:val="24"/>
          <w:szCs w:val="24"/>
        </w:rPr>
        <w:t>to explain priming effects in addition to the</w:t>
      </w:r>
      <w:r w:rsidR="005F5635" w:rsidRPr="00356B93">
        <w:rPr>
          <w:sz w:val="24"/>
          <w:szCs w:val="24"/>
        </w:rPr>
        <w:t xml:space="preserve"> perception-behaviour.</w:t>
      </w:r>
      <w:r w:rsidR="0081424B">
        <w:rPr>
          <w:sz w:val="24"/>
          <w:szCs w:val="24"/>
        </w:rPr>
        <w:t xml:space="preserve"> Thus, it is likely that the </w:t>
      </w:r>
      <w:r w:rsidR="006677D6">
        <w:rPr>
          <w:sz w:val="24"/>
          <w:szCs w:val="24"/>
        </w:rPr>
        <w:t xml:space="preserve">inclusion of a goal in the </w:t>
      </w:r>
      <w:r w:rsidR="0081424B">
        <w:rPr>
          <w:sz w:val="24"/>
          <w:szCs w:val="24"/>
        </w:rPr>
        <w:t>priming studies presented in this thesis w</w:t>
      </w:r>
      <w:r w:rsidR="006677D6">
        <w:rPr>
          <w:sz w:val="24"/>
          <w:szCs w:val="24"/>
        </w:rPr>
        <w:t>as what contributed to find an effect of the prime over the behaviour of the participants when they used worsening IER strategies, but maybe the perception-behaviour link would better explain participants using less strategies to make another person feel good.</w:t>
      </w:r>
      <w:r w:rsidR="006677D6" w:rsidRPr="005F5635">
        <w:rPr>
          <w:sz w:val="24"/>
          <w:szCs w:val="24"/>
        </w:rPr>
        <w:t xml:space="preserve"> </w:t>
      </w:r>
    </w:p>
    <w:p w:rsidR="0078667D" w:rsidRDefault="0078667D" w:rsidP="00AE640B">
      <w:pPr>
        <w:spacing w:line="480" w:lineRule="auto"/>
        <w:ind w:firstLine="720"/>
        <w:jc w:val="both"/>
        <w:rPr>
          <w:sz w:val="24"/>
          <w:szCs w:val="24"/>
        </w:rPr>
      </w:pPr>
      <w:r w:rsidRPr="00B60564">
        <w:rPr>
          <w:sz w:val="24"/>
          <w:szCs w:val="24"/>
        </w:rPr>
        <w:t xml:space="preserve">Lastly, in </w:t>
      </w:r>
      <w:r>
        <w:rPr>
          <w:sz w:val="24"/>
          <w:szCs w:val="24"/>
        </w:rPr>
        <w:t>S</w:t>
      </w:r>
      <w:r w:rsidRPr="00B60564">
        <w:rPr>
          <w:sz w:val="24"/>
          <w:szCs w:val="24"/>
        </w:rPr>
        <w:t xml:space="preserve">tudy 4 the fact that the IER strategies </w:t>
      </w:r>
      <w:r>
        <w:rPr>
          <w:sz w:val="24"/>
          <w:szCs w:val="24"/>
        </w:rPr>
        <w:t xml:space="preserve">that </w:t>
      </w:r>
      <w:r w:rsidRPr="00B60564">
        <w:rPr>
          <w:sz w:val="24"/>
          <w:szCs w:val="24"/>
        </w:rPr>
        <w:t xml:space="preserve">participants reported using occurred when they were under cognitive load </w:t>
      </w:r>
      <w:r>
        <w:rPr>
          <w:sz w:val="24"/>
          <w:szCs w:val="24"/>
        </w:rPr>
        <w:t xml:space="preserve">(suggesting that they were efficient) </w:t>
      </w:r>
      <w:r w:rsidRPr="00B60564">
        <w:rPr>
          <w:sz w:val="24"/>
          <w:szCs w:val="24"/>
        </w:rPr>
        <w:t>and without the participants</w:t>
      </w:r>
      <w:r>
        <w:rPr>
          <w:sz w:val="24"/>
          <w:szCs w:val="24"/>
        </w:rPr>
        <w:t>’</w:t>
      </w:r>
      <w:r w:rsidRPr="00B60564">
        <w:rPr>
          <w:sz w:val="24"/>
          <w:szCs w:val="24"/>
        </w:rPr>
        <w:t xml:space="preserve"> awareness and intention </w:t>
      </w:r>
      <w:r>
        <w:rPr>
          <w:sz w:val="24"/>
          <w:szCs w:val="24"/>
        </w:rPr>
        <w:t>to</w:t>
      </w:r>
      <w:r w:rsidRPr="00B60564">
        <w:rPr>
          <w:sz w:val="24"/>
          <w:szCs w:val="24"/>
        </w:rPr>
        <w:t xml:space="preserve"> us</w:t>
      </w:r>
      <w:r>
        <w:rPr>
          <w:sz w:val="24"/>
          <w:szCs w:val="24"/>
        </w:rPr>
        <w:t>e them</w:t>
      </w:r>
      <w:r w:rsidRPr="00B60564">
        <w:rPr>
          <w:sz w:val="24"/>
          <w:szCs w:val="24"/>
        </w:rPr>
        <w:t>, s</w:t>
      </w:r>
      <w:r>
        <w:rPr>
          <w:sz w:val="24"/>
          <w:szCs w:val="24"/>
        </w:rPr>
        <w:t>uggest</w:t>
      </w:r>
      <w:r w:rsidRPr="00B60564">
        <w:rPr>
          <w:sz w:val="24"/>
          <w:szCs w:val="24"/>
        </w:rPr>
        <w:t>s that the IER that was occurring was to a certain extent, automatic, as some of the fundamental features of automatic processes are that they occur without the person’s awareness, with little or no explicit intention</w:t>
      </w:r>
      <w:r>
        <w:rPr>
          <w:sz w:val="24"/>
          <w:szCs w:val="24"/>
        </w:rPr>
        <w:t>,</w:t>
      </w:r>
      <w:r w:rsidRPr="00B60564">
        <w:rPr>
          <w:sz w:val="24"/>
          <w:szCs w:val="24"/>
        </w:rPr>
        <w:t xml:space="preserve"> and efficiently (without much effort)</w:t>
      </w:r>
      <w:r w:rsidR="00E9065A">
        <w:rPr>
          <w:sz w:val="24"/>
          <w:szCs w:val="24"/>
        </w:rPr>
        <w:t xml:space="preserve"> (Moors &amp; </w:t>
      </w:r>
      <w:proofErr w:type="spellStart"/>
      <w:r w:rsidR="00E9065A">
        <w:rPr>
          <w:sz w:val="24"/>
          <w:szCs w:val="24"/>
        </w:rPr>
        <w:t>DeHouwer</w:t>
      </w:r>
      <w:proofErr w:type="spellEnd"/>
      <w:r w:rsidR="00E9065A">
        <w:rPr>
          <w:sz w:val="24"/>
          <w:szCs w:val="24"/>
        </w:rPr>
        <w:t xml:space="preserve">, 2006), Nevertheless, the results of study 4 should also be interpreted with caution as the sample size was considerably smaller than it should have been in order to achieved the desired statistical power. </w:t>
      </w:r>
    </w:p>
    <w:p w:rsidR="0078667D" w:rsidRPr="00B60564" w:rsidRDefault="0078667D" w:rsidP="00AE640B">
      <w:pPr>
        <w:spacing w:line="480" w:lineRule="auto"/>
        <w:ind w:firstLine="720"/>
        <w:jc w:val="both"/>
        <w:rPr>
          <w:sz w:val="24"/>
          <w:szCs w:val="24"/>
        </w:rPr>
      </w:pPr>
      <w:r w:rsidRPr="00B43F1F">
        <w:rPr>
          <w:sz w:val="24"/>
          <w:szCs w:val="24"/>
        </w:rPr>
        <w:t>The present thesis</w:t>
      </w:r>
      <w:r w:rsidR="00B43F1F">
        <w:rPr>
          <w:sz w:val="24"/>
          <w:szCs w:val="24"/>
        </w:rPr>
        <w:t xml:space="preserve"> is</w:t>
      </w:r>
      <w:r w:rsidRPr="00B60564">
        <w:rPr>
          <w:sz w:val="24"/>
          <w:szCs w:val="24"/>
        </w:rPr>
        <w:t xml:space="preserve"> u</w:t>
      </w:r>
      <w:r>
        <w:rPr>
          <w:sz w:val="24"/>
          <w:szCs w:val="24"/>
        </w:rPr>
        <w:t>nique in studying the extent to which IER (and by extension AIER) is intentional</w:t>
      </w:r>
      <w:r w:rsidR="007C7588">
        <w:rPr>
          <w:sz w:val="24"/>
          <w:szCs w:val="24"/>
        </w:rPr>
        <w:t xml:space="preserve"> when considered in the broader context of its general use (i.e. the IER behaviours are often actively used to intentionally modify someone else’s emotions, unlike, for example, emotional contagion which is passively used)</w:t>
      </w:r>
      <w:r w:rsidR="005A5A8E">
        <w:rPr>
          <w:sz w:val="24"/>
          <w:szCs w:val="24"/>
        </w:rPr>
        <w:t>.</w:t>
      </w:r>
      <w:r>
        <w:rPr>
          <w:sz w:val="24"/>
          <w:szCs w:val="24"/>
        </w:rPr>
        <w:t xml:space="preserve"> Other research that has found evidence of AIER happening has not clearly shown that the AIER occurring was intentional</w:t>
      </w:r>
      <w:r w:rsidRPr="00B60564">
        <w:rPr>
          <w:sz w:val="24"/>
          <w:szCs w:val="24"/>
        </w:rPr>
        <w:t xml:space="preserve">. </w:t>
      </w:r>
      <w:r>
        <w:rPr>
          <w:sz w:val="24"/>
          <w:szCs w:val="24"/>
        </w:rPr>
        <w:t xml:space="preserve">For example, people have been found to unconsciously mimic the physical manifestations of emotion (e.g., postures, facial expressions, mannerisms) </w:t>
      </w:r>
      <w:r>
        <w:rPr>
          <w:sz w:val="24"/>
          <w:szCs w:val="24"/>
        </w:rPr>
        <w:lastRenderedPageBreak/>
        <w:t xml:space="preserve">of another person </w:t>
      </w:r>
      <w:r w:rsidR="00B06E70">
        <w:rPr>
          <w:sz w:val="24"/>
          <w:szCs w:val="24"/>
        </w:rPr>
        <w:fldChar w:fldCharType="begin" w:fldLock="1"/>
      </w:r>
      <w:r w:rsidR="00AA6258">
        <w:rPr>
          <w:sz w:val="24"/>
          <w:szCs w:val="24"/>
        </w:rPr>
        <w:instrText>ADDIN CSL_CITATION { "citationItems" : [ { "id" : "ITEM-1", "itemData" : { "DOI" : "10.1037/0022-3514.76.6.893", "ISBN" : "0022-3514, 0022-3514", "ISSN" : "0022-3514", "PMID" : "10402679", "abstract" : "The chameleon effect refers to nonconscious mimicry of the postures, mannerisms, facial expressions, and other behaviors of one's interaction partners, such that one's behavior passively and unintentionally changes to match that of others in one's current social environment. The authors suggest that the mechanism involved is the perception-behavior link, the recently documented finding (e.g., J. A. Bargh, M. Chen, &amp; L. Burrows, 1996) that the mere perception of another's behavior automatically increases the likelihood of engaging in that behavior oneself. Experiment 1 showed that the motor behavior of participants unintentionally matched that of strangers with whom they worked on a task. Experiment 2 had confederates mimic the posture and movements of participants and showed that mimicry facilitates the smoothness of interactions and increases liking between interaction partners. Experiment 3 showed that dispositionally empathic individuals exhibit the chameleon effect to a greater extent than do other people.", "author" : [ { "dropping-particle" : "", "family" : "Chartrand", "given" : "Tanya L.", "non-dropping-particle" : "", "parse-names" : false, "suffix" : "" }, { "dropping-particle" : "", "family" : "Bargh", "given" : "John a.", "non-dropping-particle" : "", "parse-names" : false, "suffix" : "" } ], "container-title" : "Journal of personality and social psychology", "id" : "ITEM-1", "issue" : "6", "issued" : { "date-parts" : [ [ "1999" ] ] }, "page" : "893-910", "title" : "The chameleon effect: the perception-behavior link and social interaction.", "type" : "article-journal", "volume" : "76" }, "uris" : [ "http://www.mendeley.com/documents/?uuid=d0a44891-6a1b-3645-abc0-02807af82e53" ] } ], "mendeley" : { "formattedCitation" : "(T. L. Chartrand &amp; Bargh, 1999)", "manualFormatting" : "(Chartrand &amp; Bargh, 1999)", "plainTextFormattedCitation" : "(T. L. Chartrand &amp; Bargh, 1999)", "previouslyFormattedCitation" : "(T. L. Chartrand &amp; Bargh, 1999)" }, "properties" : { "noteIndex" : 0 }, "schema" : "https://github.com/citation-style-language/schema/raw/master/csl-citation.json" }</w:instrText>
      </w:r>
      <w:r w:rsidR="00B06E70">
        <w:rPr>
          <w:sz w:val="24"/>
          <w:szCs w:val="24"/>
        </w:rPr>
        <w:fldChar w:fldCharType="separate"/>
      </w:r>
      <w:r w:rsidR="006D20F5" w:rsidRPr="006D20F5">
        <w:rPr>
          <w:noProof/>
          <w:sz w:val="24"/>
          <w:szCs w:val="24"/>
        </w:rPr>
        <w:t>(Chartrand &amp; Bargh, 1999)</w:t>
      </w:r>
      <w:r w:rsidR="00B06E70">
        <w:rPr>
          <w:sz w:val="24"/>
          <w:szCs w:val="24"/>
        </w:rPr>
        <w:fldChar w:fldCharType="end"/>
      </w:r>
      <w:r>
        <w:rPr>
          <w:sz w:val="24"/>
          <w:szCs w:val="24"/>
        </w:rPr>
        <w:t xml:space="preserve">, but the person who is mimicked does not intend to modify the emotions of the person that mimics. In the case of </w:t>
      </w:r>
      <w:r w:rsidRPr="00B60564">
        <w:rPr>
          <w:sz w:val="24"/>
          <w:szCs w:val="24"/>
        </w:rPr>
        <w:t xml:space="preserve">emotional contagion, </w:t>
      </w:r>
      <w:r>
        <w:rPr>
          <w:sz w:val="24"/>
          <w:szCs w:val="24"/>
        </w:rPr>
        <w:t>the person unconsciously mimics the</w:t>
      </w:r>
      <w:r w:rsidRPr="00B60564">
        <w:rPr>
          <w:sz w:val="24"/>
          <w:szCs w:val="24"/>
        </w:rPr>
        <w:t xml:space="preserve"> mood of </w:t>
      </w:r>
      <w:r>
        <w:rPr>
          <w:sz w:val="24"/>
          <w:szCs w:val="24"/>
        </w:rPr>
        <w:t>another person and then experiences the mood of that person,</w:t>
      </w:r>
      <w:r w:rsidRPr="00B60564">
        <w:rPr>
          <w:sz w:val="24"/>
          <w:szCs w:val="24"/>
        </w:rPr>
        <w:t xml:space="preserve"> but </w:t>
      </w:r>
      <w:r>
        <w:rPr>
          <w:sz w:val="24"/>
          <w:szCs w:val="24"/>
        </w:rPr>
        <w:t>again, it seems that the</w:t>
      </w:r>
      <w:r w:rsidRPr="00B60564">
        <w:rPr>
          <w:sz w:val="24"/>
          <w:szCs w:val="24"/>
        </w:rPr>
        <w:t xml:space="preserve"> person they mimic and catch</w:t>
      </w:r>
      <w:r>
        <w:rPr>
          <w:sz w:val="24"/>
          <w:szCs w:val="24"/>
        </w:rPr>
        <w:t xml:space="preserve"> the</w:t>
      </w:r>
      <w:r w:rsidRPr="00B60564">
        <w:rPr>
          <w:sz w:val="24"/>
          <w:szCs w:val="24"/>
        </w:rPr>
        <w:t xml:space="preserve"> emotion from do</w:t>
      </w:r>
      <w:r>
        <w:rPr>
          <w:sz w:val="24"/>
          <w:szCs w:val="24"/>
        </w:rPr>
        <w:t>es not</w:t>
      </w:r>
      <w:r w:rsidRPr="00B60564">
        <w:rPr>
          <w:sz w:val="24"/>
          <w:szCs w:val="24"/>
        </w:rPr>
        <w:t xml:space="preserve"> transfer his/her emotions with the purpose of modifying the emotions of the other. </w:t>
      </w:r>
      <w:r>
        <w:rPr>
          <w:sz w:val="24"/>
          <w:szCs w:val="24"/>
        </w:rPr>
        <w:t>E</w:t>
      </w:r>
      <w:r w:rsidRPr="00B60564">
        <w:rPr>
          <w:sz w:val="24"/>
          <w:szCs w:val="24"/>
        </w:rPr>
        <w:t xml:space="preserve">ven </w:t>
      </w:r>
      <w:r>
        <w:rPr>
          <w:sz w:val="24"/>
          <w:szCs w:val="24"/>
        </w:rPr>
        <w:t>some of the most recent research on AIER fails to show that AIER is intentional. For example,</w:t>
      </w:r>
      <w:r w:rsidRPr="00B60564">
        <w:rPr>
          <w:sz w:val="24"/>
          <w:szCs w:val="24"/>
        </w:rPr>
        <w:t xml:space="preserve"> </w:t>
      </w:r>
      <w:r>
        <w:rPr>
          <w:sz w:val="24"/>
          <w:szCs w:val="24"/>
        </w:rPr>
        <w:t xml:space="preserve">in </w:t>
      </w:r>
      <w:proofErr w:type="spellStart"/>
      <w:r w:rsidRPr="00B60564">
        <w:rPr>
          <w:sz w:val="24"/>
          <w:szCs w:val="24"/>
        </w:rPr>
        <w:t>Häfner</w:t>
      </w:r>
      <w:proofErr w:type="spellEnd"/>
      <w:r w:rsidRPr="00B60564">
        <w:rPr>
          <w:sz w:val="24"/>
          <w:szCs w:val="24"/>
        </w:rPr>
        <w:t xml:space="preserve"> and </w:t>
      </w:r>
      <w:proofErr w:type="spellStart"/>
      <w:r w:rsidRPr="00B60564">
        <w:rPr>
          <w:sz w:val="24"/>
          <w:szCs w:val="24"/>
        </w:rPr>
        <w:t>IJzerman</w:t>
      </w:r>
      <w:proofErr w:type="spellEnd"/>
      <w:r w:rsidRPr="00B60564">
        <w:rPr>
          <w:sz w:val="24"/>
          <w:szCs w:val="24"/>
        </w:rPr>
        <w:t xml:space="preserve"> </w:t>
      </w:r>
      <w:r>
        <w:rPr>
          <w:sz w:val="24"/>
          <w:szCs w:val="24"/>
        </w:rPr>
        <w:t>(2011) research, the automatic tendency of participants to smile in response to their romantic partners angry expression, was not clearly shown by the authors to be</w:t>
      </w:r>
      <w:r w:rsidR="004347AE">
        <w:rPr>
          <w:sz w:val="24"/>
          <w:szCs w:val="24"/>
        </w:rPr>
        <w:t xml:space="preserve"> actively </w:t>
      </w:r>
      <w:r>
        <w:rPr>
          <w:sz w:val="24"/>
          <w:szCs w:val="24"/>
        </w:rPr>
        <w:t xml:space="preserve">intentional. Therefore, the studies </w:t>
      </w:r>
      <w:r w:rsidR="00314860">
        <w:rPr>
          <w:sz w:val="24"/>
          <w:szCs w:val="24"/>
        </w:rPr>
        <w:t>presented in this thesis</w:t>
      </w:r>
      <w:r>
        <w:rPr>
          <w:sz w:val="24"/>
          <w:szCs w:val="24"/>
        </w:rPr>
        <w:t xml:space="preserve"> </w:t>
      </w:r>
      <w:r w:rsidR="00AE096C">
        <w:rPr>
          <w:sz w:val="24"/>
          <w:szCs w:val="24"/>
        </w:rPr>
        <w:t>present</w:t>
      </w:r>
      <w:r>
        <w:rPr>
          <w:sz w:val="24"/>
          <w:szCs w:val="24"/>
        </w:rPr>
        <w:t xml:space="preserve"> AIER that happens </w:t>
      </w:r>
      <w:r w:rsidR="004347AE">
        <w:rPr>
          <w:sz w:val="24"/>
          <w:szCs w:val="24"/>
        </w:rPr>
        <w:t>in an actively</w:t>
      </w:r>
      <w:r>
        <w:rPr>
          <w:sz w:val="24"/>
          <w:szCs w:val="24"/>
        </w:rPr>
        <w:t xml:space="preserve"> intention</w:t>
      </w:r>
      <w:r w:rsidR="004347AE">
        <w:rPr>
          <w:sz w:val="24"/>
          <w:szCs w:val="24"/>
        </w:rPr>
        <w:t>al way</w:t>
      </w:r>
      <w:r>
        <w:rPr>
          <w:sz w:val="24"/>
          <w:szCs w:val="24"/>
        </w:rPr>
        <w:t xml:space="preserve"> to modify the emotions of someone else. </w:t>
      </w:r>
    </w:p>
    <w:p w:rsidR="0078667D" w:rsidRDefault="0078667D" w:rsidP="00AE640B">
      <w:pPr>
        <w:spacing w:line="480" w:lineRule="auto"/>
        <w:ind w:firstLine="720"/>
        <w:jc w:val="both"/>
        <w:rPr>
          <w:sz w:val="24"/>
          <w:szCs w:val="24"/>
        </w:rPr>
      </w:pPr>
      <w:r w:rsidRPr="00534B43">
        <w:rPr>
          <w:sz w:val="24"/>
          <w:szCs w:val="24"/>
        </w:rPr>
        <w:t>With respect to the question of whether AIER can be studied empirically, the present thesis provided</w:t>
      </w:r>
      <w:r>
        <w:rPr>
          <w:sz w:val="24"/>
          <w:szCs w:val="24"/>
        </w:rPr>
        <w:t xml:space="preserve"> two</w:t>
      </w:r>
      <w:r w:rsidRPr="00534B43">
        <w:rPr>
          <w:sz w:val="24"/>
          <w:szCs w:val="24"/>
        </w:rPr>
        <w:t xml:space="preserve"> different methods to study AIER. </w:t>
      </w:r>
      <w:r>
        <w:rPr>
          <w:sz w:val="24"/>
          <w:szCs w:val="24"/>
        </w:rPr>
        <w:t>S</w:t>
      </w:r>
      <w:r w:rsidRPr="00534B43">
        <w:rPr>
          <w:sz w:val="24"/>
          <w:szCs w:val="24"/>
        </w:rPr>
        <w:t xml:space="preserve">tudies 1 and 4 demonstrate that AIER can be explored via self-report questionnaires, although </w:t>
      </w:r>
      <w:r>
        <w:rPr>
          <w:sz w:val="24"/>
          <w:szCs w:val="24"/>
        </w:rPr>
        <w:t xml:space="preserve">the nature of </w:t>
      </w:r>
      <w:r w:rsidR="00314860">
        <w:rPr>
          <w:sz w:val="24"/>
          <w:szCs w:val="24"/>
        </w:rPr>
        <w:t>these self-reports was</w:t>
      </w:r>
      <w:r w:rsidRPr="00534B43">
        <w:rPr>
          <w:sz w:val="24"/>
          <w:szCs w:val="24"/>
        </w:rPr>
        <w:t xml:space="preserve"> slightly different. </w:t>
      </w:r>
      <w:r>
        <w:rPr>
          <w:sz w:val="24"/>
          <w:szCs w:val="24"/>
        </w:rPr>
        <w:t>S</w:t>
      </w:r>
      <w:r w:rsidRPr="00534B43">
        <w:rPr>
          <w:sz w:val="24"/>
          <w:szCs w:val="24"/>
        </w:rPr>
        <w:t>tudy 1</w:t>
      </w:r>
      <w:r>
        <w:rPr>
          <w:sz w:val="24"/>
          <w:szCs w:val="24"/>
        </w:rPr>
        <w:t xml:space="preserve"> developed</w:t>
      </w:r>
      <w:r w:rsidRPr="00534B43">
        <w:rPr>
          <w:sz w:val="24"/>
          <w:szCs w:val="24"/>
        </w:rPr>
        <w:t xml:space="preserve"> the </w:t>
      </w:r>
      <w:r>
        <w:rPr>
          <w:sz w:val="24"/>
          <w:szCs w:val="24"/>
        </w:rPr>
        <w:t>‘</w:t>
      </w:r>
      <w:r w:rsidRPr="00534B43">
        <w:rPr>
          <w:sz w:val="24"/>
          <w:szCs w:val="24"/>
        </w:rPr>
        <w:t>AERO</w:t>
      </w:r>
      <w:r>
        <w:rPr>
          <w:sz w:val="24"/>
          <w:szCs w:val="24"/>
        </w:rPr>
        <w:t>’ questionnaire, which</w:t>
      </w:r>
      <w:r w:rsidRPr="00534B43">
        <w:rPr>
          <w:sz w:val="24"/>
          <w:szCs w:val="24"/>
        </w:rPr>
        <w:t xml:space="preserve"> explored </w:t>
      </w:r>
      <w:r w:rsidRPr="000D366A">
        <w:rPr>
          <w:sz w:val="24"/>
          <w:szCs w:val="24"/>
        </w:rPr>
        <w:t>different forms of AIER (improving and worsening) focusing on the habitual use of IER.</w:t>
      </w:r>
      <w:r w:rsidRPr="002464A6">
        <w:rPr>
          <w:sz w:val="24"/>
          <w:szCs w:val="24"/>
        </w:rPr>
        <w:t xml:space="preserve"> </w:t>
      </w:r>
      <w:r>
        <w:rPr>
          <w:sz w:val="24"/>
          <w:szCs w:val="24"/>
        </w:rPr>
        <w:t>S</w:t>
      </w:r>
      <w:r w:rsidRPr="00485C33">
        <w:rPr>
          <w:sz w:val="24"/>
          <w:szCs w:val="24"/>
        </w:rPr>
        <w:t>tudy 4</w:t>
      </w:r>
      <w:r>
        <w:rPr>
          <w:sz w:val="24"/>
          <w:szCs w:val="24"/>
        </w:rPr>
        <w:t xml:space="preserve"> adapted</w:t>
      </w:r>
      <w:r w:rsidRPr="00485C33">
        <w:rPr>
          <w:sz w:val="24"/>
          <w:szCs w:val="24"/>
        </w:rPr>
        <w:t xml:space="preserve"> the EROS questionnaire to explore three qualities of </w:t>
      </w:r>
      <w:r>
        <w:rPr>
          <w:sz w:val="24"/>
          <w:szCs w:val="24"/>
        </w:rPr>
        <w:t>IER;</w:t>
      </w:r>
      <w:r w:rsidRPr="00485C33">
        <w:rPr>
          <w:sz w:val="24"/>
          <w:szCs w:val="24"/>
        </w:rPr>
        <w:t xml:space="preserve"> namely lack </w:t>
      </w:r>
      <w:r>
        <w:rPr>
          <w:sz w:val="24"/>
          <w:szCs w:val="24"/>
        </w:rPr>
        <w:t>of</w:t>
      </w:r>
      <w:r w:rsidRPr="00485C33">
        <w:rPr>
          <w:sz w:val="24"/>
          <w:szCs w:val="24"/>
        </w:rPr>
        <w:t xml:space="preserve"> awareness, intention and control. The adapted version of the EROS </w:t>
      </w:r>
      <w:r>
        <w:rPr>
          <w:sz w:val="24"/>
          <w:szCs w:val="24"/>
        </w:rPr>
        <w:t xml:space="preserve">questionnaire </w:t>
      </w:r>
      <w:r w:rsidRPr="00485C33">
        <w:rPr>
          <w:sz w:val="24"/>
          <w:szCs w:val="24"/>
        </w:rPr>
        <w:t xml:space="preserve">also explored whether the participant perceived that his/her emotions were being regulated by his/her date. </w:t>
      </w:r>
      <w:r>
        <w:rPr>
          <w:sz w:val="24"/>
          <w:szCs w:val="24"/>
        </w:rPr>
        <w:t xml:space="preserve">Unlike the AERO, the adapted version of the EROS, would not be enough to measure AIER; rather, the adapted EROS questionnaire requires that participants report on their responses in situations where </w:t>
      </w:r>
      <w:r>
        <w:rPr>
          <w:sz w:val="24"/>
          <w:szCs w:val="24"/>
        </w:rPr>
        <w:lastRenderedPageBreak/>
        <w:t xml:space="preserve">AIER is likely to occur. In the case of Study 4, this situation was when taking part in a speed date, under cognitive load and / or when depleted of regulatory resources. </w:t>
      </w:r>
    </w:p>
    <w:p w:rsidR="0078667D" w:rsidRDefault="0078667D" w:rsidP="00AE640B">
      <w:pPr>
        <w:spacing w:line="480" w:lineRule="auto"/>
        <w:ind w:firstLine="720"/>
        <w:jc w:val="both"/>
        <w:rPr>
          <w:sz w:val="24"/>
          <w:szCs w:val="24"/>
        </w:rPr>
      </w:pPr>
      <w:r>
        <w:rPr>
          <w:sz w:val="24"/>
          <w:szCs w:val="24"/>
        </w:rPr>
        <w:t>Studies 2a and 2b used priming to instigate worsening IER. However, the effectiveness of the prime seem to have depended on various factors. In Study 2a, w</w:t>
      </w:r>
      <w:r w:rsidRPr="00B20896">
        <w:rPr>
          <w:sz w:val="24"/>
          <w:szCs w:val="24"/>
        </w:rPr>
        <w:t>hen the priming task,</w:t>
      </w:r>
      <w:r>
        <w:rPr>
          <w:sz w:val="24"/>
          <w:szCs w:val="24"/>
        </w:rPr>
        <w:t xml:space="preserve"> the SST, was used followed by an IER goal (either to make someone else feel better or worse), it was possible to observe an effect of the prime. The effect of the prime was observed first in the goal option participants selected (with primed participants selecting the worsening IER with more frequency than non-primed participants), and then on the frequency with which participants used worsening IER in their scripts.  Nevertheless, in Study 2b, when the SST was used in isolation (without a following IER goal) it was not possible to observe more negative IER strategies on the scripts of the participants. What was observed was that primed participants used less improving IER strategies in their scripts (in comparison with control participants). Using less improving IER strategies also occurred in Study 2a when participants chose a worsening IER goal. </w:t>
      </w:r>
      <w:r w:rsidRPr="00712C65">
        <w:rPr>
          <w:sz w:val="24"/>
          <w:szCs w:val="24"/>
        </w:rPr>
        <w:t xml:space="preserve">These results suggest that the methodology used to instigate IER, the SST, was effective, but </w:t>
      </w:r>
      <w:r>
        <w:rPr>
          <w:sz w:val="24"/>
          <w:szCs w:val="24"/>
        </w:rPr>
        <w:t>that its</w:t>
      </w:r>
      <w:r w:rsidRPr="00712C65">
        <w:rPr>
          <w:sz w:val="24"/>
          <w:szCs w:val="24"/>
        </w:rPr>
        <w:t xml:space="preserve"> effectiveness depended in some part on having a goal that matched the prime. </w:t>
      </w:r>
      <w:r w:rsidR="00314860">
        <w:rPr>
          <w:sz w:val="24"/>
          <w:szCs w:val="24"/>
        </w:rPr>
        <w:t xml:space="preserve">Nevertheless, as mentioned above, it would be necessary to replicate each of these studies to more strongly support the effectiveness of this methodology. </w:t>
      </w:r>
    </w:p>
    <w:p w:rsidR="0078667D" w:rsidRDefault="00314860" w:rsidP="00AE640B">
      <w:pPr>
        <w:spacing w:line="480" w:lineRule="auto"/>
        <w:ind w:firstLine="720"/>
        <w:jc w:val="both"/>
        <w:rPr>
          <w:sz w:val="24"/>
          <w:szCs w:val="24"/>
        </w:rPr>
      </w:pPr>
      <w:r>
        <w:rPr>
          <w:sz w:val="24"/>
          <w:szCs w:val="24"/>
        </w:rPr>
        <w:t>T</w:t>
      </w:r>
      <w:r w:rsidRPr="00314860">
        <w:rPr>
          <w:sz w:val="24"/>
          <w:szCs w:val="24"/>
        </w:rPr>
        <w:t>he</w:t>
      </w:r>
      <w:r>
        <w:rPr>
          <w:sz w:val="24"/>
          <w:szCs w:val="24"/>
        </w:rPr>
        <w:t xml:space="preserve"> meta-analysis by</w:t>
      </w:r>
      <w:r w:rsidR="0078667D" w:rsidRPr="00314860">
        <w:rPr>
          <w:sz w:val="24"/>
          <w:szCs w:val="24"/>
        </w:rPr>
        <w:t xml:space="preserve"> </w:t>
      </w:r>
      <w:r w:rsidR="00B06E70">
        <w:rPr>
          <w:sz w:val="24"/>
          <w:szCs w:val="24"/>
        </w:rPr>
        <w:fldChar w:fldCharType="begin" w:fldLock="1"/>
      </w:r>
      <w:r w:rsidR="00B573F8" w:rsidRPr="00314860">
        <w:rPr>
          <w:sz w:val="24"/>
          <w:szCs w:val="24"/>
        </w:rPr>
        <w:instrText>ADDIN CSL_CITATION { "citationItems" : [ { "id" : "ITEM-1", "itemData" : { "DOI" : "10.1037/bul0000030", "ISBN" : "1070551090", "ISSN" : "1939-1455", "PMID" : "25246403", "abstract" : "A meta-analysis assessed the behavioral impact of and psychological processes associated with presenting\\r\\nwords connected to an action or a goal representation. The average and distribution of 352 effect sizes\\r\\n(analyzed using fixed-effects and random-effects models) was obtained from 133 studies (84 reports) in\\r\\nwhich word primes were incidentally presented to participants, with a nonopposite control group, before\\r\\nmeasuring a behavioral dependent variable. Findings revealed a small behavioral priming effect (dFE \u0002\\r\\n0.332, dRE \u0002 0.352), which was robust across methodological procedures and only minimally biased by\\r\\nthe publication of positive (vs. negative) results. Theory testing analyses indicated that more valued\\r\\nbehavior or goal concepts (e.g., associated with important outcomes or values) were associated with\\r\\nstronger priming effects than were less valued behaviors. Furthermore, there was some evidence of\\r\\npersistence of goal effects over time. These results support the notion that goal activation contributes over\\r\\nand above perception-behavior in explaining priming effects. In summary, theorizing about the role of\\r\\nvalue and satisfaction in goal activation pointed to stronger effects of a behavior or goal concept on overt\\r\\naction. There was no evidence that expectancy (ease of achieving the goal) moderated priming effects.", "author" : [ { "dropping-particle" : "", "family" : "Weingarten", "given" : "Evan", "non-dropping-particle" : "", "parse-names" : false, "suffix" : "" }, { "dropping-particle" : "", "family" : "Chen", "given" : "Qijia", "non-dropping-particle" : "", "parse-names" : false, "suffix" : "" }, { "dropping-particle" : "", "family" : "McAdams", "given" : "Maxwell", "non-dropping-particle" : "", "parse-names" : false, "suffix" : "" }, { "dropping-particle" : "", "family" : "Yi", "given" : "Jessica", "non-dropping-particle" : "", "parse-names" : false, "suffix" : "" }, { "dropping-particle" : "", "family" : "Hepler", "given" : "Justin", "non-dropping-particle" : "", "parse-names" : false, "suffix" : "" }, { "dropping-particle" : "", "family" : "Albarrac\u00edn", "given" : "Dolores", "non-dropping-particle" : "", "parse-names" : false, "suffix" : "" } ], "container-title" : "Psychological Bulletin", "id" : "ITEM-1", "issue" : "5", "issued" : { "date-parts" : [ [ "2016" ] ] }, "page" : "472\u2013497", "title" : "From primed concepts to action: A meta-analysis of the behavioral effects of incidentally presented words", "type" : "article-journal", "volume" : "142" }, "uris" : [ "http://www.mendeley.com/documents/?uuid=b22d5899-ef08-3a5a-be29-9f126c9657bb" ] } ], "mendeley" : { "formattedCitation" : "(Weingarten et al., 2016)", "manualFormatting" : "Weingarten et al. (2016)", "plainTextFormattedCitation" : "(Weingarten et al., 2016)", "previouslyFormattedCitation" : "(Weingarten et al., 2016)" }, "properties" : { "noteIndex" : 0 }, "schema" : "https://github.com/citation-style-language/schema/raw/master/csl-citation.json" }</w:instrText>
      </w:r>
      <w:r w:rsidR="00B06E70">
        <w:rPr>
          <w:sz w:val="24"/>
          <w:szCs w:val="24"/>
        </w:rPr>
        <w:fldChar w:fldCharType="separate"/>
      </w:r>
      <w:r w:rsidR="00AA6258" w:rsidRPr="00314860">
        <w:rPr>
          <w:noProof/>
          <w:sz w:val="24"/>
          <w:szCs w:val="24"/>
        </w:rPr>
        <w:t xml:space="preserve">Weingarten et al. </w:t>
      </w:r>
      <w:r w:rsidR="00AA6258">
        <w:rPr>
          <w:noProof/>
          <w:sz w:val="24"/>
          <w:szCs w:val="24"/>
        </w:rPr>
        <w:t>(</w:t>
      </w:r>
      <w:r w:rsidR="00AA6258" w:rsidRPr="00AA6258">
        <w:rPr>
          <w:noProof/>
          <w:sz w:val="24"/>
          <w:szCs w:val="24"/>
        </w:rPr>
        <w:t>2016)</w:t>
      </w:r>
      <w:r w:rsidR="00B06E70">
        <w:rPr>
          <w:sz w:val="24"/>
          <w:szCs w:val="24"/>
        </w:rPr>
        <w:fldChar w:fldCharType="end"/>
      </w:r>
      <w:r w:rsidR="0078667D" w:rsidRPr="00712C65">
        <w:rPr>
          <w:sz w:val="24"/>
          <w:szCs w:val="24"/>
        </w:rPr>
        <w:t xml:space="preserve"> supports this. They found that the effects of priming were small when the experiments did not have a goal component (e.g.</w:t>
      </w:r>
      <w:r w:rsidR="0078667D">
        <w:rPr>
          <w:sz w:val="24"/>
          <w:szCs w:val="24"/>
        </w:rPr>
        <w:t>,</w:t>
      </w:r>
      <w:r w:rsidR="0078667D" w:rsidRPr="00712C65">
        <w:rPr>
          <w:sz w:val="24"/>
          <w:szCs w:val="24"/>
        </w:rPr>
        <w:t xml:space="preserve"> achieve a final state), however, when priming involved some sort of goal the effect was bigger.</w:t>
      </w:r>
      <w:r w:rsidR="0078667D">
        <w:rPr>
          <w:sz w:val="24"/>
          <w:szCs w:val="24"/>
        </w:rPr>
        <w:t xml:space="preserve"> An explanation of why participants used less improving IER in the priming </w:t>
      </w:r>
      <w:r w:rsidR="0078667D">
        <w:rPr>
          <w:sz w:val="24"/>
          <w:szCs w:val="24"/>
        </w:rPr>
        <w:lastRenderedPageBreak/>
        <w:t xml:space="preserve">condition in comparison to participants in the control condition could be that, decreasing behaviours to improve someone else’s affect may be in the behavioural repertoire of participants while worsening IER may be not, which is why the IER goal was necessary. Research indicates that priming works when the person has the prime concept within his/her mental repertoire </w:t>
      </w:r>
      <w:r w:rsidR="00B06E70">
        <w:rPr>
          <w:sz w:val="24"/>
          <w:szCs w:val="24"/>
        </w:rPr>
        <w:fldChar w:fldCharType="begin" w:fldLock="1"/>
      </w:r>
      <w:r w:rsidR="00B573F8">
        <w:rPr>
          <w:sz w:val="24"/>
          <w:szCs w:val="24"/>
        </w:rPr>
        <w:instrText>ADDIN CSL_CITATION { "citationItems" : [ { "id" : "ITEM-1", "itemData" : { "DOI" : "10.1016/S0065-2601(10)42005-5", "ISBN" : "9780123744920", "ISSN" : "00652601", "abstract" : "For more than a decade, researchers have convincingly shown that people's social behavior can be affected by primed constructs without people having any awareness of their influence. Earlier research proposed direct priming accounts for these effects, suggesting that primed constructs exert their effect on behavior in a relatively direct fashion without an intervening role for perceptual processes. In this chapter, we review evidence in favor of an indirect priming account for behavioral priming effects. In these indirect priming effects, a primed construct affects behavior via shifts in perceptions of a perceptual target. We review three types of indirect priming mechanisms: a self-perception, person-perception, and situation-perception mechanism. We also present various moderators that affect the direction and magnitude of each of the indirect priming effects. In addition, we identify factors, related to the attentional focus of the prime recipient, that indicate when each of the different mechanisms operates. Understanding the role of perceptual processes in the prime-to-behavior pathway can unravel more mysteries about the rich and complex nature of social behavior. \u00a9 2010 Elsevier Inc.", "author" : [ { "dropping-particle" : "", "family" : "Smeesters", "given" : "Dirk", "non-dropping-particle" : "", "parse-names" : false, "suffix" : "" }, { "dropping-particle" : "", "family" : "Wheeler", "given" : "S. Christian", "non-dropping-particle" : "", "parse-names" : false, "suffix" : "" }, { "dropping-particle" : "", "family" : "Kay", "given" : "Aaron C.", "non-dropping-particle" : "", "parse-names" : false, "suffix" : "" } ], "container-title" : "Advances in Experimental Social Psychology", "id" : "ITEM-1", "issued" : { "date-parts" : [ [ "2010" ] ] }, "page" : "259-317", "title" : "Chapter Five: Indirect prime-to-behavior effects: The role of perceptions of the self, others, and situations in connecting primed constructs to social behavior", "type" : "article", "volume" : "42" }, "uris" : [ "http://www.mendeley.com/documents/?uuid=a5348cde-c274-36a8-9e37-e4805662b8fc" ] } ], "mendeley" : { "formattedCitation" : "(Smeesters et al., 2010)", "plainTextFormattedCitation" : "(Smeesters et al., 2010)", "previouslyFormattedCitation" : "(Smeesters et al., 2010)" }, "properties" : { "noteIndex" : 0 }, "schema" : "https://github.com/citation-style-language/schema/raw/master/csl-citation.json" }</w:instrText>
      </w:r>
      <w:r w:rsidR="00B06E70">
        <w:rPr>
          <w:sz w:val="24"/>
          <w:szCs w:val="24"/>
        </w:rPr>
        <w:fldChar w:fldCharType="separate"/>
      </w:r>
      <w:r w:rsidR="00B573F8" w:rsidRPr="00B573F8">
        <w:rPr>
          <w:noProof/>
          <w:sz w:val="24"/>
          <w:szCs w:val="24"/>
        </w:rPr>
        <w:t>(Smeesters et al., 2010)</w:t>
      </w:r>
      <w:r w:rsidR="00B06E70">
        <w:rPr>
          <w:sz w:val="24"/>
          <w:szCs w:val="24"/>
        </w:rPr>
        <w:fldChar w:fldCharType="end"/>
      </w:r>
      <w:r w:rsidR="0078667D">
        <w:rPr>
          <w:sz w:val="24"/>
          <w:szCs w:val="24"/>
        </w:rPr>
        <w:t xml:space="preserve">. Thus, for example, priming the concept of elderly only worsens the memory of participants that have been in contact with elderly people and have a mental association between elderly and memory loss </w:t>
      </w:r>
      <w:r w:rsidR="00B06E70">
        <w:rPr>
          <w:sz w:val="24"/>
          <w:szCs w:val="24"/>
        </w:rPr>
        <w:fldChar w:fldCharType="begin" w:fldLock="1"/>
      </w:r>
      <w:r w:rsidR="003B6F19">
        <w:rPr>
          <w:sz w:val="24"/>
          <w:szCs w:val="24"/>
        </w:rPr>
        <w:instrText>ADDIN CSL_CITATION { "citationItems" : [ { "id" : "ITEM-1", "itemData" : { "DOI" : "10.1006/jesp.2000.1427", "ISBN" : "0022-1031", "ISSN" : "00221031", "PMID" : "20081231", "abstract" : "In two experiments the relation between past contact, stereotypic associative strength, and stereotype activation effects on memory performance was investigated. It was hypothesized that, for some stereotypes, contact can lead to the development of stronger stereotypical associations. Associative strength, in turn, was expected to determine stereotype activation effects on behavior (in this case, memory performance). In Experiment 1, it was shown that people who reported to have had much previous contact with elderly people performed worse on a memory (free recall) test after being primed with the stereotype of the elderly. People who reported to have had little previous contact did not show any effects of priming. In Experiment 2, we confirmed that this effect is mediated by associative strength. People who reported to have had a lot of contact with the elderly had developed an association between the category elderly and the attribute \u201cforgetfulness.\u201d The strength of this association, in turn, predicted the degree of memory impairment after activation of the category elderly.", "author" : [ { "dropping-particle" : "", "family" : "Dijksterhuis", "given" : "Ap", "non-dropping-particle" : "", "parse-names" : false, "suffix" : "" }, { "dropping-particle" : "", "family" : "Aarts", "given" : "Henk", "non-dropping-particle" : "", "parse-names" : false, "suffix" : "" }, { "dropping-particle" : "", "family" : "Bargh", "given" : "John A.", "non-dropping-particle" : "", "parse-names" : false, "suffix" : "" }, { "dropping-particle" : "", "family" : "Knippenberg", "given" : "A.", "non-dropping-particle" : "van", "parse-names" : false, "suffix" : "" } ], "container-title" : "Journal of Experimental Social Psychology", "id" : "ITEM-1", "issued" : { "date-parts" : [ [ "2000" ] ] }, "page" : "531-544", "title" : "On the relation between associative strength and automatic behavior.", "type" : "article-journal", "volume" : "36" }, "uris" : [ "http://www.mendeley.com/documents/?uuid=415f7ade-7909-40a0-86a8-b587da9a3ed9" ] } ], "mendeley" : { "formattedCitation" : "(Dijksterhuis, Aarts, Bargh, &amp; van Knippenberg, 2000)", "plainTextFormattedCitation" : "(Dijksterhuis, Aarts, Bargh, &amp; van Knippenberg, 2000)", "previouslyFormattedCitation" : "(Dijksterhuis, Aarts, Bargh, &amp; van Knippenberg, 2000)" }, "properties" : { "noteIndex" : 0 }, "schema" : "https://github.com/citation-style-language/schema/raw/master/csl-citation.json" }</w:instrText>
      </w:r>
      <w:r w:rsidR="00B06E70">
        <w:rPr>
          <w:sz w:val="24"/>
          <w:szCs w:val="24"/>
        </w:rPr>
        <w:fldChar w:fldCharType="separate"/>
      </w:r>
      <w:r w:rsidR="00B573F8" w:rsidRPr="00B573F8">
        <w:rPr>
          <w:noProof/>
          <w:sz w:val="24"/>
          <w:szCs w:val="24"/>
        </w:rPr>
        <w:t>(Dijksterhuis, Aarts, Bargh, &amp; van Knippenberg, 2000)</w:t>
      </w:r>
      <w:r w:rsidR="00B06E70">
        <w:rPr>
          <w:sz w:val="24"/>
          <w:szCs w:val="24"/>
        </w:rPr>
        <w:fldChar w:fldCharType="end"/>
      </w:r>
      <w:r w:rsidR="0078667D" w:rsidRPr="00B243E6">
        <w:rPr>
          <w:sz w:val="24"/>
          <w:szCs w:val="24"/>
        </w:rPr>
        <w:t>.</w:t>
      </w:r>
      <w:r w:rsidR="0078667D">
        <w:rPr>
          <w:sz w:val="24"/>
          <w:szCs w:val="24"/>
        </w:rPr>
        <w:t xml:space="preserve"> </w:t>
      </w:r>
    </w:p>
    <w:p w:rsidR="0078667D" w:rsidRDefault="0078667D" w:rsidP="00AE640B">
      <w:pPr>
        <w:spacing w:line="480" w:lineRule="auto"/>
        <w:ind w:firstLine="720"/>
        <w:jc w:val="both"/>
        <w:rPr>
          <w:sz w:val="24"/>
          <w:szCs w:val="24"/>
        </w:rPr>
      </w:pPr>
      <w:r>
        <w:rPr>
          <w:sz w:val="24"/>
          <w:szCs w:val="24"/>
        </w:rPr>
        <w:t xml:space="preserve">Unexpectedly, Study 2c did not observe an effect of </w:t>
      </w:r>
      <w:r w:rsidR="00314860">
        <w:rPr>
          <w:sz w:val="24"/>
          <w:szCs w:val="24"/>
        </w:rPr>
        <w:t xml:space="preserve">the </w:t>
      </w:r>
      <w:r>
        <w:rPr>
          <w:sz w:val="24"/>
          <w:szCs w:val="24"/>
        </w:rPr>
        <w:t xml:space="preserve">priming task on the behaviour of the participants, in that participants did not use more worsening IER nor chose a worsening IER goal when primed. One explanation is that the task used in Studies 2a and 2b provided participants with the opportunity of regulating the emotions of a fictional character, while in Study 2c the task provided participants with the opportunity of regulating the emotions of a romantic ex-partner. Thus the effect of the prime may have been affected by the target of the IER. Specifically, it is possible that the kind of relationship participants may have had with their romantic ex-partner overshadowed the effect that the priming task may have had, and participants instead pursued the regulatory goals represented by their ex-partner. </w:t>
      </w:r>
    </w:p>
    <w:p w:rsidR="0078667D" w:rsidRDefault="0078667D" w:rsidP="00AE640B">
      <w:pPr>
        <w:spacing w:line="480" w:lineRule="auto"/>
        <w:ind w:firstLine="720"/>
        <w:jc w:val="both"/>
        <w:rPr>
          <w:sz w:val="24"/>
          <w:szCs w:val="24"/>
        </w:rPr>
      </w:pPr>
      <w:r>
        <w:rPr>
          <w:sz w:val="24"/>
          <w:szCs w:val="24"/>
        </w:rPr>
        <w:t xml:space="preserve">In summary, the methods used in the present thesis </w:t>
      </w:r>
      <w:r w:rsidR="00314860">
        <w:rPr>
          <w:sz w:val="24"/>
          <w:szCs w:val="24"/>
        </w:rPr>
        <w:t>provide an initial promising scenario to study</w:t>
      </w:r>
      <w:r>
        <w:rPr>
          <w:sz w:val="24"/>
          <w:szCs w:val="24"/>
        </w:rPr>
        <w:t xml:space="preserve"> AIER but it is important to consider the factors that contributed to their effectiveness (goals, cognitive load, and depletion). The self-report scale used to measure AIER in Study 1 (the SRBAI), and the modified EROS questionnaire have not been used before (to the researchers knowledge) to study AIER, which make them </w:t>
      </w:r>
      <w:r>
        <w:rPr>
          <w:sz w:val="24"/>
          <w:szCs w:val="24"/>
        </w:rPr>
        <w:lastRenderedPageBreak/>
        <w:t xml:space="preserve">potential useful tools for researchers who want to study AIER in the future. Apart from providing evidence of AIER occurring, these studies showed two features of AIER, the first one being that it occurs more frequently in close, relative to distant, relationships, and the second being that forms of improving AIER seem to be more abundant than worsening forms of AIER. In the next two sections these two findings will be discussed in more detail. </w:t>
      </w:r>
    </w:p>
    <w:p w:rsidR="0078667D" w:rsidRPr="00C348FB" w:rsidRDefault="0078667D" w:rsidP="00AE640B">
      <w:pPr>
        <w:spacing w:line="480" w:lineRule="auto"/>
        <w:ind w:firstLine="720"/>
        <w:jc w:val="both"/>
        <w:rPr>
          <w:i/>
          <w:sz w:val="24"/>
          <w:szCs w:val="24"/>
        </w:rPr>
      </w:pPr>
      <w:r>
        <w:rPr>
          <w:i/>
          <w:sz w:val="24"/>
          <w:szCs w:val="24"/>
        </w:rPr>
        <w:t>6.2.1 AIER with close others</w:t>
      </w:r>
    </w:p>
    <w:p w:rsidR="0078667D" w:rsidRDefault="0078667D" w:rsidP="00AE640B">
      <w:pPr>
        <w:spacing w:line="480" w:lineRule="auto"/>
        <w:ind w:firstLine="720"/>
        <w:jc w:val="both"/>
        <w:rPr>
          <w:sz w:val="24"/>
          <w:szCs w:val="24"/>
        </w:rPr>
      </w:pPr>
      <w:r>
        <w:rPr>
          <w:sz w:val="24"/>
          <w:szCs w:val="24"/>
        </w:rPr>
        <w:t>The studies reported in this thesis suggest that improving AIER happens most frequently in the context of close relationships. C</w:t>
      </w:r>
      <w:r w:rsidRPr="00B37B97">
        <w:rPr>
          <w:sz w:val="24"/>
          <w:szCs w:val="24"/>
        </w:rPr>
        <w:t xml:space="preserve">lose others have been associated </w:t>
      </w:r>
      <w:r>
        <w:rPr>
          <w:sz w:val="24"/>
          <w:szCs w:val="24"/>
        </w:rPr>
        <w:t>with</w:t>
      </w:r>
      <w:r w:rsidRPr="00B37B97">
        <w:rPr>
          <w:sz w:val="24"/>
          <w:szCs w:val="24"/>
        </w:rPr>
        <w:t xml:space="preserve"> several different automatic processes. For example, </w:t>
      </w:r>
      <w:proofErr w:type="spellStart"/>
      <w:r w:rsidRPr="00B37B97">
        <w:rPr>
          <w:sz w:val="24"/>
          <w:szCs w:val="24"/>
        </w:rPr>
        <w:t>Karremans</w:t>
      </w:r>
      <w:proofErr w:type="spellEnd"/>
      <w:r w:rsidRPr="00B37B97">
        <w:rPr>
          <w:sz w:val="24"/>
          <w:szCs w:val="24"/>
        </w:rPr>
        <w:t xml:space="preserve"> and </w:t>
      </w:r>
      <w:proofErr w:type="spellStart"/>
      <w:r w:rsidRPr="00B37B97">
        <w:rPr>
          <w:sz w:val="24"/>
          <w:szCs w:val="24"/>
        </w:rPr>
        <w:t>Aarts</w:t>
      </w:r>
      <w:proofErr w:type="spellEnd"/>
      <w:r w:rsidRPr="00B37B97">
        <w:rPr>
          <w:sz w:val="24"/>
          <w:szCs w:val="24"/>
        </w:rPr>
        <w:t xml:space="preserve"> </w:t>
      </w:r>
      <w:r>
        <w:rPr>
          <w:sz w:val="24"/>
          <w:szCs w:val="24"/>
        </w:rPr>
        <w:t xml:space="preserve">(2007) found that nonconsciously priming </w:t>
      </w:r>
      <w:r w:rsidRPr="00B37B97">
        <w:rPr>
          <w:sz w:val="24"/>
          <w:szCs w:val="24"/>
        </w:rPr>
        <w:t>the representation of close others led participants to automatically forgive,</w:t>
      </w:r>
      <w:r>
        <w:rPr>
          <w:sz w:val="24"/>
          <w:szCs w:val="24"/>
        </w:rPr>
        <w:t xml:space="preserve"> and that</w:t>
      </w:r>
      <w:r w:rsidRPr="00B37B97">
        <w:rPr>
          <w:sz w:val="24"/>
          <w:szCs w:val="24"/>
        </w:rPr>
        <w:t xml:space="preserve"> they expended less cognitive resources when forgiving a close other than when forgiving an acquaintance.</w:t>
      </w:r>
      <w:r>
        <w:rPr>
          <w:sz w:val="24"/>
          <w:szCs w:val="24"/>
        </w:rPr>
        <w:t xml:space="preserve"> The notion</w:t>
      </w:r>
      <w:r w:rsidRPr="00B37B97">
        <w:rPr>
          <w:sz w:val="24"/>
          <w:szCs w:val="24"/>
        </w:rPr>
        <w:t xml:space="preserve"> that close others activate automatic </w:t>
      </w:r>
      <w:r>
        <w:rPr>
          <w:sz w:val="24"/>
          <w:szCs w:val="24"/>
        </w:rPr>
        <w:t>IER may</w:t>
      </w:r>
      <w:r w:rsidRPr="00B37B97">
        <w:rPr>
          <w:sz w:val="24"/>
          <w:szCs w:val="24"/>
        </w:rPr>
        <w:t xml:space="preserve"> hel</w:t>
      </w:r>
      <w:r w:rsidR="001A48EF">
        <w:rPr>
          <w:sz w:val="24"/>
          <w:szCs w:val="24"/>
        </w:rPr>
        <w:t>p researchers, clinicians, to name some examples, to</w:t>
      </w:r>
      <w:r w:rsidRPr="00B37B97">
        <w:rPr>
          <w:sz w:val="24"/>
          <w:szCs w:val="24"/>
        </w:rPr>
        <w:t xml:space="preserve"> better understand close interpersonal relationships and hopefully find ways to improve the quality of relationships and consequently, the mental and physical health of people. </w:t>
      </w:r>
    </w:p>
    <w:p w:rsidR="0078667D" w:rsidRDefault="00B06E70" w:rsidP="00AE640B">
      <w:pPr>
        <w:spacing w:line="480" w:lineRule="auto"/>
        <w:ind w:firstLine="720"/>
        <w:jc w:val="both"/>
        <w:rPr>
          <w:sz w:val="24"/>
          <w:szCs w:val="24"/>
        </w:rPr>
      </w:pPr>
      <w:r>
        <w:rPr>
          <w:sz w:val="24"/>
          <w:szCs w:val="24"/>
        </w:rPr>
        <w:fldChar w:fldCharType="begin" w:fldLock="1"/>
      </w:r>
      <w:r w:rsidR="00447A9F">
        <w:rPr>
          <w:sz w:val="24"/>
          <w:szCs w:val="24"/>
        </w:rPr>
        <w:instrText>ADDIN CSL_CITATION { "citationItems" : [ { "id" : "ITEM-1", "itemData" : { "DOI" : "10.1037/0033-2909.124.1.54", "ISBN" : "1939-1455(Electronic);0033-2909(Print)", "ISSN" : "0033-2909", "PMID" : "1703", "abstract" : "Past behavior guides future responses through 2 processes. Well-practiced behaviors in constant contexts recur because the processing that initiates and controls their performance becomes automatic. Frequency of past behavior then reflects habit strength and has a direct effect on future performance. Alternately, when behaviors are not well learned or when they are performed in unstable or difficult contexts, conscious decision making is likely to be necessary to initiate and carry out the behavior. Under these conditions, past behavior (along with attitudes and subjective norms) may contribute to intentions, and behavior is guided by intentions. These relations between past behavior and future behavior are substantiated in a meta-analytic synthesis of prior research on behavior prediction and in a primary research investigation. In everyday explanations of behavior, habits denote one's customary ways of behaving. Claiming that one performed a behavior because of habit provides an understandable explana-tion for an act that otherwise might seem irrational or even harmful. Habits also are featured in the popular psychology literature in the form of self-help books designed to identify readers' existing habits, evaluate habits' effectiveness in meeting goals, and establish more desirable habits. Habits are not, how-ever, important constructs in most contemporary social psycho-logical models of human behavior. Early in their careers, most psychology graduate students learn that frequency of past behavior, a standard indicator of habit strength (Triandis, 1977, 1980), is the best predictor of future behavior. This truism is typically paired, however, with the caveat that the past-behavior-future-behavior relationship is not especially meaningful. According to one version of the argument, past behavior is simply a proxy variable for a multi-tude of psychological factors that generate consistency in re-sponse. Among the constructs that might be represented by past behavior is attitude toward the action, and any link between past behavior and future behavior might be due to this evaluative disposition.", "author" : [ { "dropping-particle" : "", "family" : "Ouellette", "given" : "Judith A", "non-dropping-particle" : "", "parse-names" : false, "suffix" : "" }, { "dropping-particle" : "", "family" : "Wood", "given" : "Wendy", "non-dropping-particle" : "", "parse-names" : false, "suffix" : "" }, { "dropping-particle" : "", "family" : "Bushman", "given" : "Brad", "non-dropping-particle" : "", "parse-names" : false, "suffix" : "" }, { "dropping-particle" : "", "family" : "Johnson", "given" : "Blair", "non-dropping-particle" : "", "parse-names" : false, "suffix" : "" }, { "dropping-particle" : "", "family" : "Pool", "given" : "Gregory", "non-dropping-particle" : "", "parse-names" : false, "suffix" : "" }, { "dropping-particle" : "", "family" : "Prislin", "given" : "Radmila", "non-dropping-particle" : "", "parse-names" : false, "suffix" : "" }, { "dropping-particle" : "", "family" : "Ouellette", "given" : "A", "non-dropping-particle" : "", "parse-names" : false, "suffix" : "" } ], "container-title" : "Psychological Bulletin", "id" : "ITEM-1", "issue" : "1", "issued" : { "date-parts" : [ [ "1998" ] ] }, "page" : "124-54", "title" : "Habit and Intention in Everyday Life: The Multiple Processes by Which Past Behavior Predicts Future Behavior", "type" : "article-journal", "volume" : "124" }, "uris" : [ "http://www.mendeley.com/documents/?uuid=af8e54e0-1155-42a9-bb8e-e4eaf301f0fb" ] } ], "mendeley" : { "formattedCitation" : "(Ouellette et al., 1998)", "manualFormatting" : "Ouellette et al. (1998)", "plainTextFormattedCitation" : "(Ouellette et al., 1998)", "previouslyFormattedCitation" : "(Ouellette et al., 1998)" }, "properties" : { "noteIndex" : 0 }, "schema" : "https://github.com/citation-style-language/schema/raw/master/csl-citation.json" }</w:instrText>
      </w:r>
      <w:r>
        <w:rPr>
          <w:sz w:val="24"/>
          <w:szCs w:val="24"/>
        </w:rPr>
        <w:fldChar w:fldCharType="separate"/>
      </w:r>
      <w:r w:rsidR="003B6F19" w:rsidRPr="003B6F19">
        <w:rPr>
          <w:noProof/>
          <w:sz w:val="24"/>
          <w:szCs w:val="24"/>
        </w:rPr>
        <w:t xml:space="preserve">Ouellette et al. </w:t>
      </w:r>
      <w:r w:rsidR="003B6F19">
        <w:rPr>
          <w:noProof/>
          <w:sz w:val="24"/>
          <w:szCs w:val="24"/>
        </w:rPr>
        <w:t>(</w:t>
      </w:r>
      <w:r w:rsidR="003B6F19" w:rsidRPr="003B6F19">
        <w:rPr>
          <w:noProof/>
          <w:sz w:val="24"/>
          <w:szCs w:val="24"/>
        </w:rPr>
        <w:t>1998)</w:t>
      </w:r>
      <w:r>
        <w:rPr>
          <w:sz w:val="24"/>
          <w:szCs w:val="24"/>
        </w:rPr>
        <w:fldChar w:fldCharType="end"/>
      </w:r>
      <w:r w:rsidR="0078667D" w:rsidRPr="00B37B97">
        <w:rPr>
          <w:sz w:val="24"/>
          <w:szCs w:val="24"/>
        </w:rPr>
        <w:t xml:space="preserve"> meta-analysis showed that the influence of past behaviour on future behaviour was most pronounced for behaviours that are executed frequently (that is, on a daily basis) and consistently in a stable context. Behaviours that are carried out less often were more accurately predicted by consciously formed intentions towards the behaviour (see </w:t>
      </w:r>
      <w:r>
        <w:rPr>
          <w:sz w:val="24"/>
          <w:szCs w:val="24"/>
        </w:rPr>
        <w:fldChar w:fldCharType="begin" w:fldLock="1"/>
      </w:r>
      <w:r w:rsidR="00447A9F">
        <w:rPr>
          <w:sz w:val="24"/>
          <w:szCs w:val="24"/>
        </w:rPr>
        <w:instrText>ADDIN CSL_CITATION { "citationItems" : [ { "id" : "ITEM-1", "itemData" : { "DOI" : "10.1111/j.1559-1816.1998.tb01681.x", "ISBN" : "0021-9029", "ISSN" : "0021-9029", "PMID" : "14933", "abstract" : "This paper summarizes research on determinants of repeated behaviors, and the decision processes underlying them. The present research focuses on travel mode choices as an example of such behaviors. It is proposed that when behavior is performed repeatedly and becomes habitual, it is guided by automated cognitive processes, rather than being preceded by elaborate decision processes (i.e., a decision based on attitudes and intentions). First, current attitude-behavior models are discussed, and the role of habit in these models is examined. Second, research is presented on the decision processes preceding travel mode choices. Based on the present theoretical and empirical overview, it is concluded that frequently performed behavior is often a matter of habit, thereby establishing a boundary condition for the applicability of attitude-behavior models. However, more systematic research is required to disentangle the role of habit in attitude-behavior models and to learn more about the cognitive processes underlying habitual behavior.", "author" : [ { "dropping-particle" : "", "family" : "Aarts", "given" : "Henk", "non-dropping-particle" : "", "parse-names" : false, "suffix" : "" }, { "dropping-particle" : "", "family" : "Verplanken", "given" : "Bas", "non-dropping-particle" : "", "parse-names" : false, "suffix" : "" }, { "dropping-particle" : "", "family" : "Knippenberg", "given" : "Ad", "non-dropping-particle" : "", "parse-names" : false, "suffix" : "" } ], "container-title" : "Journal of Applied Social Psychology", "id" : "ITEM-1", "issue" : "15", "issued" : { "date-parts" : [ [ "1998" ] ] }, "page" : "1355-1374", "title" : "Predicting Behavior From Actions in the Past: Repeated Decision Making or a Matter of Habit?", "type" : "article-journal", "volume" : "28" }, "uris" : [ "http://www.mendeley.com/documents/?uuid=4ea467c8-2d3a-4064-9e47-839c41e31e6c" ] } ], "mendeley" : { "formattedCitation" : "(Aarts, Verplanken, &amp; Knippenberg, 1998)", "manualFormatting" : "Aarts, Verplanken, &amp; Knippenberg, 1998", "plainTextFormattedCitation" : "(Aarts, Verplanken, &amp; Knippenberg, 1998)", "previouslyFormattedCitation" : "(Aarts, Verplanken, &amp; Knippenberg, 1998)" }, "properties" : { "noteIndex" : 0 }, "schema" : "https://github.com/citation-style-language/schema/raw/master/csl-citation.json" }</w:instrText>
      </w:r>
      <w:r>
        <w:rPr>
          <w:sz w:val="24"/>
          <w:szCs w:val="24"/>
        </w:rPr>
        <w:fldChar w:fldCharType="separate"/>
      </w:r>
      <w:r w:rsidR="00447A9F" w:rsidRPr="00447A9F">
        <w:rPr>
          <w:noProof/>
          <w:sz w:val="24"/>
          <w:szCs w:val="24"/>
        </w:rPr>
        <w:t>Aarts, Verplanken, &amp; Knippenberg, 1998</w:t>
      </w:r>
      <w:r>
        <w:rPr>
          <w:sz w:val="24"/>
          <w:szCs w:val="24"/>
        </w:rPr>
        <w:fldChar w:fldCharType="end"/>
      </w:r>
      <w:r w:rsidR="00447A9F">
        <w:rPr>
          <w:sz w:val="24"/>
          <w:szCs w:val="24"/>
        </w:rPr>
        <w:t>,</w:t>
      </w:r>
      <w:r w:rsidR="0078667D" w:rsidRPr="00B37B97">
        <w:rPr>
          <w:sz w:val="24"/>
          <w:szCs w:val="24"/>
        </w:rPr>
        <w:t xml:space="preserve"> for a similar observation in the domain of travel behaviour). This could help </w:t>
      </w:r>
      <w:r w:rsidR="0078667D">
        <w:rPr>
          <w:sz w:val="24"/>
          <w:szCs w:val="24"/>
        </w:rPr>
        <w:t xml:space="preserve">to </w:t>
      </w:r>
      <w:r w:rsidR="0078667D" w:rsidRPr="00B37B97">
        <w:rPr>
          <w:sz w:val="24"/>
          <w:szCs w:val="24"/>
        </w:rPr>
        <w:t xml:space="preserve">explain the findings </w:t>
      </w:r>
      <w:r w:rsidR="0078667D">
        <w:rPr>
          <w:sz w:val="24"/>
          <w:szCs w:val="24"/>
        </w:rPr>
        <w:t>observed in the present thesis</w:t>
      </w:r>
      <w:r w:rsidR="0078667D" w:rsidRPr="00B37B97">
        <w:rPr>
          <w:sz w:val="24"/>
          <w:szCs w:val="24"/>
        </w:rPr>
        <w:t xml:space="preserve">. In </w:t>
      </w:r>
      <w:r w:rsidR="0078667D">
        <w:rPr>
          <w:sz w:val="24"/>
          <w:szCs w:val="24"/>
        </w:rPr>
        <w:t>Study 1</w:t>
      </w:r>
      <w:r w:rsidR="0078667D" w:rsidRPr="00B37B97">
        <w:rPr>
          <w:sz w:val="24"/>
          <w:szCs w:val="24"/>
        </w:rPr>
        <w:t xml:space="preserve"> the frequency </w:t>
      </w:r>
      <w:r w:rsidR="0078667D">
        <w:rPr>
          <w:sz w:val="24"/>
          <w:szCs w:val="24"/>
        </w:rPr>
        <w:t>with which the participants likely</w:t>
      </w:r>
      <w:r w:rsidR="0078667D" w:rsidRPr="00B37B97">
        <w:rPr>
          <w:sz w:val="24"/>
          <w:szCs w:val="24"/>
        </w:rPr>
        <w:t xml:space="preserve"> interact</w:t>
      </w:r>
      <w:r w:rsidR="0078667D">
        <w:rPr>
          <w:sz w:val="24"/>
          <w:szCs w:val="24"/>
        </w:rPr>
        <w:t xml:space="preserve">ed </w:t>
      </w:r>
      <w:r w:rsidR="0078667D">
        <w:rPr>
          <w:sz w:val="24"/>
          <w:szCs w:val="24"/>
        </w:rPr>
        <w:lastRenderedPageBreak/>
        <w:t xml:space="preserve">with </w:t>
      </w:r>
      <w:r w:rsidR="0078667D" w:rsidRPr="00B37B97">
        <w:rPr>
          <w:sz w:val="24"/>
          <w:szCs w:val="24"/>
        </w:rPr>
        <w:t xml:space="preserve">close others probably </w:t>
      </w:r>
      <w:r w:rsidR="0078667D">
        <w:rPr>
          <w:sz w:val="24"/>
          <w:szCs w:val="24"/>
        </w:rPr>
        <w:t>meant</w:t>
      </w:r>
      <w:r w:rsidR="0078667D" w:rsidRPr="00B37B97">
        <w:rPr>
          <w:sz w:val="24"/>
          <w:szCs w:val="24"/>
        </w:rPr>
        <w:t xml:space="preserve"> that a conscious intention to </w:t>
      </w:r>
      <w:r w:rsidR="0078667D">
        <w:rPr>
          <w:sz w:val="24"/>
          <w:szCs w:val="24"/>
        </w:rPr>
        <w:t xml:space="preserve">use </w:t>
      </w:r>
      <w:r w:rsidR="0078667D" w:rsidRPr="00B37B97">
        <w:rPr>
          <w:sz w:val="24"/>
          <w:szCs w:val="24"/>
        </w:rPr>
        <w:t xml:space="preserve">IER is not required. In the case of </w:t>
      </w:r>
      <w:r w:rsidR="0078667D">
        <w:rPr>
          <w:sz w:val="24"/>
          <w:szCs w:val="24"/>
        </w:rPr>
        <w:t>S</w:t>
      </w:r>
      <w:r w:rsidR="0078667D" w:rsidRPr="00B37B97">
        <w:rPr>
          <w:sz w:val="24"/>
          <w:szCs w:val="24"/>
        </w:rPr>
        <w:t xml:space="preserve">tudy 2C, </w:t>
      </w:r>
      <w:r w:rsidR="0078667D">
        <w:rPr>
          <w:sz w:val="24"/>
          <w:szCs w:val="24"/>
        </w:rPr>
        <w:t xml:space="preserve">however, </w:t>
      </w:r>
      <w:r w:rsidR="0078667D" w:rsidRPr="00B37B97">
        <w:rPr>
          <w:sz w:val="24"/>
          <w:szCs w:val="24"/>
        </w:rPr>
        <w:t xml:space="preserve">an ex-partner might not be someone with who participants </w:t>
      </w:r>
      <w:r w:rsidR="0078667D">
        <w:rPr>
          <w:sz w:val="24"/>
          <w:szCs w:val="24"/>
        </w:rPr>
        <w:t xml:space="preserve">(currently) </w:t>
      </w:r>
      <w:r w:rsidR="0078667D" w:rsidRPr="00B37B97">
        <w:rPr>
          <w:sz w:val="24"/>
          <w:szCs w:val="24"/>
        </w:rPr>
        <w:t>interact</w:t>
      </w:r>
      <w:r w:rsidR="0078667D">
        <w:rPr>
          <w:sz w:val="24"/>
          <w:szCs w:val="24"/>
        </w:rPr>
        <w:t xml:space="preserve"> with</w:t>
      </w:r>
      <w:r w:rsidR="0078667D" w:rsidRPr="00B37B97">
        <w:rPr>
          <w:sz w:val="24"/>
          <w:szCs w:val="24"/>
        </w:rPr>
        <w:t xml:space="preserve"> on regular basis, thus the habits associated </w:t>
      </w:r>
      <w:r w:rsidR="0078667D">
        <w:rPr>
          <w:sz w:val="24"/>
          <w:szCs w:val="24"/>
        </w:rPr>
        <w:t>with</w:t>
      </w:r>
      <w:r w:rsidR="0078667D" w:rsidRPr="00B37B97">
        <w:rPr>
          <w:sz w:val="24"/>
          <w:szCs w:val="24"/>
        </w:rPr>
        <w:t xml:space="preserve"> the interaction between the participant and this ex-partner could have disappeared or could be weakened</w:t>
      </w:r>
      <w:r w:rsidR="0078667D">
        <w:rPr>
          <w:sz w:val="24"/>
          <w:szCs w:val="24"/>
        </w:rPr>
        <w:t xml:space="preserve">. </w:t>
      </w:r>
      <w:r w:rsidR="001A48EF">
        <w:rPr>
          <w:sz w:val="24"/>
          <w:szCs w:val="24"/>
        </w:rPr>
        <w:t xml:space="preserve">Future research should explore frequency of interaction to be able to determine if it affects the use of automatic behaviours. </w:t>
      </w:r>
      <w:r w:rsidR="0078667D">
        <w:rPr>
          <w:sz w:val="24"/>
          <w:szCs w:val="24"/>
        </w:rPr>
        <w:t>This may explain why</w:t>
      </w:r>
      <w:r w:rsidR="0078667D" w:rsidRPr="00B37B97">
        <w:rPr>
          <w:sz w:val="24"/>
          <w:szCs w:val="24"/>
        </w:rPr>
        <w:t xml:space="preserve"> a conscious intention (a IER goal in this case) to regulate the emotions of the ex-partner predicted the behaviour of participants </w:t>
      </w:r>
      <w:r w:rsidR="0078667D">
        <w:rPr>
          <w:sz w:val="24"/>
          <w:szCs w:val="24"/>
        </w:rPr>
        <w:t xml:space="preserve">in Study 2c </w:t>
      </w:r>
      <w:r w:rsidR="0078667D" w:rsidRPr="00B37B97">
        <w:rPr>
          <w:sz w:val="24"/>
          <w:szCs w:val="24"/>
        </w:rPr>
        <w:t>better than the prime</w:t>
      </w:r>
      <w:r w:rsidR="0078667D">
        <w:rPr>
          <w:sz w:val="24"/>
          <w:szCs w:val="24"/>
        </w:rPr>
        <w:t>.</w:t>
      </w:r>
    </w:p>
    <w:p w:rsidR="0078667D" w:rsidRDefault="0078667D" w:rsidP="00AE640B">
      <w:pPr>
        <w:spacing w:line="480" w:lineRule="auto"/>
        <w:ind w:firstLine="720"/>
        <w:jc w:val="both"/>
        <w:rPr>
          <w:i/>
          <w:sz w:val="24"/>
          <w:szCs w:val="24"/>
        </w:rPr>
      </w:pPr>
      <w:r>
        <w:rPr>
          <w:i/>
          <w:sz w:val="24"/>
          <w:szCs w:val="24"/>
        </w:rPr>
        <w:t xml:space="preserve">6.2.2 Improving </w:t>
      </w:r>
      <w:proofErr w:type="spellStart"/>
      <w:r>
        <w:rPr>
          <w:i/>
          <w:sz w:val="24"/>
          <w:szCs w:val="24"/>
        </w:rPr>
        <w:t>vs</w:t>
      </w:r>
      <w:proofErr w:type="spellEnd"/>
      <w:r>
        <w:rPr>
          <w:i/>
          <w:sz w:val="24"/>
          <w:szCs w:val="24"/>
        </w:rPr>
        <w:t xml:space="preserve"> worsening forms of AIER</w:t>
      </w:r>
    </w:p>
    <w:p w:rsidR="0078667D" w:rsidRDefault="0078667D" w:rsidP="00AE640B">
      <w:pPr>
        <w:spacing w:line="480" w:lineRule="auto"/>
        <w:ind w:firstLine="720"/>
        <w:jc w:val="both"/>
        <w:rPr>
          <w:sz w:val="24"/>
          <w:szCs w:val="24"/>
        </w:rPr>
      </w:pPr>
      <w:r>
        <w:rPr>
          <w:sz w:val="24"/>
          <w:szCs w:val="24"/>
        </w:rPr>
        <w:t>One of the findings that was consistent throughout the studies presented in this thesis was that improving forms of AIER seemed to occur more frequently than worsening forms of AIER. Even though in Study 1, participants were asked to report on both the improving and worsening forms of AIER that they used with close others and with acquaintances, neither the worsening AIER reported with close others nor the worsening AIER reported with acquaintances, reached a score on the SRBAI that could be considered to indicate that the process occurred automatically, unlike improving AIER with close others, which did seem to meet the criteria for an automatic process (e.g., that it occurred without the person thinking about it). In Study 4 this was again observed, as participants were asked to report on their use of improving and worsening IER but they barely reported using worsening IER. The very few to null reports on the participants’ use of worsening IER strategies made it impossible to investigate whether their use of worsening IER could have been automatic which is why Study 4 focused only on IER</w:t>
      </w:r>
      <w:r w:rsidRPr="00B22412">
        <w:rPr>
          <w:sz w:val="24"/>
          <w:szCs w:val="24"/>
        </w:rPr>
        <w:t xml:space="preserve"> </w:t>
      </w:r>
      <w:r>
        <w:rPr>
          <w:sz w:val="24"/>
          <w:szCs w:val="24"/>
        </w:rPr>
        <w:t xml:space="preserve">strategies designed to improve affect. Importantly, social desirability seemed not </w:t>
      </w:r>
      <w:r>
        <w:rPr>
          <w:sz w:val="24"/>
          <w:szCs w:val="24"/>
        </w:rPr>
        <w:lastRenderedPageBreak/>
        <w:t xml:space="preserve">to have affected the participants’ reports about using IER, thus, it cannot be said that it was not possible to observe worsening AIER because of this. </w:t>
      </w:r>
    </w:p>
    <w:p w:rsidR="0078667D" w:rsidRDefault="001A48EF" w:rsidP="00AE640B">
      <w:pPr>
        <w:spacing w:line="480" w:lineRule="auto"/>
        <w:ind w:firstLine="720"/>
        <w:jc w:val="both"/>
        <w:rPr>
          <w:sz w:val="24"/>
          <w:szCs w:val="24"/>
        </w:rPr>
      </w:pPr>
      <w:r>
        <w:rPr>
          <w:sz w:val="24"/>
          <w:szCs w:val="24"/>
        </w:rPr>
        <w:t>Taken together</w:t>
      </w:r>
      <w:r w:rsidR="0078667D">
        <w:rPr>
          <w:sz w:val="24"/>
          <w:szCs w:val="24"/>
        </w:rPr>
        <w:t>, the research presented in this thesis su</w:t>
      </w:r>
      <w:r>
        <w:rPr>
          <w:sz w:val="24"/>
          <w:szCs w:val="24"/>
        </w:rPr>
        <w:t xml:space="preserve">ggests that participants </w:t>
      </w:r>
      <w:r w:rsidR="0078667D">
        <w:rPr>
          <w:sz w:val="24"/>
          <w:szCs w:val="24"/>
        </w:rPr>
        <w:t xml:space="preserve">tried to automatically improve the emotions of others more often than they tried to automatically worsen them. This is supported by research and literature on IER which suggest that people use more improving forms of IER than they use worsening forms of IER (e.g., </w:t>
      </w:r>
      <w:r w:rsidR="00B06E70">
        <w:rPr>
          <w:sz w:val="24"/>
          <w:szCs w:val="24"/>
        </w:rPr>
        <w:fldChar w:fldCharType="begin" w:fldLock="1"/>
      </w:r>
      <w:r w:rsidR="005447F4">
        <w:rPr>
          <w:sz w:val="24"/>
          <w:szCs w:val="24"/>
        </w:rPr>
        <w:instrText>ADDIN CSL_CITATION { "citationItems" : [ { "id" : "ITEM-1", "itemData" : { "author" : [ { "dropping-particle" : "", "family" : "Niven", "given" : "Karen", "non-dropping-particle" : "", "parse-names" : false, "suffix" : "" }, { "dropping-particle" : "", "family" : "Totterdell", "given" : "Peter", "non-dropping-particle" : "", "parse-names" : false, "suffix" : "" }, { "dropping-particle" : "", "family" : "Holman", "given" : "David", "non-dropping-particle" : "", "parse-names" : false, "suffix" : "" } ], "container-title" : "Prison Service Journal", "id" : "ITEM-1", "issued" : { "date-parts" : [ [ "2007" ] ] }, "page" : "39-45", "title" : "Changing moods and influencing people: The use and effects of emotional influence behaviours at HMP Grendon", "type" : "article-journal", "volume" : "173" }, "uris" : [ "http://www.mendeley.com/documents/?uuid=21aad76c-f66b-40e7-ae92-5cfe42eda26e" ] }, { "id" : "ITEM-2", "itemData" : { "DOI" : "10.1080/00224545.2011.599823", "ISBN" : "0022-4545", "ISSN" : "0022-4545", "PMID" : "22468424", "abstract" : "Individuals in a variety of social contexts try to regulate other people\u2019s feelings, but how does this process affect the regulators themselves? This research aimed to establish a relationship between people\u2019s use of interpersonal affect regulation and their own affective well-being. In a field study, self- and other-reported data were collected from prisoners and staff members in a therapeutic prison using two surveys separated in time. In a laboratory study, a student sample reported their affect before and after attempting to influence the feelings of talent show contestants in a role-play task. The results of both studies indicated congruent associations between the use of affect-improving and affect- worsening interpersonal affect regulation and strategy agents\u2019 affective well-being. Our findings highlight that, when performing interpersonal affect regulation, people may not be immune from the effects of their own actions.", "author" : [ { "dropping-particle" : "", "family" : "Niven", "given" : "Karen", "non-dropping-particle" : "", "parse-names" : false, "suffix" : "" }, { "dropping-particle" : "", "family" : "Totterdell", "given" : "Peter", "non-dropping-particle" : "", "parse-names" : false, "suffix" : "" }, { "dropping-particle" : "", "family" : "Holman", "given" : "David", "non-dropping-particle" : "", "parse-names" : false, "suffix" : "" }, { "dropping-particle" : "", "family" : "Headley", "given" : "Tara", "non-dropping-particle" : "", "parse-names" : false, "suffix" : "" } ], "container-title" : "The Journal of Social Psychology", "id" : "ITEM-2", "issue" : "2", "issued" : { "date-parts" : [ [ "2012" ] ] }, "page" : "246-260", "title" : "Does Regulating Others' Feelings Influence People's Own Affective Well-Being?", "type" : "article-journal", "volume" : "152" }, "uris" : [ "http://www.mendeley.com/documents/?uuid=ab5152e6-8346-34bf-bdc3-4cc32bbf4e7a" ] } ], "mendeley" : { "formattedCitation" : "(Niven et al., 2007; Niven, Totterdell, et al., 2012)", "manualFormatting" : "Niven et al., 2007; Niven, Totterdell, et al., 2012)", "plainTextFormattedCitation" : "(Niven et al., 2007; Niven, Totterdell, et al., 2012)", "previouslyFormattedCitation" : "(Niven et al., 2007; Niven, Totterdell, et al., 2012)" }, "properties" : { "noteIndex" : 0 }, "schema" : "https://github.com/citation-style-language/schema/raw/master/csl-citation.json" }</w:instrText>
      </w:r>
      <w:r w:rsidR="00B06E70">
        <w:rPr>
          <w:sz w:val="24"/>
          <w:szCs w:val="24"/>
        </w:rPr>
        <w:fldChar w:fldCharType="separate"/>
      </w:r>
      <w:r w:rsidR="005447F4" w:rsidRPr="009A1572">
        <w:rPr>
          <w:noProof/>
          <w:sz w:val="24"/>
          <w:szCs w:val="24"/>
        </w:rPr>
        <w:t>Niven et al., 2007; Niven, Totterdell, et al., 2012)</w:t>
      </w:r>
      <w:r w:rsidR="00B06E70">
        <w:rPr>
          <w:sz w:val="24"/>
          <w:szCs w:val="24"/>
        </w:rPr>
        <w:fldChar w:fldCharType="end"/>
      </w:r>
      <w:r w:rsidR="0078667D" w:rsidRPr="009A1572">
        <w:rPr>
          <w:sz w:val="24"/>
          <w:szCs w:val="24"/>
        </w:rPr>
        <w:t xml:space="preserve">. </w:t>
      </w:r>
      <w:r w:rsidR="0078667D">
        <w:rPr>
          <w:sz w:val="24"/>
          <w:szCs w:val="24"/>
        </w:rPr>
        <w:t xml:space="preserve">This may be because improving IER, in contrast to worsening IER, may facilitate interactions between people and help people to fulfil their need for social interactions </w:t>
      </w:r>
      <w:r w:rsidR="00B06E70">
        <w:rPr>
          <w:sz w:val="24"/>
          <w:szCs w:val="24"/>
        </w:rPr>
        <w:fldChar w:fldCharType="begin" w:fldLock="1"/>
      </w:r>
      <w:r w:rsidR="00844B08">
        <w:rPr>
          <w:sz w:val="24"/>
          <w:szCs w:val="24"/>
        </w:rPr>
        <w:instrText>ADDIN CSL_CITATION { "citationItems" : [ { "id" : "ITEM-1", "itemData" : { "DOI" : "10.1037/0033-2909.117.3.497", "ISBN" : "1227401000838", "ISSN" : "0033-2909", "PMID" : "7777651", "abstract" : "A hypothesized need to form and maintain strong, stable interpersonal relationships is evaluated in light of the empirical literature. The need is for frequent, nonaversive interactions within an ongoing relational bond. Consistent with the belongingness hypothesis, people form social attachments readily under most conditions and resist the dissolution of existing bonds. Belongingness appears to have multiple and strong effects on emotional patterns and on cognitive processes. Lack of attach-ments is linked to a variety of ill effects on health, adjustment, and well-being. Other evidence, such as that concerning satiation, substitution, and behavioral consequences, is likewise consistent with the hypothesized motivation. Several seeming counterexamples turned out not to disconfirm the hypothesis. Existing evidence supports the hypothesis that the need to belong is a powerful, funda-mental, and extremely pervasive motivation.", "author" : [ { "dropping-particle" : "", "family" : "Baumeister", "given" : "Roy F", "non-dropping-particle" : "", "parse-names" : false, "suffix" : "" }, { "dropping-particle" : "", "family" : "Leary", "given" : "Mark R", "non-dropping-particle" : "", "parse-names" : false, "suffix" : "" } ], "container-title" : "Psychological Bulletin", "id" : "ITEM-1", "issue" : "3", "issued" : { "date-parts" : [ [ "1995" ] ] }, "page" : "497-529", "title" : "Baumeister &amp; Leary (1995). The Need to Belong--Desire for Interpersonal Attachments as a fundamental human emotion.pdf", "type" : "article-journal", "volume" : "117" }, "uris" : [ "http://www.mendeley.com/documents/?uuid=a3a3106b-1594-4c80-a058-ab52cf26d6ff" ] } ], "mendeley" : { "formattedCitation" : "(Baumeister &amp; Leary, 1995b)", "manualFormatting" : "(Baumeister &amp; Leary, 1995)", "plainTextFormattedCitation" : "(Baumeister &amp; Leary, 1995b)", "previouslyFormattedCitation" : "(Roy F Baumeister &amp; Leary, 1995)" }, "properties" : { "noteIndex" : 0 }, "schema" : "https://github.com/citation-style-language/schema/raw/master/csl-citation.json" }</w:instrText>
      </w:r>
      <w:r w:rsidR="00B06E70">
        <w:rPr>
          <w:sz w:val="24"/>
          <w:szCs w:val="24"/>
        </w:rPr>
        <w:fldChar w:fldCharType="separate"/>
      </w:r>
      <w:r w:rsidR="005447F4">
        <w:rPr>
          <w:noProof/>
          <w:sz w:val="24"/>
          <w:szCs w:val="24"/>
        </w:rPr>
        <w:t>(</w:t>
      </w:r>
      <w:r w:rsidR="005447F4" w:rsidRPr="005447F4">
        <w:rPr>
          <w:noProof/>
          <w:sz w:val="24"/>
          <w:szCs w:val="24"/>
        </w:rPr>
        <w:t>Baumeister &amp; Leary, 1995)</w:t>
      </w:r>
      <w:r w:rsidR="00B06E70">
        <w:rPr>
          <w:sz w:val="24"/>
          <w:szCs w:val="24"/>
        </w:rPr>
        <w:fldChar w:fldCharType="end"/>
      </w:r>
      <w:r w:rsidR="0078667D">
        <w:rPr>
          <w:sz w:val="24"/>
          <w:szCs w:val="24"/>
        </w:rPr>
        <w:t xml:space="preserve">. Another explanation for why participants in the present studies reported using more improving forms of AIER than worsening forms could be because people may expect others to reciprocate. Thus, people may use improving IER over worsening IER if they are expecting to get a similar response in return from the people they interact with. This expectation for reciprocity is something that may be habitual, as children start learning from a very young age that if, for example, they share, the person they shared with is likely to share back in the future </w:t>
      </w:r>
      <w:r w:rsidR="00B06E70">
        <w:rPr>
          <w:sz w:val="24"/>
          <w:szCs w:val="24"/>
        </w:rPr>
        <w:fldChar w:fldCharType="begin" w:fldLock="1"/>
      </w:r>
      <w:r w:rsidR="00CD576E">
        <w:rPr>
          <w:sz w:val="24"/>
          <w:szCs w:val="24"/>
        </w:rPr>
        <w:instrText>ADDIN CSL_CITATION { "citationItems" : [ { "id" : "ITEM-1", "itemData" : { "DOI" : "10.2307/1127403", "ISBN" : "1467-8624\\n0009-3920", "ISSN" : "00093920",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This content downloaded from 138.251.178.237 on Wed, 09 Mar 2016 13:06:52 UTC All use subject to JSTOR Terms and Conditions", "author" : [ { "dropping-particle" : "", "family" : "Staub", "given" : "Ervin", "non-dropping-particle" : "", "parse-names" : false, "suffix" : "" }, { "dropping-particle" : "", "family" : "Sherk", "given" : "Linda", "non-dropping-particle" : "", "parse-names" : false, "suffix" : "" } ], "container-title" : "Source: Child Development", "id" : "ITEM-1", "issue" : "1", "issued" : { "date-parts" : [ [ "1970" ] ] }, "page" : "243-252", "title" : "Need for Approval, Children's Sharing Behavior, and Reciprocity in Sharing", "type" : "article-journal", "volume" : "41" }, "uris" : [ "http://www.mendeley.com/documents/?uuid=8d92a93a-b7b8-4b37-9340-43ca289a2c6c" ] } ], "mendeley" : { "formattedCitation" : "(Staub &amp; Sherk, 1970)", "plainTextFormattedCitation" : "(Staub &amp; Sherk, 1970)", "previouslyFormattedCitation" : "(Staub &amp; Sherk, 1970)" }, "properties" : { "noteIndex" : 0 }, "schema" : "https://github.com/citation-style-language/schema/raw/master/csl-citation.json" }</w:instrText>
      </w:r>
      <w:r w:rsidR="00B06E70">
        <w:rPr>
          <w:sz w:val="24"/>
          <w:szCs w:val="24"/>
        </w:rPr>
        <w:fldChar w:fldCharType="separate"/>
      </w:r>
      <w:r w:rsidR="00CD576E" w:rsidRPr="00CD576E">
        <w:rPr>
          <w:noProof/>
          <w:sz w:val="24"/>
          <w:szCs w:val="24"/>
        </w:rPr>
        <w:t>(Staub &amp; Sherk, 1970)</w:t>
      </w:r>
      <w:r w:rsidR="00B06E70">
        <w:rPr>
          <w:sz w:val="24"/>
          <w:szCs w:val="24"/>
        </w:rPr>
        <w:fldChar w:fldCharType="end"/>
      </w:r>
      <w:r>
        <w:rPr>
          <w:sz w:val="24"/>
          <w:szCs w:val="24"/>
        </w:rPr>
        <w:t xml:space="preserve">. </w:t>
      </w:r>
      <w:r w:rsidR="0078667D">
        <w:rPr>
          <w:sz w:val="24"/>
          <w:szCs w:val="24"/>
        </w:rPr>
        <w:t>However, the notion of reciprocity also implies a degree of intentionality, which may warrant further investigation.</w:t>
      </w:r>
    </w:p>
    <w:p w:rsidR="0078667D" w:rsidRDefault="0078667D" w:rsidP="00AE640B">
      <w:pPr>
        <w:keepNext/>
        <w:spacing w:line="480" w:lineRule="auto"/>
        <w:jc w:val="both"/>
        <w:rPr>
          <w:b/>
          <w:sz w:val="24"/>
          <w:szCs w:val="24"/>
        </w:rPr>
      </w:pPr>
      <w:r w:rsidRPr="00B60564">
        <w:rPr>
          <w:b/>
          <w:sz w:val="24"/>
          <w:szCs w:val="24"/>
        </w:rPr>
        <w:t>6.3 What factors</w:t>
      </w:r>
      <w:r>
        <w:rPr>
          <w:b/>
          <w:sz w:val="24"/>
          <w:szCs w:val="24"/>
        </w:rPr>
        <w:t xml:space="preserve"> are</w:t>
      </w:r>
      <w:r w:rsidRPr="00B60564">
        <w:rPr>
          <w:b/>
          <w:sz w:val="24"/>
          <w:szCs w:val="24"/>
        </w:rPr>
        <w:t xml:space="preserve"> associated </w:t>
      </w:r>
      <w:r>
        <w:rPr>
          <w:b/>
          <w:sz w:val="24"/>
          <w:szCs w:val="24"/>
        </w:rPr>
        <w:t>with</w:t>
      </w:r>
      <w:r w:rsidRPr="00B60564">
        <w:rPr>
          <w:b/>
          <w:sz w:val="24"/>
          <w:szCs w:val="24"/>
        </w:rPr>
        <w:t xml:space="preserve"> the use of AIER?</w:t>
      </w:r>
    </w:p>
    <w:p w:rsidR="0078667D" w:rsidRDefault="0078667D" w:rsidP="00AE640B">
      <w:pPr>
        <w:spacing w:line="480" w:lineRule="auto"/>
        <w:ind w:firstLine="720"/>
        <w:jc w:val="both"/>
        <w:rPr>
          <w:sz w:val="24"/>
          <w:szCs w:val="24"/>
        </w:rPr>
      </w:pPr>
      <w:r>
        <w:rPr>
          <w:sz w:val="24"/>
          <w:szCs w:val="24"/>
        </w:rPr>
        <w:t xml:space="preserve">The present thesis also offered some evidence of the circumstances that can promote and inhibit AIER. Specifically, Study 4 showed that being under high cognitive load can make people more prone to use AIER, and it also observed that the interaction between being under high cognitive load and being depleted of regulatory resources (for </w:t>
      </w:r>
      <w:r>
        <w:rPr>
          <w:sz w:val="24"/>
          <w:szCs w:val="24"/>
        </w:rPr>
        <w:lastRenderedPageBreak/>
        <w:t xml:space="preserve">the consecutive use of regulatory resources date after date) can also make participants more likely to use AIER. </w:t>
      </w:r>
    </w:p>
    <w:p w:rsidR="00CA0BCF" w:rsidRPr="001A48EF" w:rsidRDefault="00CA0BCF" w:rsidP="00AE640B">
      <w:pPr>
        <w:spacing w:line="480" w:lineRule="auto"/>
        <w:ind w:firstLine="720"/>
        <w:jc w:val="both"/>
        <w:rPr>
          <w:sz w:val="24"/>
          <w:szCs w:val="24"/>
        </w:rPr>
      </w:pPr>
      <w:r w:rsidRPr="001A48EF">
        <w:rPr>
          <w:sz w:val="24"/>
          <w:szCs w:val="24"/>
        </w:rPr>
        <w:t>Even though the present thesis only explored self-control depletion and being engaged in a high cognitive load task as possible factors that could promote the use of AIER, th</w:t>
      </w:r>
      <w:r w:rsidR="00D4149E" w:rsidRPr="001A48EF">
        <w:rPr>
          <w:sz w:val="24"/>
          <w:szCs w:val="24"/>
        </w:rPr>
        <w:t>ese</w:t>
      </w:r>
      <w:r w:rsidRPr="001A48EF">
        <w:rPr>
          <w:sz w:val="24"/>
          <w:szCs w:val="24"/>
        </w:rPr>
        <w:t xml:space="preserve"> </w:t>
      </w:r>
      <w:r w:rsidR="00D4149E" w:rsidRPr="001A48EF">
        <w:rPr>
          <w:sz w:val="24"/>
          <w:szCs w:val="24"/>
        </w:rPr>
        <w:t xml:space="preserve">are </w:t>
      </w:r>
      <w:r w:rsidRPr="001A48EF">
        <w:rPr>
          <w:sz w:val="24"/>
          <w:szCs w:val="24"/>
        </w:rPr>
        <w:t>by no means the only factors that could promote AIER usage. An important aspect of IER that the pre</w:t>
      </w:r>
      <w:r w:rsidR="001A48EF">
        <w:rPr>
          <w:sz w:val="24"/>
          <w:szCs w:val="24"/>
        </w:rPr>
        <w:t>sent thesis did not explore was</w:t>
      </w:r>
      <w:r w:rsidRPr="001A48EF">
        <w:rPr>
          <w:sz w:val="24"/>
          <w:szCs w:val="24"/>
        </w:rPr>
        <w:t xml:space="preserve"> the emotional cues that the people one interacts with provide and that could elicit IER in those they interact with. People also engage in IER because the person they interact with displays an emotion that requires some sort of modulation. For example, the expression of fear in a child learning to ride a bicycle may communicate to the parent that reassurance is needed so the child can feel confident and safe. Several expressed emotions by one person prompt the use of IER strategies by another person they are interacting with. For example, the expression of anxiety may elicit comfort, reassurance or practical support (</w:t>
      </w:r>
      <w:proofErr w:type="spellStart"/>
      <w:r w:rsidRPr="001A48EF">
        <w:rPr>
          <w:sz w:val="24"/>
          <w:szCs w:val="24"/>
        </w:rPr>
        <w:t>Fridlund</w:t>
      </w:r>
      <w:proofErr w:type="spellEnd"/>
      <w:r w:rsidRPr="001A48EF">
        <w:rPr>
          <w:sz w:val="24"/>
          <w:szCs w:val="24"/>
        </w:rPr>
        <w:t xml:space="preserve">, 1994 in Parkinson &amp; Simons, 2012). Worry is another emotion that elicits different kinds of IER. </w:t>
      </w:r>
      <w:r w:rsidR="00435F39" w:rsidRPr="001A48EF">
        <w:rPr>
          <w:sz w:val="24"/>
          <w:szCs w:val="24"/>
        </w:rPr>
        <w:t xml:space="preserve">In two dyadic studies in romantic heterosexual couples by </w:t>
      </w:r>
      <w:r w:rsidRPr="001A48EF">
        <w:rPr>
          <w:sz w:val="24"/>
          <w:szCs w:val="24"/>
        </w:rPr>
        <w:t>Parkinson, Simons and Niven (2016)</w:t>
      </w:r>
      <w:r w:rsidR="00435F39" w:rsidRPr="001A48EF">
        <w:rPr>
          <w:sz w:val="24"/>
          <w:szCs w:val="24"/>
        </w:rPr>
        <w:t>, it was</w:t>
      </w:r>
      <w:r w:rsidRPr="001A48EF">
        <w:rPr>
          <w:sz w:val="24"/>
          <w:szCs w:val="24"/>
        </w:rPr>
        <w:t xml:space="preserve"> found that when one member of the couple (mainly the male partner) showed worry the other member engaged in calming behaviours. </w:t>
      </w:r>
      <w:r w:rsidR="00854178" w:rsidRPr="001A48EF">
        <w:rPr>
          <w:sz w:val="24"/>
          <w:szCs w:val="24"/>
        </w:rPr>
        <w:t>Interestingly, the</w:t>
      </w:r>
      <w:r w:rsidR="00435F39" w:rsidRPr="001A48EF">
        <w:rPr>
          <w:sz w:val="24"/>
          <w:szCs w:val="24"/>
        </w:rPr>
        <w:t xml:space="preserve"> researchers</w:t>
      </w:r>
      <w:r w:rsidR="00854178" w:rsidRPr="001A48EF">
        <w:rPr>
          <w:sz w:val="24"/>
          <w:szCs w:val="24"/>
        </w:rPr>
        <w:t xml:space="preserve"> found that the participants whose </w:t>
      </w:r>
      <w:r w:rsidR="00435F39" w:rsidRPr="001A48EF">
        <w:rPr>
          <w:sz w:val="24"/>
          <w:szCs w:val="24"/>
        </w:rPr>
        <w:t>dispositional experience of worry was greater, received more interpersonal calming from their partners. This was again mostly true fo</w:t>
      </w:r>
      <w:r w:rsidR="00402CA7">
        <w:rPr>
          <w:sz w:val="24"/>
          <w:szCs w:val="24"/>
        </w:rPr>
        <w:t>r the female partner’s whose male</w:t>
      </w:r>
      <w:r w:rsidR="00435F39" w:rsidRPr="001A48EF">
        <w:rPr>
          <w:sz w:val="24"/>
          <w:szCs w:val="24"/>
        </w:rPr>
        <w:t xml:space="preserve"> partner’s experience of worry was greater. </w:t>
      </w:r>
      <w:r w:rsidR="00D4149E" w:rsidRPr="001A48EF">
        <w:rPr>
          <w:sz w:val="24"/>
          <w:szCs w:val="24"/>
        </w:rPr>
        <w:t xml:space="preserve">The latter finding could be a potential area of research for AIER. If it was the case that individual differences in the experience (and probably expression) of certain emotions of the people one interact with (e.g. a </w:t>
      </w:r>
      <w:r w:rsidR="00D4149E" w:rsidRPr="001A48EF">
        <w:rPr>
          <w:sz w:val="24"/>
          <w:szCs w:val="24"/>
        </w:rPr>
        <w:lastRenderedPageBreak/>
        <w:t>romantic partner) could predict one’s use of AIER,</w:t>
      </w:r>
      <w:r w:rsidR="00402CA7">
        <w:rPr>
          <w:sz w:val="24"/>
          <w:szCs w:val="24"/>
        </w:rPr>
        <w:t xml:space="preserve"> then</w:t>
      </w:r>
      <w:r w:rsidR="00D4149E" w:rsidRPr="001A48EF">
        <w:rPr>
          <w:sz w:val="24"/>
          <w:szCs w:val="24"/>
        </w:rPr>
        <w:t xml:space="preserve"> it would be interesting to explore whether living with someone who</w:t>
      </w:r>
      <w:r w:rsidR="00935D1C" w:rsidRPr="001A48EF">
        <w:rPr>
          <w:sz w:val="24"/>
          <w:szCs w:val="24"/>
        </w:rPr>
        <w:t xml:space="preserve"> continuously experiences certain emotion could predict the use of certain IER strategies </w:t>
      </w:r>
      <w:r w:rsidR="00402CA7">
        <w:rPr>
          <w:sz w:val="24"/>
          <w:szCs w:val="24"/>
        </w:rPr>
        <w:t>by the people</w:t>
      </w:r>
      <w:r w:rsidR="00935D1C" w:rsidRPr="001A48EF">
        <w:rPr>
          <w:sz w:val="24"/>
          <w:szCs w:val="24"/>
        </w:rPr>
        <w:t xml:space="preserve"> </w:t>
      </w:r>
      <w:r w:rsidR="00402CA7">
        <w:rPr>
          <w:sz w:val="24"/>
          <w:szCs w:val="24"/>
        </w:rPr>
        <w:t>this</w:t>
      </w:r>
      <w:r w:rsidR="00935D1C" w:rsidRPr="001A48EF">
        <w:rPr>
          <w:sz w:val="24"/>
          <w:szCs w:val="24"/>
        </w:rPr>
        <w:t xml:space="preserve"> person lives with. As a repeated use of cer</w:t>
      </w:r>
      <w:r w:rsidR="00402CA7">
        <w:rPr>
          <w:sz w:val="24"/>
          <w:szCs w:val="24"/>
        </w:rPr>
        <w:t>tain IER could lead to the use o</w:t>
      </w:r>
      <w:r w:rsidR="00935D1C" w:rsidRPr="001A48EF">
        <w:rPr>
          <w:sz w:val="24"/>
          <w:szCs w:val="24"/>
        </w:rPr>
        <w:t xml:space="preserve">f these IER habitually, it might be possible that frequently interacting with someone who, let’s say, experiences worry, may lead the IER regulator to automatically use calming strategies on the worried partner. </w:t>
      </w:r>
    </w:p>
    <w:p w:rsidR="00BA5BF6" w:rsidRDefault="00BA5BF6" w:rsidP="00AE640B">
      <w:pPr>
        <w:spacing w:line="480" w:lineRule="auto"/>
        <w:ind w:firstLine="720"/>
        <w:jc w:val="both"/>
        <w:rPr>
          <w:sz w:val="24"/>
          <w:szCs w:val="24"/>
        </w:rPr>
      </w:pPr>
    </w:p>
    <w:p w:rsidR="0078667D" w:rsidRDefault="0078667D" w:rsidP="00AE640B">
      <w:pPr>
        <w:spacing w:line="480" w:lineRule="auto"/>
        <w:jc w:val="both"/>
        <w:rPr>
          <w:b/>
          <w:sz w:val="24"/>
          <w:szCs w:val="24"/>
        </w:rPr>
      </w:pPr>
      <w:r w:rsidRPr="00B60564">
        <w:rPr>
          <w:b/>
          <w:sz w:val="24"/>
          <w:szCs w:val="24"/>
        </w:rPr>
        <w:t xml:space="preserve">6.4 Limitations </w:t>
      </w:r>
      <w:r>
        <w:rPr>
          <w:b/>
          <w:sz w:val="24"/>
          <w:szCs w:val="24"/>
        </w:rPr>
        <w:t>and future directions</w:t>
      </w:r>
    </w:p>
    <w:p w:rsidR="0078667D" w:rsidRDefault="0078667D" w:rsidP="00AE640B">
      <w:pPr>
        <w:spacing w:line="480" w:lineRule="auto"/>
        <w:ind w:firstLine="720"/>
        <w:jc w:val="both"/>
        <w:rPr>
          <w:rFonts w:cs="Arial"/>
          <w:color w:val="222222"/>
          <w:sz w:val="24"/>
          <w:szCs w:val="24"/>
          <w:shd w:val="clear" w:color="auto" w:fill="FFFFFF"/>
        </w:rPr>
      </w:pPr>
      <w:r w:rsidRPr="00B37B97">
        <w:rPr>
          <w:rFonts w:cs="Arial"/>
          <w:color w:val="222222"/>
          <w:sz w:val="24"/>
          <w:szCs w:val="24"/>
          <w:shd w:val="clear" w:color="auto" w:fill="FFFFFF"/>
        </w:rPr>
        <w:t>One of the things that most of the studies in the present thesis have in common is that they investigated AIER in opposite sex dy</w:t>
      </w:r>
      <w:r w:rsidR="00632BA9">
        <w:rPr>
          <w:rFonts w:cs="Arial"/>
          <w:color w:val="222222"/>
          <w:sz w:val="24"/>
          <w:szCs w:val="24"/>
          <w:shd w:val="clear" w:color="auto" w:fill="FFFFFF"/>
        </w:rPr>
        <w:t xml:space="preserve">ads. For example, in Study 1 </w:t>
      </w:r>
      <w:r w:rsidRPr="00B37B97">
        <w:rPr>
          <w:rFonts w:cs="Arial"/>
          <w:color w:val="222222"/>
          <w:sz w:val="24"/>
          <w:szCs w:val="24"/>
          <w:shd w:val="clear" w:color="auto" w:fill="FFFFFF"/>
        </w:rPr>
        <w:t xml:space="preserve">more than half the participants (62% of women and 74% of men) chose a close other of </w:t>
      </w:r>
      <w:r>
        <w:rPr>
          <w:rFonts w:cs="Arial"/>
          <w:color w:val="222222"/>
          <w:sz w:val="24"/>
          <w:szCs w:val="24"/>
          <w:shd w:val="clear" w:color="auto" w:fill="FFFFFF"/>
        </w:rPr>
        <w:t xml:space="preserve">the </w:t>
      </w:r>
      <w:r w:rsidRPr="00B37B97">
        <w:rPr>
          <w:rFonts w:cs="Arial"/>
          <w:color w:val="222222"/>
          <w:sz w:val="24"/>
          <w:szCs w:val="24"/>
          <w:shd w:val="clear" w:color="auto" w:fill="FFFFFF"/>
        </w:rPr>
        <w:t xml:space="preserve">opposite sex, </w:t>
      </w:r>
      <w:r>
        <w:rPr>
          <w:rFonts w:cs="Arial"/>
          <w:color w:val="222222"/>
          <w:sz w:val="24"/>
          <w:szCs w:val="24"/>
          <w:shd w:val="clear" w:color="auto" w:fill="FFFFFF"/>
        </w:rPr>
        <w:t>I</w:t>
      </w:r>
      <w:r w:rsidRPr="00B37B97">
        <w:rPr>
          <w:rFonts w:cs="Arial"/>
          <w:color w:val="222222"/>
          <w:sz w:val="24"/>
          <w:szCs w:val="24"/>
          <w:shd w:val="clear" w:color="auto" w:fill="FFFFFF"/>
        </w:rPr>
        <w:t>n Studies 2a, 2b and 2c, the people</w:t>
      </w:r>
      <w:r>
        <w:rPr>
          <w:rFonts w:cs="Arial"/>
          <w:color w:val="222222"/>
          <w:sz w:val="24"/>
          <w:szCs w:val="24"/>
          <w:shd w:val="clear" w:color="auto" w:fill="FFFFFF"/>
        </w:rPr>
        <w:t xml:space="preserve"> that</w:t>
      </w:r>
      <w:r w:rsidRPr="00B37B97">
        <w:rPr>
          <w:rFonts w:cs="Arial"/>
          <w:color w:val="222222"/>
          <w:sz w:val="24"/>
          <w:szCs w:val="24"/>
          <w:shd w:val="clear" w:color="auto" w:fill="FFFFFF"/>
        </w:rPr>
        <w:t xml:space="preserve"> participants were asked to </w:t>
      </w:r>
      <w:r>
        <w:rPr>
          <w:rFonts w:cs="Arial"/>
          <w:color w:val="222222"/>
          <w:sz w:val="24"/>
          <w:szCs w:val="24"/>
          <w:shd w:val="clear" w:color="auto" w:fill="FFFFFF"/>
        </w:rPr>
        <w:t xml:space="preserve">imagine </w:t>
      </w:r>
      <w:r w:rsidRPr="00B37B97">
        <w:rPr>
          <w:rFonts w:cs="Arial"/>
          <w:color w:val="222222"/>
          <w:sz w:val="24"/>
          <w:szCs w:val="24"/>
          <w:shd w:val="clear" w:color="auto" w:fill="FFFFFF"/>
        </w:rPr>
        <w:t>interact</w:t>
      </w:r>
      <w:r>
        <w:rPr>
          <w:rFonts w:cs="Arial"/>
          <w:color w:val="222222"/>
          <w:sz w:val="24"/>
          <w:szCs w:val="24"/>
          <w:shd w:val="clear" w:color="auto" w:fill="FFFFFF"/>
        </w:rPr>
        <w:t>ing</w:t>
      </w:r>
      <w:r w:rsidRPr="00B37B97">
        <w:rPr>
          <w:rFonts w:cs="Arial"/>
          <w:color w:val="222222"/>
          <w:sz w:val="24"/>
          <w:szCs w:val="24"/>
          <w:shd w:val="clear" w:color="auto" w:fill="FFFFFF"/>
        </w:rPr>
        <w:t xml:space="preserve"> with were also opposite to the sex of the participant, and in </w:t>
      </w:r>
      <w:r>
        <w:rPr>
          <w:rFonts w:cs="Arial"/>
          <w:color w:val="222222"/>
          <w:sz w:val="24"/>
          <w:szCs w:val="24"/>
          <w:shd w:val="clear" w:color="auto" w:fill="FFFFFF"/>
        </w:rPr>
        <w:t>S</w:t>
      </w:r>
      <w:r w:rsidRPr="00B37B97">
        <w:rPr>
          <w:rFonts w:cs="Arial"/>
          <w:color w:val="222222"/>
          <w:sz w:val="24"/>
          <w:szCs w:val="24"/>
          <w:shd w:val="clear" w:color="auto" w:fill="FFFFFF"/>
        </w:rPr>
        <w:t xml:space="preserve">tudy 4 participants had short duration heterosexual dates during the speed-dating event. Thus the </w:t>
      </w:r>
      <w:r>
        <w:rPr>
          <w:rFonts w:cs="Arial"/>
          <w:color w:val="222222"/>
          <w:sz w:val="24"/>
          <w:szCs w:val="24"/>
          <w:shd w:val="clear" w:color="auto" w:fill="FFFFFF"/>
        </w:rPr>
        <w:t>findings of the present</w:t>
      </w:r>
      <w:r w:rsidRPr="00B37B97">
        <w:rPr>
          <w:rFonts w:cs="Arial"/>
          <w:color w:val="222222"/>
          <w:sz w:val="24"/>
          <w:szCs w:val="24"/>
          <w:shd w:val="clear" w:color="auto" w:fill="FFFFFF"/>
        </w:rPr>
        <w:t xml:space="preserve"> thesis present evidence of AIER occurring mostly in opposite sex interactions. It would be important to explore whether, for example, the predominance of improving AIER would prevail if the interactions were between people of the same sex.  </w:t>
      </w:r>
    </w:p>
    <w:p w:rsidR="0078667D" w:rsidRDefault="0078667D" w:rsidP="00AE640B">
      <w:pPr>
        <w:spacing w:line="480" w:lineRule="auto"/>
        <w:ind w:firstLine="720"/>
        <w:jc w:val="both"/>
        <w:rPr>
          <w:rFonts w:cs="Arial"/>
          <w:color w:val="222222"/>
          <w:sz w:val="24"/>
          <w:szCs w:val="24"/>
          <w:shd w:val="clear" w:color="auto" w:fill="FFFFFF"/>
        </w:rPr>
      </w:pPr>
      <w:r>
        <w:rPr>
          <w:rFonts w:cs="Arial"/>
          <w:color w:val="222222"/>
          <w:sz w:val="24"/>
          <w:szCs w:val="24"/>
          <w:shd w:val="clear" w:color="auto" w:fill="FFFFFF"/>
        </w:rPr>
        <w:t xml:space="preserve">A second limitation was that, with the methods used in the present thesis, it was not possible to know at what point in the emotion generation process AIER occurred. Apart from the priming studies, in which AIER occurred before the behaviour unfolded, </w:t>
      </w:r>
      <w:r>
        <w:rPr>
          <w:rFonts w:cs="Arial"/>
          <w:color w:val="222222"/>
          <w:sz w:val="24"/>
          <w:szCs w:val="24"/>
          <w:shd w:val="clear" w:color="auto" w:fill="FFFFFF"/>
        </w:rPr>
        <w:lastRenderedPageBreak/>
        <w:t xml:space="preserve">in the rest of the studies it was not possible to know whether the AIER occurred as antecedent focused regulation or as response focused regulation. Being able to identify at which point AIER happens would allow researchers to develop methods to more accurately investigate AIER. </w:t>
      </w:r>
    </w:p>
    <w:p w:rsidR="0078667D" w:rsidRDefault="0078667D" w:rsidP="00AE640B">
      <w:pPr>
        <w:spacing w:line="480" w:lineRule="auto"/>
        <w:ind w:firstLine="720"/>
        <w:jc w:val="both"/>
        <w:rPr>
          <w:rFonts w:cs="Arial"/>
          <w:color w:val="222222"/>
          <w:sz w:val="24"/>
          <w:szCs w:val="24"/>
          <w:shd w:val="clear" w:color="auto" w:fill="FFFFFF"/>
        </w:rPr>
      </w:pPr>
      <w:r>
        <w:rPr>
          <w:rFonts w:cs="Arial"/>
          <w:color w:val="222222"/>
          <w:sz w:val="24"/>
          <w:szCs w:val="24"/>
          <w:shd w:val="clear" w:color="auto" w:fill="FFFFFF"/>
        </w:rPr>
        <w:t xml:space="preserve">It is also important to acknowledge that the IER identified in the studies carried out in this thesis probably had an automatic and a controlled component. As in the priming studies, it seems that the automatic part of the IER strategy occurred before the behaviour unfolded but the behaviour itself occurred under the participant’s awareness. It </w:t>
      </w:r>
      <w:r w:rsidRPr="00B60564">
        <w:rPr>
          <w:sz w:val="24"/>
          <w:szCs w:val="24"/>
        </w:rPr>
        <w:t>is plausible that every form o</w:t>
      </w:r>
      <w:r w:rsidR="00632BA9">
        <w:rPr>
          <w:sz w:val="24"/>
          <w:szCs w:val="24"/>
        </w:rPr>
        <w:t>f behaviour comes from a mix</w:t>
      </w:r>
      <w:r w:rsidRPr="00B60564">
        <w:rPr>
          <w:sz w:val="24"/>
          <w:szCs w:val="24"/>
        </w:rPr>
        <w:t xml:space="preserve"> of conscious and unconscious pr</w:t>
      </w:r>
      <w:r>
        <w:rPr>
          <w:sz w:val="24"/>
          <w:szCs w:val="24"/>
        </w:rPr>
        <w:t xml:space="preserve">ocessing </w:t>
      </w:r>
      <w:r w:rsidR="00B06E70">
        <w:rPr>
          <w:sz w:val="24"/>
          <w:szCs w:val="24"/>
        </w:rPr>
        <w:fldChar w:fldCharType="begin" w:fldLock="1"/>
      </w:r>
      <w:r w:rsidR="00844B08">
        <w:rPr>
          <w:sz w:val="24"/>
          <w:szCs w:val="24"/>
        </w:rPr>
        <w:instrText>ADDIN CSL_CITATION { "citationItems" : [ { "id" : "ITEM-1", "itemData" : { "DOI" : "10.1146/annurev.psych.093008.131126", "ISBN" : "1545-2085 (Electronic)\\r0066-4308 (Linking)", "ISSN" : "1545-2085", "PMID" : "21126180", "abstract" : "Everyday intuitions suggest full conscious control of behavior, but evidence of unconscious causation and automaticity has sustained the contrary view that conscious thought has little or no impact on behavior. We review studies with random assignment to experimental manipulations of conscious thought and behavioral dependent measures. Topics include mental practice and simulation, anticipation, planning, reflection and rehearsal, reasoning, counterproductive effects, perspective taking, self-affirmation, framing, communication, and overriding automatic responses. The evidence for conscious causation of behavior is profound, extensive, adaptive, multifaceted, and empirically strong. However, conscious causation is often indirect and delayed, and it depends on interplay with unconscious processes. Consciousness seems especially useful for enabling behavior to be shaped by nonpresent factors and by social and cultural information, as well as for dealing with multiple competing options or impulses. It is plausible that almost every human behavior comes from a mixture of conscious and unconscious processing.", "author" : [ { "dropping-particle" : "", "family" : "Baumeister", "given" : "Roy F", "non-dropping-particle" : "", "parse-names" : false, "suffix" : "" }, { "dropping-particle" : "", "family" : "Masicampo", "given" : "E J", "non-dropping-particle" : "", "parse-names" : false, "suffix" : "" }, { "dropping-particle" : "", "family" : "Vohs", "given" : "Kathleen D", "non-dropping-particle" : "", "parse-names" : false, "suffix" : "" } ], "container-title" : "Annual review of psychology", "id" : "ITEM-1", "issued" : { "date-parts" : [ [ "2011" ] ] }, "page" : "331-61", "title" : "Do conscious thoughts cause behavior?", "type" : "article-journal", "volume" : "62" }, "uris" : [ "http://www.mendeley.com/documents/?uuid=8aa95b60-ea13-3f26-a2d3-0352be31fd85" ] } ], "mendeley" : { "formattedCitation" : "(Baumeister, Masicampo, &amp; Vohs, 2011)", "manualFormatting" : "(Baumeister, Masicampo, &amp; Vohs, 2011)", "plainTextFormattedCitation" : "(Baumeister, Masicampo, &amp; Vohs, 2011)", "previouslyFormattedCitation" : "(Roy F Baumeister, Masicampo, &amp; Vohs, 2011)" }, "properties" : { "noteIndex" : 0 }, "schema" : "https://github.com/citation-style-language/schema/raw/master/csl-citation.json" }</w:instrText>
      </w:r>
      <w:r w:rsidR="00B06E70">
        <w:rPr>
          <w:sz w:val="24"/>
          <w:szCs w:val="24"/>
        </w:rPr>
        <w:fldChar w:fldCharType="separate"/>
      </w:r>
      <w:r w:rsidR="00CD576E">
        <w:rPr>
          <w:noProof/>
          <w:sz w:val="24"/>
          <w:szCs w:val="24"/>
        </w:rPr>
        <w:t>(</w:t>
      </w:r>
      <w:r w:rsidR="00CD576E" w:rsidRPr="00CD576E">
        <w:rPr>
          <w:noProof/>
          <w:sz w:val="24"/>
          <w:szCs w:val="24"/>
        </w:rPr>
        <w:t>Baumeister, Masicampo, &amp; Vohs, 2011)</w:t>
      </w:r>
      <w:r w:rsidR="00B06E70">
        <w:rPr>
          <w:sz w:val="24"/>
          <w:szCs w:val="24"/>
        </w:rPr>
        <w:fldChar w:fldCharType="end"/>
      </w:r>
      <w:r>
        <w:rPr>
          <w:sz w:val="24"/>
          <w:szCs w:val="24"/>
        </w:rPr>
        <w:t xml:space="preserve"> and future research on AIER should try to identify which parts of the process of regulating the emotions of someone else occur in an automatic fashion and which parts occur in a more controlled way. </w:t>
      </w:r>
    </w:p>
    <w:p w:rsidR="0078667D" w:rsidRDefault="0078667D" w:rsidP="00AE640B">
      <w:pPr>
        <w:spacing w:line="480" w:lineRule="auto"/>
        <w:ind w:firstLine="720"/>
        <w:jc w:val="both"/>
        <w:rPr>
          <w:sz w:val="24"/>
          <w:szCs w:val="24"/>
        </w:rPr>
      </w:pPr>
      <w:r w:rsidRPr="00B60564">
        <w:rPr>
          <w:sz w:val="24"/>
          <w:szCs w:val="24"/>
        </w:rPr>
        <w:t xml:space="preserve">Further research could use the methods employed in the present thesis to explore aspects </w:t>
      </w:r>
      <w:r>
        <w:rPr>
          <w:sz w:val="24"/>
          <w:szCs w:val="24"/>
        </w:rPr>
        <w:t xml:space="preserve">of AIER </w:t>
      </w:r>
      <w:r w:rsidRPr="00B60564">
        <w:rPr>
          <w:sz w:val="24"/>
          <w:szCs w:val="24"/>
        </w:rPr>
        <w:t xml:space="preserve">that were not investigated here. For example, whether certain forms of AER may be </w:t>
      </w:r>
      <w:r>
        <w:rPr>
          <w:sz w:val="24"/>
          <w:szCs w:val="24"/>
        </w:rPr>
        <w:t>adaptive or not. Study 4</w:t>
      </w:r>
      <w:r w:rsidRPr="00B60564">
        <w:rPr>
          <w:sz w:val="24"/>
          <w:szCs w:val="24"/>
        </w:rPr>
        <w:t xml:space="preserve"> hinted </w:t>
      </w:r>
      <w:r>
        <w:rPr>
          <w:sz w:val="24"/>
          <w:szCs w:val="24"/>
        </w:rPr>
        <w:t>that</w:t>
      </w:r>
      <w:r w:rsidRPr="00B60564">
        <w:rPr>
          <w:sz w:val="24"/>
          <w:szCs w:val="24"/>
        </w:rPr>
        <w:t xml:space="preserve"> AIER</w:t>
      </w:r>
      <w:r>
        <w:rPr>
          <w:sz w:val="24"/>
          <w:szCs w:val="24"/>
        </w:rPr>
        <w:t xml:space="preserve"> was adaptive</w:t>
      </w:r>
      <w:r w:rsidRPr="00B60564">
        <w:rPr>
          <w:sz w:val="24"/>
          <w:szCs w:val="24"/>
        </w:rPr>
        <w:t xml:space="preserve">, as people under high cognitive load managed to shield </w:t>
      </w:r>
      <w:r>
        <w:rPr>
          <w:sz w:val="24"/>
          <w:szCs w:val="24"/>
        </w:rPr>
        <w:t>their behaviour from their</w:t>
      </w:r>
      <w:r w:rsidRPr="00B60564">
        <w:rPr>
          <w:sz w:val="24"/>
          <w:szCs w:val="24"/>
        </w:rPr>
        <w:t xml:space="preserve"> lack of cognitive resources and still use IER to try to go on a second date with a potential romantic partner.</w:t>
      </w:r>
    </w:p>
    <w:p w:rsidR="00943A8B" w:rsidRDefault="00632BA9" w:rsidP="00C455D9">
      <w:pPr>
        <w:spacing w:line="480" w:lineRule="auto"/>
        <w:ind w:firstLine="720"/>
        <w:jc w:val="both"/>
        <w:rPr>
          <w:sz w:val="24"/>
          <w:szCs w:val="24"/>
        </w:rPr>
      </w:pPr>
      <w:r w:rsidRPr="00632BA9">
        <w:rPr>
          <w:sz w:val="24"/>
          <w:szCs w:val="24"/>
        </w:rPr>
        <w:t xml:space="preserve">One practical implication of the priming studies is the if </w:t>
      </w:r>
      <w:r w:rsidR="00943A8B" w:rsidRPr="00632BA9">
        <w:rPr>
          <w:sz w:val="24"/>
          <w:szCs w:val="24"/>
        </w:rPr>
        <w:t xml:space="preserve">priming works to instigate </w:t>
      </w:r>
      <w:r w:rsidRPr="00632BA9">
        <w:rPr>
          <w:sz w:val="24"/>
          <w:szCs w:val="24"/>
        </w:rPr>
        <w:t>worsening</w:t>
      </w:r>
      <w:r w:rsidR="00943A8B" w:rsidRPr="00632BA9">
        <w:rPr>
          <w:sz w:val="24"/>
          <w:szCs w:val="24"/>
        </w:rPr>
        <w:t xml:space="preserve"> IER, it could be used to help people that engage in no</w:t>
      </w:r>
      <w:r w:rsidRPr="00632BA9">
        <w:rPr>
          <w:sz w:val="24"/>
          <w:szCs w:val="24"/>
        </w:rPr>
        <w:t>n-constructive IER behaviours, o</w:t>
      </w:r>
      <w:r w:rsidR="00943A8B" w:rsidRPr="00632BA9">
        <w:rPr>
          <w:sz w:val="24"/>
          <w:szCs w:val="24"/>
        </w:rPr>
        <w:t>r in people that need to be more assertive and maybe need more aggr</w:t>
      </w:r>
      <w:r w:rsidRPr="00632BA9">
        <w:rPr>
          <w:sz w:val="24"/>
          <w:szCs w:val="24"/>
        </w:rPr>
        <w:t>essiveness to achieve something, f</w:t>
      </w:r>
      <w:r w:rsidR="00943A8B" w:rsidRPr="00632BA9">
        <w:rPr>
          <w:sz w:val="24"/>
          <w:szCs w:val="24"/>
        </w:rPr>
        <w:t>or example, a job interview.</w:t>
      </w:r>
      <w:r>
        <w:rPr>
          <w:sz w:val="24"/>
          <w:szCs w:val="24"/>
        </w:rPr>
        <w:t xml:space="preserve"> </w:t>
      </w:r>
      <w:r w:rsidR="00D7467D">
        <w:rPr>
          <w:sz w:val="24"/>
          <w:szCs w:val="24"/>
        </w:rPr>
        <w:t xml:space="preserve">In a </w:t>
      </w:r>
      <w:r w:rsidR="00D7467D" w:rsidRPr="00D7467D">
        <w:rPr>
          <w:sz w:val="24"/>
          <w:szCs w:val="24"/>
        </w:rPr>
        <w:t xml:space="preserve">recent study, </w:t>
      </w:r>
      <w:r w:rsidR="00943A8B" w:rsidRPr="00D7467D">
        <w:rPr>
          <w:sz w:val="24"/>
          <w:szCs w:val="24"/>
        </w:rPr>
        <w:lastRenderedPageBreak/>
        <w:t>Minas</w:t>
      </w:r>
      <w:r w:rsidRPr="00D7467D">
        <w:rPr>
          <w:sz w:val="24"/>
          <w:szCs w:val="24"/>
        </w:rPr>
        <w:t xml:space="preserve">, </w:t>
      </w:r>
      <w:r w:rsidR="00943A8B" w:rsidRPr="00D7467D">
        <w:rPr>
          <w:sz w:val="24"/>
          <w:szCs w:val="24"/>
        </w:rPr>
        <w:t>Poor</w:t>
      </w:r>
      <w:r w:rsidRPr="00D7467D">
        <w:rPr>
          <w:sz w:val="24"/>
          <w:szCs w:val="24"/>
        </w:rPr>
        <w:t xml:space="preserve">, Dennis and </w:t>
      </w:r>
      <w:proofErr w:type="spellStart"/>
      <w:r w:rsidRPr="00D7467D">
        <w:rPr>
          <w:sz w:val="24"/>
          <w:szCs w:val="24"/>
        </w:rPr>
        <w:t>Bartelt</w:t>
      </w:r>
      <w:proofErr w:type="spellEnd"/>
      <w:r w:rsidRPr="00D7467D">
        <w:rPr>
          <w:sz w:val="24"/>
          <w:szCs w:val="24"/>
        </w:rPr>
        <w:t xml:space="preserve"> (</w:t>
      </w:r>
      <w:r w:rsidR="00D7467D" w:rsidRPr="00D7467D">
        <w:rPr>
          <w:sz w:val="24"/>
          <w:szCs w:val="24"/>
        </w:rPr>
        <w:t>2</w:t>
      </w:r>
      <w:r w:rsidRPr="00D7467D">
        <w:rPr>
          <w:sz w:val="24"/>
          <w:szCs w:val="24"/>
        </w:rPr>
        <w:t>016</w:t>
      </w:r>
      <w:r w:rsidR="00D7467D" w:rsidRPr="00D7467D">
        <w:rPr>
          <w:sz w:val="24"/>
          <w:szCs w:val="24"/>
        </w:rPr>
        <w:t>)</w:t>
      </w:r>
      <w:r w:rsidR="00943A8B" w:rsidRPr="00D7467D">
        <w:rPr>
          <w:sz w:val="24"/>
          <w:szCs w:val="24"/>
        </w:rPr>
        <w:t xml:space="preserve"> used the SST to prime men and women (semantic priming) with healthy body image and found a significant effect of the interaction between gender (woman) and priming over the number of calories consumed (less calories). Something similar could be done to promote healthy IER interactions or more assertive IER interactions.</w:t>
      </w:r>
      <w:r w:rsidR="00F9338D">
        <w:rPr>
          <w:sz w:val="24"/>
          <w:szCs w:val="24"/>
        </w:rPr>
        <w:t xml:space="preserve"> </w:t>
      </w:r>
      <w:r w:rsidR="00F9338D" w:rsidRPr="00F9338D">
        <w:rPr>
          <w:sz w:val="24"/>
          <w:szCs w:val="24"/>
        </w:rPr>
        <w:t>Another way in which p</w:t>
      </w:r>
      <w:r w:rsidR="00F9338D">
        <w:rPr>
          <w:sz w:val="24"/>
          <w:szCs w:val="24"/>
        </w:rPr>
        <w:t xml:space="preserve">eople could be trained to use constructive AIER would be to use implementation intentions. </w:t>
      </w:r>
      <w:r w:rsidR="00943A8B" w:rsidRPr="00F9338D">
        <w:rPr>
          <w:sz w:val="24"/>
          <w:szCs w:val="24"/>
        </w:rPr>
        <w:t>Gall</w:t>
      </w:r>
      <w:r w:rsidR="00F9338D" w:rsidRPr="00F9338D">
        <w:rPr>
          <w:sz w:val="24"/>
          <w:szCs w:val="24"/>
        </w:rPr>
        <w:t xml:space="preserve">o, </w:t>
      </w:r>
      <w:proofErr w:type="spellStart"/>
      <w:r w:rsidR="00F9338D" w:rsidRPr="00F9338D">
        <w:rPr>
          <w:sz w:val="24"/>
          <w:szCs w:val="24"/>
        </w:rPr>
        <w:t>Keil</w:t>
      </w:r>
      <w:proofErr w:type="spellEnd"/>
      <w:r w:rsidR="00F9338D" w:rsidRPr="00F9338D">
        <w:rPr>
          <w:sz w:val="24"/>
          <w:szCs w:val="24"/>
        </w:rPr>
        <w:t xml:space="preserve">, McCulloch, </w:t>
      </w:r>
      <w:proofErr w:type="spellStart"/>
      <w:r w:rsidR="00F9338D" w:rsidRPr="00F9338D">
        <w:rPr>
          <w:sz w:val="24"/>
          <w:szCs w:val="24"/>
        </w:rPr>
        <w:t>Rockstroh</w:t>
      </w:r>
      <w:proofErr w:type="spellEnd"/>
      <w:r w:rsidR="00F9338D" w:rsidRPr="00F9338D">
        <w:rPr>
          <w:sz w:val="24"/>
          <w:szCs w:val="24"/>
        </w:rPr>
        <w:t>, and</w:t>
      </w:r>
      <w:r w:rsidR="00943A8B" w:rsidRPr="00F9338D">
        <w:rPr>
          <w:sz w:val="24"/>
          <w:szCs w:val="24"/>
        </w:rPr>
        <w:t xml:space="preserve"> </w:t>
      </w:r>
      <w:proofErr w:type="spellStart"/>
      <w:r w:rsidR="00943A8B" w:rsidRPr="00F9338D">
        <w:rPr>
          <w:sz w:val="24"/>
          <w:szCs w:val="24"/>
        </w:rPr>
        <w:t>Gollwitzer</w:t>
      </w:r>
      <w:proofErr w:type="spellEnd"/>
      <w:r w:rsidR="00943A8B" w:rsidRPr="00F9338D">
        <w:rPr>
          <w:sz w:val="24"/>
          <w:szCs w:val="24"/>
        </w:rPr>
        <w:t xml:space="preserve"> (2009)</w:t>
      </w:r>
      <w:r w:rsidR="00F9338D" w:rsidRPr="00F9338D">
        <w:rPr>
          <w:sz w:val="24"/>
          <w:szCs w:val="24"/>
        </w:rPr>
        <w:t xml:space="preserve"> trained people</w:t>
      </w:r>
      <w:r w:rsidR="00943A8B" w:rsidRPr="00F9338D">
        <w:rPr>
          <w:sz w:val="24"/>
          <w:szCs w:val="24"/>
        </w:rPr>
        <w:t xml:space="preserve"> that were scared of spiders </w:t>
      </w:r>
      <w:r w:rsidR="00F9338D" w:rsidRPr="00F9338D">
        <w:rPr>
          <w:sz w:val="24"/>
          <w:szCs w:val="24"/>
        </w:rPr>
        <w:t>to form</w:t>
      </w:r>
      <w:r w:rsidR="00943A8B" w:rsidRPr="00F9338D">
        <w:rPr>
          <w:sz w:val="24"/>
          <w:szCs w:val="24"/>
        </w:rPr>
        <w:t xml:space="preserve"> implementation intentions (and if I see a spider, then I will remain calm and relax) </w:t>
      </w:r>
      <w:r w:rsidR="00F9338D" w:rsidRPr="00F9338D">
        <w:rPr>
          <w:sz w:val="24"/>
          <w:szCs w:val="24"/>
        </w:rPr>
        <w:t xml:space="preserve">and found these people </w:t>
      </w:r>
      <w:r w:rsidR="00943A8B" w:rsidRPr="00F9338D">
        <w:rPr>
          <w:sz w:val="24"/>
          <w:szCs w:val="24"/>
        </w:rPr>
        <w:t xml:space="preserve">were better at down-regulating their fear than participants with a goal intention (I will not het frightened). </w:t>
      </w:r>
      <w:r w:rsidR="002A79E5">
        <w:rPr>
          <w:sz w:val="24"/>
          <w:szCs w:val="24"/>
        </w:rPr>
        <w:t xml:space="preserve">People could also receive training in emotion regulation to </w:t>
      </w:r>
      <w:proofErr w:type="spellStart"/>
      <w:r w:rsidR="002A79E5">
        <w:rPr>
          <w:sz w:val="24"/>
          <w:szCs w:val="24"/>
        </w:rPr>
        <w:t>automatise</w:t>
      </w:r>
      <w:proofErr w:type="spellEnd"/>
      <w:r w:rsidR="002A79E5">
        <w:rPr>
          <w:sz w:val="24"/>
          <w:szCs w:val="24"/>
        </w:rPr>
        <w:t xml:space="preserve"> their emotion regulation behaviours. For example, </w:t>
      </w:r>
      <w:proofErr w:type="spellStart"/>
      <w:r w:rsidR="00943A8B" w:rsidRPr="002A79E5">
        <w:rPr>
          <w:sz w:val="24"/>
          <w:szCs w:val="24"/>
        </w:rPr>
        <w:t>Christ</w:t>
      </w:r>
      <w:r w:rsidR="002A79E5" w:rsidRPr="002A79E5">
        <w:rPr>
          <w:sz w:val="24"/>
          <w:szCs w:val="24"/>
        </w:rPr>
        <w:t>ou-Champi</w:t>
      </w:r>
      <w:proofErr w:type="spellEnd"/>
      <w:r w:rsidR="002A79E5" w:rsidRPr="002A79E5">
        <w:rPr>
          <w:sz w:val="24"/>
          <w:szCs w:val="24"/>
        </w:rPr>
        <w:t>, Farrow, Webb (2015) trained half of their participants</w:t>
      </w:r>
      <w:r w:rsidR="00943A8B" w:rsidRPr="002A79E5">
        <w:rPr>
          <w:sz w:val="24"/>
          <w:szCs w:val="24"/>
        </w:rPr>
        <w:t xml:space="preserve"> </w:t>
      </w:r>
      <w:r w:rsidR="002A79E5" w:rsidRPr="002A79E5">
        <w:rPr>
          <w:sz w:val="24"/>
          <w:szCs w:val="24"/>
        </w:rPr>
        <w:t>to reappraise negatively valence images</w:t>
      </w:r>
      <w:r w:rsidR="00943A8B" w:rsidRPr="002A79E5">
        <w:rPr>
          <w:sz w:val="24"/>
          <w:szCs w:val="24"/>
        </w:rPr>
        <w:t xml:space="preserve"> (3 training sessions</w:t>
      </w:r>
      <w:r w:rsidR="002A79E5" w:rsidRPr="002A79E5">
        <w:rPr>
          <w:sz w:val="24"/>
          <w:szCs w:val="24"/>
        </w:rPr>
        <w:t>) and</w:t>
      </w:r>
      <w:r w:rsidR="00943A8B" w:rsidRPr="002A79E5">
        <w:rPr>
          <w:sz w:val="24"/>
          <w:szCs w:val="24"/>
        </w:rPr>
        <w:t xml:space="preserve"> asked </w:t>
      </w:r>
      <w:r w:rsidR="002A79E5" w:rsidRPr="002A79E5">
        <w:rPr>
          <w:sz w:val="24"/>
          <w:szCs w:val="24"/>
        </w:rPr>
        <w:t xml:space="preserve">the other half of their participants </w:t>
      </w:r>
      <w:r w:rsidR="00943A8B" w:rsidRPr="002A79E5">
        <w:rPr>
          <w:sz w:val="24"/>
          <w:szCs w:val="24"/>
        </w:rPr>
        <w:t>to</w:t>
      </w:r>
      <w:r w:rsidR="002A79E5" w:rsidRPr="002A79E5">
        <w:rPr>
          <w:sz w:val="24"/>
          <w:szCs w:val="24"/>
        </w:rPr>
        <w:t xml:space="preserve"> simply</w:t>
      </w:r>
      <w:r w:rsidR="00943A8B" w:rsidRPr="002A79E5">
        <w:rPr>
          <w:sz w:val="24"/>
          <w:szCs w:val="24"/>
        </w:rPr>
        <w:t xml:space="preserve"> “attend” (control) </w:t>
      </w:r>
      <w:r w:rsidR="002A79E5" w:rsidRPr="002A79E5">
        <w:rPr>
          <w:sz w:val="24"/>
          <w:szCs w:val="24"/>
        </w:rPr>
        <w:t>the images. They found that participants who received the training d</w:t>
      </w:r>
      <w:r w:rsidR="00943A8B" w:rsidRPr="002A79E5">
        <w:rPr>
          <w:sz w:val="24"/>
          <w:szCs w:val="24"/>
        </w:rPr>
        <w:t>ecreased</w:t>
      </w:r>
      <w:r w:rsidR="002A79E5" w:rsidRPr="002A79E5">
        <w:rPr>
          <w:sz w:val="24"/>
          <w:szCs w:val="24"/>
        </w:rPr>
        <w:t xml:space="preserve"> their</w:t>
      </w:r>
      <w:r w:rsidR="00943A8B" w:rsidRPr="002A79E5">
        <w:rPr>
          <w:sz w:val="24"/>
          <w:szCs w:val="24"/>
        </w:rPr>
        <w:t xml:space="preserve"> time to regulate emotions and increased </w:t>
      </w:r>
      <w:r w:rsidR="002A79E5" w:rsidRPr="002A79E5">
        <w:rPr>
          <w:sz w:val="24"/>
          <w:szCs w:val="24"/>
        </w:rPr>
        <w:t xml:space="preserve">their </w:t>
      </w:r>
      <w:r w:rsidR="00943A8B" w:rsidRPr="002A79E5">
        <w:rPr>
          <w:sz w:val="24"/>
          <w:szCs w:val="24"/>
        </w:rPr>
        <w:t>HRV</w:t>
      </w:r>
      <w:r w:rsidR="002A79E5" w:rsidRPr="002A79E5">
        <w:rPr>
          <w:sz w:val="24"/>
          <w:szCs w:val="24"/>
        </w:rPr>
        <w:t>, which, according to the authors are indicators of AER</w:t>
      </w:r>
      <w:r w:rsidR="00943A8B" w:rsidRPr="002A79E5">
        <w:rPr>
          <w:sz w:val="24"/>
          <w:szCs w:val="24"/>
        </w:rPr>
        <w:t xml:space="preserve">. </w:t>
      </w:r>
      <w:r w:rsidR="002A79E5" w:rsidRPr="002A79E5">
        <w:rPr>
          <w:sz w:val="24"/>
          <w:szCs w:val="24"/>
        </w:rPr>
        <w:t>They also found that participants regulated negative emotions two</w:t>
      </w:r>
      <w:r w:rsidR="00943A8B" w:rsidRPr="002A79E5">
        <w:rPr>
          <w:sz w:val="24"/>
          <w:szCs w:val="24"/>
        </w:rPr>
        <w:t xml:space="preserve"> weeks after </w:t>
      </w:r>
      <w:r w:rsidR="002A79E5" w:rsidRPr="002A79E5">
        <w:rPr>
          <w:sz w:val="24"/>
          <w:szCs w:val="24"/>
        </w:rPr>
        <w:t>in a spontaneous manner</w:t>
      </w:r>
      <w:r w:rsidR="00943A8B" w:rsidRPr="002A79E5">
        <w:rPr>
          <w:sz w:val="24"/>
          <w:szCs w:val="24"/>
        </w:rPr>
        <w:t>.</w:t>
      </w:r>
    </w:p>
    <w:p w:rsidR="009C19E5" w:rsidRDefault="0078667D" w:rsidP="00C455D9">
      <w:pPr>
        <w:spacing w:line="480" w:lineRule="auto"/>
        <w:ind w:firstLine="720"/>
        <w:jc w:val="both"/>
        <w:rPr>
          <w:sz w:val="24"/>
          <w:szCs w:val="24"/>
        </w:rPr>
      </w:pPr>
      <w:r w:rsidRPr="00B60564">
        <w:rPr>
          <w:sz w:val="24"/>
          <w:szCs w:val="24"/>
        </w:rPr>
        <w:t xml:space="preserve">The present thesis did not explore whether people engaged in AIER to improve their own emotions as well as the emotions of someone else. </w:t>
      </w:r>
      <w:r w:rsidR="00B06E70">
        <w:rPr>
          <w:sz w:val="24"/>
          <w:szCs w:val="24"/>
        </w:rPr>
        <w:fldChar w:fldCharType="begin" w:fldLock="1"/>
      </w:r>
      <w:r w:rsidR="00CD576E">
        <w:rPr>
          <w:sz w:val="24"/>
          <w:szCs w:val="24"/>
        </w:rPr>
        <w:instrText>ADDIN CSL_CITATION { "citationItems" : [ { "id" : "ITEM-1", "itemData" : { "DOI" : "10.1037/a0033839", "ISBN" : "1-59385-148-0; 978-1-59385-148-4", "ISSN" : "1931-1516", "PMID" : "24098929", "abstract" : "Contemporary emotion regulation research emphasizes intrapersonal processes such as cognitive reappraisal and expressive suppression, but people experiencing affect commonly choose not to go it alone. Instead, individuals often turn to others for help in shaping their affective lives. How and under what circumstances does such interpersonal regulation modulate emotional experience? Although scientists have examined allied phenomena such as social sharing, empathy, social support, and prosocial behavior for decades, there have been surprisingly few attempts to integrate these data into a single conceptual framework of interpersonal regulation. Here we propose such a framework. We first map a \"space\" differentiating classes of interpersonal regulation according to whether an individual uses an interpersonal regulatory episode to alter their own or another person's emotion. We then identify 2 types of processes--response-dependent and response-independent--that could support interpersonal regulation. This framework classifies an array of processes through which interpersonal contact fulfills regulatory goals. More broadly, it organizes diffuse, heretofore independent data on \"pieces\" of interpersonal regulation, and identifies growth points for this young and exciting research domain.", "author" : [ { "dropping-particle" : "", "family" : "Zaki", "given" : "Jamil", "non-dropping-particle" : "", "parse-names" : false, "suffix" : "" }, { "dropping-particle" : "", "family" : "Williams", "given" : "W Craig", "non-dropping-particle" : "", "parse-names" : false, "suffix" : "" } ], "container-title" : "Emotion (Washington, D.C.)", "id" : "ITEM-1", "issue" : "5", "issued" : { "date-parts" : [ [ "2013" ] ] }, "page" : "803-10", "title" : "Interpersonal emotion regulation.", "type" : "article-journal", "volume" : "13" }, "uris" : [ "http://www.mendeley.com/documents/?uuid=1df2865a-93a2-3b24-98f8-83648dc5c5bb" ] } ], "mendeley" : { "formattedCitation" : "(Zaki &amp; Williams, 2013)", "manualFormatting" : "Zaki and Williams (2013)", "plainTextFormattedCitation" : "(Zaki &amp; Williams, 2013)", "previouslyFormattedCitation" : "(Zaki &amp; Williams, 2013)" }, "properties" : { "noteIndex" : 0 }, "schema" : "https://github.com/citation-style-language/schema/raw/master/csl-citation.json" }</w:instrText>
      </w:r>
      <w:r w:rsidR="00B06E70">
        <w:rPr>
          <w:sz w:val="24"/>
          <w:szCs w:val="24"/>
        </w:rPr>
        <w:fldChar w:fldCharType="separate"/>
      </w:r>
      <w:r w:rsidR="00CD576E">
        <w:rPr>
          <w:noProof/>
          <w:sz w:val="24"/>
          <w:szCs w:val="24"/>
        </w:rPr>
        <w:t>Zaki and Williams</w:t>
      </w:r>
      <w:r w:rsidR="00CD576E" w:rsidRPr="00CD576E">
        <w:rPr>
          <w:noProof/>
          <w:sz w:val="24"/>
          <w:szCs w:val="24"/>
        </w:rPr>
        <w:t xml:space="preserve"> </w:t>
      </w:r>
      <w:r w:rsidR="00CD576E">
        <w:rPr>
          <w:noProof/>
          <w:sz w:val="24"/>
          <w:szCs w:val="24"/>
        </w:rPr>
        <w:t>(</w:t>
      </w:r>
      <w:r w:rsidR="00CD576E" w:rsidRPr="00CD576E">
        <w:rPr>
          <w:noProof/>
          <w:sz w:val="24"/>
          <w:szCs w:val="24"/>
        </w:rPr>
        <w:t>2013)</w:t>
      </w:r>
      <w:r w:rsidR="00B06E70">
        <w:rPr>
          <w:sz w:val="24"/>
          <w:szCs w:val="24"/>
        </w:rPr>
        <w:fldChar w:fldCharType="end"/>
      </w:r>
      <w:r w:rsidRPr="00B60564">
        <w:rPr>
          <w:sz w:val="24"/>
          <w:szCs w:val="24"/>
        </w:rPr>
        <w:t xml:space="preserve"> make a distinction between intrinsic and extrinsic interpersonal regulation. Intrinsic interpersonal regulation refers to attempts to look for social contact in order to regulate </w:t>
      </w:r>
      <w:r w:rsidR="00C455D9">
        <w:rPr>
          <w:sz w:val="24"/>
          <w:szCs w:val="24"/>
        </w:rPr>
        <w:t>one’s</w:t>
      </w:r>
      <w:r w:rsidRPr="00B60564">
        <w:rPr>
          <w:sz w:val="24"/>
          <w:szCs w:val="24"/>
        </w:rPr>
        <w:t xml:space="preserve"> own emotions, while extrinsic interpersonal regulation refer to attempts to regulate the emotions of someone else</w:t>
      </w:r>
      <w:r>
        <w:rPr>
          <w:sz w:val="24"/>
          <w:szCs w:val="24"/>
        </w:rPr>
        <w:t xml:space="preserve">, without doing so in an effort to modify one’s </w:t>
      </w:r>
      <w:r>
        <w:rPr>
          <w:sz w:val="24"/>
          <w:szCs w:val="24"/>
        </w:rPr>
        <w:lastRenderedPageBreak/>
        <w:t>own emotions</w:t>
      </w:r>
      <w:r w:rsidRPr="00B60564">
        <w:rPr>
          <w:sz w:val="24"/>
          <w:szCs w:val="24"/>
        </w:rPr>
        <w:t>. It is likely that both intrinsic and extrinsic emotion regulation can occur at the same time (e.g. while making someone else feel happy, one feels happy oneself</w:t>
      </w:r>
      <w:r w:rsidRPr="00334E96">
        <w:rPr>
          <w:sz w:val="24"/>
          <w:szCs w:val="24"/>
        </w:rPr>
        <w:t>) (e.g.</w:t>
      </w:r>
      <w:r>
        <w:rPr>
          <w:sz w:val="24"/>
          <w:szCs w:val="24"/>
        </w:rPr>
        <w:t>,</w:t>
      </w:r>
      <w:r w:rsidRPr="00334E96">
        <w:rPr>
          <w:sz w:val="24"/>
          <w:szCs w:val="24"/>
        </w:rPr>
        <w:t xml:space="preserve"> </w:t>
      </w:r>
      <w:r w:rsidR="00B06E70">
        <w:rPr>
          <w:sz w:val="24"/>
          <w:szCs w:val="24"/>
        </w:rPr>
        <w:fldChar w:fldCharType="begin" w:fldLock="1"/>
      </w:r>
      <w:r w:rsidR="008F08FE">
        <w:rPr>
          <w:sz w:val="24"/>
          <w:szCs w:val="24"/>
        </w:rPr>
        <w:instrText>ADDIN CSL_CITATION { "citationItems" : [ { "id" : "ITEM-1", "itemData" : { "author" : [ { "dropping-particle" : "", "family" : "Niven", "given" : "Karen", "non-dropping-particle" : "", "parse-names" : false, "suffix" : "" }, { "dropping-particle" : "", "family" : "Totterdell", "given" : "Peter", "non-dropping-particle" : "", "parse-names" : false, "suffix" : "" }, { "dropping-particle" : "", "family" : "Holman", "given" : "David", "non-dropping-particle" : "", "parse-names" : false, "suffix" : "" } ], "container-title" : "Prison Service Journal", "id" : "ITEM-1", "issued" : { "date-parts" : [ [ "2007" ] ] }, "page" : "39-45", "title" : "Changing moods and influencing people: The use and effects of emotional influence behaviours at HMP Grendon", "type" : "article-journal", "volume" : "173" }, "uris" : [ "http://www.mendeley.com/documents/?uuid=21aad76c-f66b-40e7-ae92-5cfe42eda26e" ] } ], "mendeley" : { "formattedCitation" : "(Niven et al., 2007)", "manualFormatting" : "Niven et al., 2007)", "plainTextFormattedCitation" : "(Niven et al., 2007)", "previouslyFormattedCitation" : "(Niven et al., 2007)" }, "properties" : { "noteIndex" : 0 }, "schema" : "https://github.com/citation-style-language/schema/raw/master/csl-citation.json" }</w:instrText>
      </w:r>
      <w:r w:rsidR="00B06E70">
        <w:rPr>
          <w:sz w:val="24"/>
          <w:szCs w:val="24"/>
        </w:rPr>
        <w:fldChar w:fldCharType="separate"/>
      </w:r>
      <w:r w:rsidR="008F08FE" w:rsidRPr="008F08FE">
        <w:rPr>
          <w:noProof/>
          <w:sz w:val="24"/>
          <w:szCs w:val="24"/>
        </w:rPr>
        <w:t>Niven et al., 2007)</w:t>
      </w:r>
      <w:r w:rsidR="00B06E70">
        <w:rPr>
          <w:sz w:val="24"/>
          <w:szCs w:val="24"/>
        </w:rPr>
        <w:fldChar w:fldCharType="end"/>
      </w:r>
      <w:r w:rsidRPr="00334E96">
        <w:rPr>
          <w:sz w:val="24"/>
          <w:szCs w:val="24"/>
        </w:rPr>
        <w:t>. In the</w:t>
      </w:r>
      <w:r w:rsidRPr="00B60564">
        <w:rPr>
          <w:sz w:val="24"/>
          <w:szCs w:val="24"/>
        </w:rPr>
        <w:t xml:space="preserve"> future it would be </w:t>
      </w:r>
      <w:r>
        <w:rPr>
          <w:sz w:val="24"/>
          <w:szCs w:val="24"/>
        </w:rPr>
        <w:t>interesting</w:t>
      </w:r>
      <w:r w:rsidRPr="00B60564">
        <w:rPr>
          <w:sz w:val="24"/>
          <w:szCs w:val="24"/>
        </w:rPr>
        <w:t xml:space="preserve"> to explore whether </w:t>
      </w:r>
      <w:r>
        <w:rPr>
          <w:sz w:val="24"/>
          <w:szCs w:val="24"/>
        </w:rPr>
        <w:t>peoples’</w:t>
      </w:r>
      <w:r w:rsidRPr="00B60564">
        <w:rPr>
          <w:sz w:val="24"/>
          <w:szCs w:val="24"/>
        </w:rPr>
        <w:t xml:space="preserve"> initial goal </w:t>
      </w:r>
      <w:r>
        <w:rPr>
          <w:sz w:val="24"/>
          <w:szCs w:val="24"/>
        </w:rPr>
        <w:t>for</w:t>
      </w:r>
      <w:r w:rsidRPr="00B60564">
        <w:rPr>
          <w:sz w:val="24"/>
          <w:szCs w:val="24"/>
        </w:rPr>
        <w:t xml:space="preserve"> engag</w:t>
      </w:r>
      <w:r>
        <w:rPr>
          <w:sz w:val="24"/>
          <w:szCs w:val="24"/>
        </w:rPr>
        <w:t>ing</w:t>
      </w:r>
      <w:r w:rsidRPr="00B60564">
        <w:rPr>
          <w:sz w:val="24"/>
          <w:szCs w:val="24"/>
        </w:rPr>
        <w:t xml:space="preserve"> in AIER was to modify </w:t>
      </w:r>
      <w:r>
        <w:rPr>
          <w:sz w:val="24"/>
          <w:szCs w:val="24"/>
        </w:rPr>
        <w:t>their</w:t>
      </w:r>
      <w:r w:rsidRPr="00B60564">
        <w:rPr>
          <w:sz w:val="24"/>
          <w:szCs w:val="24"/>
        </w:rPr>
        <w:t xml:space="preserve"> own emotions or the emotions of someone else. This is useful as it would help researchers identify when IER is a product of intrinsic emotion regulation, or when it is purely done to change someone else’s affect.   </w:t>
      </w:r>
    </w:p>
    <w:p w:rsidR="00C455D9" w:rsidRPr="00C455D9" w:rsidRDefault="00C455D9" w:rsidP="00C455D9">
      <w:pPr>
        <w:spacing w:line="480" w:lineRule="auto"/>
        <w:ind w:firstLine="720"/>
        <w:jc w:val="both"/>
        <w:rPr>
          <w:sz w:val="24"/>
          <w:szCs w:val="24"/>
        </w:rPr>
      </w:pPr>
    </w:p>
    <w:p w:rsidR="0078667D" w:rsidRDefault="0078667D" w:rsidP="00AE640B">
      <w:pPr>
        <w:spacing w:line="480" w:lineRule="auto"/>
        <w:jc w:val="both"/>
        <w:rPr>
          <w:b/>
          <w:sz w:val="24"/>
          <w:szCs w:val="24"/>
        </w:rPr>
      </w:pPr>
      <w:r w:rsidRPr="00B60564">
        <w:rPr>
          <w:b/>
          <w:sz w:val="24"/>
          <w:szCs w:val="24"/>
        </w:rPr>
        <w:t xml:space="preserve">6.6 Final comment </w:t>
      </w:r>
    </w:p>
    <w:p w:rsidR="0078667D" w:rsidRDefault="0078667D" w:rsidP="00AE640B">
      <w:pPr>
        <w:spacing w:line="480" w:lineRule="auto"/>
        <w:ind w:firstLine="720"/>
        <w:jc w:val="both"/>
        <w:rPr>
          <w:sz w:val="24"/>
          <w:szCs w:val="24"/>
        </w:rPr>
      </w:pPr>
      <w:r>
        <w:rPr>
          <w:sz w:val="24"/>
          <w:szCs w:val="24"/>
        </w:rPr>
        <w:t xml:space="preserve">The present work suggests that AIER occurs, that improving forms of AIER occur more often than worsening forms of AIER, that the recipient of the IER also determines whether the IER will tend to be automatic or controlled, and that not having enough self-regulatory resources or cognitive resources may make people more reliant on AIER. </w:t>
      </w:r>
      <w:r w:rsidRPr="00B60564">
        <w:rPr>
          <w:sz w:val="24"/>
          <w:szCs w:val="24"/>
        </w:rPr>
        <w:t xml:space="preserve">The </w:t>
      </w:r>
      <w:r>
        <w:rPr>
          <w:sz w:val="24"/>
          <w:szCs w:val="24"/>
        </w:rPr>
        <w:t xml:space="preserve">present thesis is far from explaining exactly how, when, and why AIER happens but it provides a useful first approach to the study of AIER. By </w:t>
      </w:r>
      <w:r w:rsidR="00C455D9">
        <w:rPr>
          <w:sz w:val="24"/>
          <w:szCs w:val="24"/>
        </w:rPr>
        <w:t>proposing</w:t>
      </w:r>
      <w:r>
        <w:rPr>
          <w:sz w:val="24"/>
          <w:szCs w:val="24"/>
        </w:rPr>
        <w:t xml:space="preserve"> different methods and circumstances in which AIER </w:t>
      </w:r>
      <w:r w:rsidR="00C455D9">
        <w:rPr>
          <w:sz w:val="24"/>
          <w:szCs w:val="24"/>
        </w:rPr>
        <w:t>is likely to occur</w:t>
      </w:r>
      <w:r>
        <w:rPr>
          <w:sz w:val="24"/>
          <w:szCs w:val="24"/>
        </w:rPr>
        <w:t>, this thesis hopes to provide the basis for future research on AIER.</w:t>
      </w:r>
    </w:p>
    <w:p w:rsidR="00AC790E" w:rsidRDefault="00AC790E" w:rsidP="00AE640B">
      <w:pPr>
        <w:spacing w:line="480" w:lineRule="auto"/>
        <w:ind w:firstLine="720"/>
        <w:jc w:val="both"/>
        <w:rPr>
          <w:sz w:val="24"/>
          <w:szCs w:val="24"/>
        </w:rPr>
      </w:pPr>
    </w:p>
    <w:p w:rsidR="00AC790E" w:rsidRDefault="00AC790E" w:rsidP="00AE640B">
      <w:pPr>
        <w:spacing w:line="480" w:lineRule="auto"/>
        <w:ind w:firstLine="720"/>
        <w:jc w:val="both"/>
        <w:rPr>
          <w:sz w:val="24"/>
          <w:szCs w:val="24"/>
        </w:rPr>
      </w:pPr>
    </w:p>
    <w:p w:rsidR="00AC790E" w:rsidRDefault="00AC790E" w:rsidP="00AE640B">
      <w:pPr>
        <w:spacing w:line="480" w:lineRule="auto"/>
        <w:ind w:firstLine="720"/>
        <w:jc w:val="both"/>
        <w:rPr>
          <w:sz w:val="24"/>
          <w:szCs w:val="24"/>
        </w:rPr>
      </w:pPr>
    </w:p>
    <w:p w:rsidR="0022246D" w:rsidRDefault="0022246D" w:rsidP="008F08FE">
      <w:pPr>
        <w:widowControl w:val="0"/>
        <w:autoSpaceDE w:val="0"/>
        <w:autoSpaceDN w:val="0"/>
        <w:adjustRightInd w:val="0"/>
        <w:spacing w:line="480" w:lineRule="auto"/>
        <w:ind w:left="480" w:hanging="480"/>
        <w:rPr>
          <w:b/>
          <w:sz w:val="24"/>
          <w:szCs w:val="24"/>
        </w:rPr>
      </w:pPr>
    </w:p>
    <w:p w:rsidR="00AC790E" w:rsidRPr="00697C2B" w:rsidRDefault="00AC790E" w:rsidP="008F08FE">
      <w:pPr>
        <w:widowControl w:val="0"/>
        <w:autoSpaceDE w:val="0"/>
        <w:autoSpaceDN w:val="0"/>
        <w:adjustRightInd w:val="0"/>
        <w:spacing w:line="480" w:lineRule="auto"/>
        <w:ind w:left="480" w:hanging="480"/>
        <w:rPr>
          <w:b/>
          <w:sz w:val="24"/>
          <w:szCs w:val="24"/>
        </w:rPr>
      </w:pPr>
      <w:r w:rsidRPr="00697C2B">
        <w:rPr>
          <w:b/>
          <w:sz w:val="24"/>
          <w:szCs w:val="24"/>
        </w:rPr>
        <w:lastRenderedPageBreak/>
        <w:t>REFERENCES</w:t>
      </w:r>
    </w:p>
    <w:p w:rsidR="00844B08" w:rsidRPr="00844B08" w:rsidRDefault="00B06E70" w:rsidP="00844B08">
      <w:pPr>
        <w:widowControl w:val="0"/>
        <w:autoSpaceDE w:val="0"/>
        <w:autoSpaceDN w:val="0"/>
        <w:adjustRightInd w:val="0"/>
        <w:spacing w:line="480" w:lineRule="auto"/>
        <w:ind w:left="480" w:hanging="480"/>
        <w:rPr>
          <w:rFonts w:ascii="Calibri" w:hAnsi="Calibri" w:cs="Times New Roman"/>
          <w:noProof/>
          <w:sz w:val="24"/>
          <w:szCs w:val="24"/>
        </w:rPr>
      </w:pPr>
      <w:r>
        <w:rPr>
          <w:b/>
          <w:sz w:val="24"/>
          <w:szCs w:val="24"/>
        </w:rPr>
        <w:fldChar w:fldCharType="begin" w:fldLock="1"/>
      </w:r>
      <w:r w:rsidR="00AD532D" w:rsidRPr="00697C2B">
        <w:rPr>
          <w:b/>
          <w:sz w:val="24"/>
          <w:szCs w:val="24"/>
        </w:rPr>
        <w:instrText xml:space="preserve">ADDIN Mendeley Bibliography CSL_BIBLIOGRAPHY </w:instrText>
      </w:r>
      <w:r>
        <w:rPr>
          <w:b/>
          <w:sz w:val="24"/>
          <w:szCs w:val="24"/>
        </w:rPr>
        <w:fldChar w:fldCharType="separate"/>
      </w:r>
      <w:r w:rsidR="00844B08" w:rsidRPr="00844B08">
        <w:rPr>
          <w:rFonts w:ascii="Calibri" w:hAnsi="Calibri" w:cs="Times New Roman"/>
          <w:noProof/>
          <w:sz w:val="24"/>
          <w:szCs w:val="24"/>
        </w:rPr>
        <w:t xml:space="preserve">Aarts, H., &amp; Dijksterhuis, A. (2000). Habits as Knowledge Structures: Automaticity in Goal-Directed Behavior. </w:t>
      </w:r>
      <w:r w:rsidR="00844B08" w:rsidRPr="00844B08">
        <w:rPr>
          <w:rFonts w:ascii="Calibri" w:hAnsi="Calibri" w:cs="Times New Roman"/>
          <w:i/>
          <w:iCs/>
          <w:noProof/>
          <w:sz w:val="24"/>
          <w:szCs w:val="24"/>
        </w:rPr>
        <w:t>Journal of Personality and Social Psychology</w:t>
      </w:r>
      <w:r w:rsidR="00844B08" w:rsidRPr="00844B08">
        <w:rPr>
          <w:rFonts w:ascii="Calibri" w:hAnsi="Calibri" w:cs="Times New Roman"/>
          <w:noProof/>
          <w:sz w:val="24"/>
          <w:szCs w:val="24"/>
        </w:rPr>
        <w:t xml:space="preserve">, </w:t>
      </w:r>
      <w:r w:rsidR="00844B08" w:rsidRPr="00844B08">
        <w:rPr>
          <w:rFonts w:ascii="Calibri" w:hAnsi="Calibri" w:cs="Times New Roman"/>
          <w:i/>
          <w:iCs/>
          <w:noProof/>
          <w:sz w:val="24"/>
          <w:szCs w:val="24"/>
        </w:rPr>
        <w:t>78</w:t>
      </w:r>
      <w:r w:rsidR="00844B08" w:rsidRPr="00844B08">
        <w:rPr>
          <w:rFonts w:ascii="Calibri" w:hAnsi="Calibri" w:cs="Times New Roman"/>
          <w:noProof/>
          <w:sz w:val="24"/>
          <w:szCs w:val="24"/>
        </w:rPr>
        <w:t>(1), 53–63. http://doi.org/10.1037//0022-3514.78.1.53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Aarts, H., Verplanken, B., &amp; Knippenberg, A. (1998). Predicting Behavior From Actions in the Past: Repeated Decision Making or a Matter of Habit? </w:t>
      </w:r>
      <w:r w:rsidRPr="00844B08">
        <w:rPr>
          <w:rFonts w:ascii="Calibri" w:hAnsi="Calibri" w:cs="Times New Roman"/>
          <w:i/>
          <w:iCs/>
          <w:noProof/>
          <w:sz w:val="24"/>
          <w:szCs w:val="24"/>
        </w:rPr>
        <w:t>Journal of Applied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28</w:t>
      </w:r>
      <w:r w:rsidRPr="00844B08">
        <w:rPr>
          <w:rFonts w:ascii="Calibri" w:hAnsi="Calibri" w:cs="Times New Roman"/>
          <w:noProof/>
          <w:sz w:val="24"/>
          <w:szCs w:val="24"/>
        </w:rPr>
        <w:t>(15), 1355–1374. http://doi.org/10.1111/j.1559-1816.1998.tb01681.x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Ahmed,  a. M., &amp; Salas, O. (2008). Trust in India and Sweden: An Experimental Examination of the Fukuyama Conjecture. </w:t>
      </w:r>
      <w:r w:rsidRPr="00844B08">
        <w:rPr>
          <w:rFonts w:ascii="Calibri" w:hAnsi="Calibri" w:cs="Times New Roman"/>
          <w:i/>
          <w:iCs/>
          <w:noProof/>
          <w:sz w:val="24"/>
          <w:szCs w:val="24"/>
        </w:rPr>
        <w:t>Cross-Cultural Research</w:t>
      </w:r>
      <w:r w:rsidRPr="00844B08">
        <w:rPr>
          <w:rFonts w:ascii="Calibri" w:hAnsi="Calibri" w:cs="Times New Roman"/>
          <w:noProof/>
          <w:sz w:val="24"/>
          <w:szCs w:val="24"/>
        </w:rPr>
        <w:t xml:space="preserve">, </w:t>
      </w:r>
      <w:r w:rsidRPr="00844B08">
        <w:rPr>
          <w:rFonts w:ascii="Calibri" w:hAnsi="Calibri" w:cs="Times New Roman"/>
          <w:i/>
          <w:iCs/>
          <w:noProof/>
          <w:sz w:val="24"/>
          <w:szCs w:val="24"/>
        </w:rPr>
        <w:t>42</w:t>
      </w:r>
      <w:r w:rsidRPr="00844B08">
        <w:rPr>
          <w:rFonts w:ascii="Calibri" w:hAnsi="Calibri" w:cs="Times New Roman"/>
          <w:noProof/>
          <w:sz w:val="24"/>
          <w:szCs w:val="24"/>
        </w:rPr>
        <w:t>(4), 420–429. http://doi.org/10.1177/1069397108322455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Alquist, J., Baumeister, R. F., &amp; Tice, D. M. (2012). What you dont know can hurt you: uncertainty depletes self-regulatory reserves. </w:t>
      </w:r>
      <w:r w:rsidRPr="00844B08">
        <w:rPr>
          <w:rFonts w:ascii="Calibri" w:hAnsi="Calibri" w:cs="Times New Roman"/>
          <w:i/>
          <w:iCs/>
          <w:noProof/>
          <w:sz w:val="24"/>
          <w:szCs w:val="24"/>
        </w:rPr>
        <w:t>Advances in Consumer Research</w:t>
      </w:r>
      <w:r w:rsidRPr="00844B08">
        <w:rPr>
          <w:rFonts w:ascii="Calibri" w:hAnsi="Calibri" w:cs="Times New Roman"/>
          <w:noProof/>
          <w:sz w:val="24"/>
          <w:szCs w:val="24"/>
        </w:rPr>
        <w:t xml:space="preserve">, </w:t>
      </w:r>
      <w:r w:rsidRPr="00844B08">
        <w:rPr>
          <w:rFonts w:ascii="Calibri" w:hAnsi="Calibri" w:cs="Times New Roman"/>
          <w:i/>
          <w:iCs/>
          <w:noProof/>
          <w:sz w:val="24"/>
          <w:szCs w:val="24"/>
        </w:rPr>
        <w:t>40</w:t>
      </w:r>
      <w:r w:rsidRPr="00844B08">
        <w:rPr>
          <w:rFonts w:ascii="Calibri" w:hAnsi="Calibri" w:cs="Times New Roman"/>
          <w:noProof/>
          <w:sz w:val="24"/>
          <w:szCs w:val="24"/>
        </w:rPr>
        <w:t>, 9–12.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Andrew, W., &amp; Reis, H. T. (2000). The Relationship Context of Human Behavior and Development, </w:t>
      </w:r>
      <w:r w:rsidRPr="00844B08">
        <w:rPr>
          <w:rFonts w:ascii="Calibri" w:hAnsi="Calibri" w:cs="Times New Roman"/>
          <w:i/>
          <w:iCs/>
          <w:noProof/>
          <w:sz w:val="24"/>
          <w:szCs w:val="24"/>
        </w:rPr>
        <w:t>126</w:t>
      </w:r>
      <w:r w:rsidRPr="00844B08">
        <w:rPr>
          <w:rFonts w:ascii="Calibri" w:hAnsi="Calibri" w:cs="Times New Roman"/>
          <w:noProof/>
          <w:sz w:val="24"/>
          <w:szCs w:val="24"/>
        </w:rPr>
        <w:t>(6), 844–872. Retrieved from http://ovidsp.tx.ovid.com/sp­3.17.0a/ovidweb.cgi?QS2=434f4e1a73d37e8c1b4a447f0f0a848df209ff13f94da1a465d96f9d9ec7d7ff5c0f537b2bb3ada2819b1cb0…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Arch, J. J., &amp; Craske, M. G. (2006). Mechanisms of mindfulness: Emotion regulation following a focused breathing induction. </w:t>
      </w:r>
      <w:r w:rsidRPr="00844B08">
        <w:rPr>
          <w:rFonts w:ascii="Calibri" w:hAnsi="Calibri" w:cs="Times New Roman"/>
          <w:i/>
          <w:iCs/>
          <w:noProof/>
          <w:sz w:val="24"/>
          <w:szCs w:val="24"/>
        </w:rPr>
        <w:t>Behaviour Research and Therapy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44</w:t>
      </w:r>
      <w:r w:rsidRPr="00844B08">
        <w:rPr>
          <w:rFonts w:ascii="Calibri" w:hAnsi="Calibri" w:cs="Times New Roman"/>
          <w:noProof/>
          <w:sz w:val="24"/>
          <w:szCs w:val="24"/>
        </w:rPr>
        <w:t>(12), 1849–1858. http://doi.org/10.1016/j.brat.2005.12.007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lastRenderedPageBreak/>
        <w:t xml:space="preserve">Aspinwall, L. G., &amp; Taylor, S. E. (1997). A stitch in time: Self-regulation and proactive coping. </w:t>
      </w:r>
      <w:r w:rsidRPr="00844B08">
        <w:rPr>
          <w:rFonts w:ascii="Calibri" w:hAnsi="Calibri" w:cs="Times New Roman"/>
          <w:i/>
          <w:iCs/>
          <w:noProof/>
          <w:sz w:val="24"/>
          <w:szCs w:val="24"/>
        </w:rPr>
        <w:t>Psychological Bulletin</w:t>
      </w:r>
      <w:r w:rsidRPr="00844B08">
        <w:rPr>
          <w:rFonts w:ascii="Calibri" w:hAnsi="Calibri" w:cs="Times New Roman"/>
          <w:noProof/>
          <w:sz w:val="24"/>
          <w:szCs w:val="24"/>
        </w:rPr>
        <w:t xml:space="preserve">, </w:t>
      </w:r>
      <w:r w:rsidRPr="00844B08">
        <w:rPr>
          <w:rFonts w:ascii="Calibri" w:hAnsi="Calibri" w:cs="Times New Roman"/>
          <w:i/>
          <w:iCs/>
          <w:noProof/>
          <w:sz w:val="24"/>
          <w:szCs w:val="24"/>
        </w:rPr>
        <w:t>121</w:t>
      </w:r>
      <w:r w:rsidRPr="00844B08">
        <w:rPr>
          <w:rFonts w:ascii="Calibri" w:hAnsi="Calibri" w:cs="Times New Roman"/>
          <w:noProof/>
          <w:sz w:val="24"/>
          <w:szCs w:val="24"/>
        </w:rPr>
        <w:t>(3), 417–436. http://doi.org/10.1037/0033-2909.121.3.417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Back, M. D., &amp; Kenny, D. A. (2010). The social relations model: How to understand dyadic processes. </w:t>
      </w:r>
      <w:r w:rsidRPr="00844B08">
        <w:rPr>
          <w:rFonts w:ascii="Calibri" w:hAnsi="Calibri" w:cs="Times New Roman"/>
          <w:i/>
          <w:iCs/>
          <w:noProof/>
          <w:sz w:val="24"/>
          <w:szCs w:val="24"/>
        </w:rPr>
        <w:t>Social and Personality Psychology Compass</w:t>
      </w:r>
      <w:r w:rsidRPr="00844B08">
        <w:rPr>
          <w:rFonts w:ascii="Calibri" w:hAnsi="Calibri" w:cs="Times New Roman"/>
          <w:noProof/>
          <w:sz w:val="24"/>
          <w:szCs w:val="24"/>
        </w:rPr>
        <w:t xml:space="preserve">, </w:t>
      </w:r>
      <w:r w:rsidRPr="00844B08">
        <w:rPr>
          <w:rFonts w:ascii="Calibri" w:hAnsi="Calibri" w:cs="Times New Roman"/>
          <w:i/>
          <w:iCs/>
          <w:noProof/>
          <w:sz w:val="24"/>
          <w:szCs w:val="24"/>
        </w:rPr>
        <w:t>4</w:t>
      </w:r>
      <w:r w:rsidRPr="00844B08">
        <w:rPr>
          <w:rFonts w:ascii="Calibri" w:hAnsi="Calibri" w:cs="Times New Roman"/>
          <w:noProof/>
          <w:sz w:val="24"/>
          <w:szCs w:val="24"/>
        </w:rPr>
        <w:t>(10), 855–870. http://doi.org/10.1111/j.1751-9004.2010.00303.x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Bargh, J. A. (1994). The four horsemen of automaticity: Awareness, intention, efficiency, and control in social cognition. In J. Wyer, Robert S. &amp; T. K. Srull (Eds.), </w:t>
      </w:r>
      <w:r w:rsidRPr="00844B08">
        <w:rPr>
          <w:rFonts w:ascii="Calibri" w:hAnsi="Calibri" w:cs="Times New Roman"/>
          <w:i/>
          <w:iCs/>
          <w:noProof/>
          <w:sz w:val="24"/>
          <w:szCs w:val="24"/>
        </w:rPr>
        <w:t>Handbook of Social Cognition:</w:t>
      </w:r>
      <w:r w:rsidRPr="00844B08">
        <w:rPr>
          <w:rFonts w:ascii="Calibri" w:hAnsi="Calibri" w:cs="Times New Roman"/>
          <w:noProof/>
          <w:sz w:val="24"/>
          <w:szCs w:val="24"/>
        </w:rPr>
        <w:t xml:space="preserve"> (pp. 1–40). Hillsdale,NJ, US: Lawrence Erlbaum Associates.</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Bargh, J. A. (2006). What have we been priming all these years? on the development, mechanisms, and ecology of nonconscious social behavior. </w:t>
      </w:r>
      <w:r w:rsidRPr="00844B08">
        <w:rPr>
          <w:rFonts w:ascii="Calibri" w:hAnsi="Calibri" w:cs="Times New Roman"/>
          <w:i/>
          <w:iCs/>
          <w:noProof/>
          <w:sz w:val="24"/>
          <w:szCs w:val="24"/>
        </w:rPr>
        <w:t>European Journal of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36</w:t>
      </w:r>
      <w:r w:rsidRPr="00844B08">
        <w:rPr>
          <w:rFonts w:ascii="Calibri" w:hAnsi="Calibri" w:cs="Times New Roman"/>
          <w:noProof/>
          <w:sz w:val="24"/>
          <w:szCs w:val="24"/>
        </w:rPr>
        <w:t>(2), 147–168. http://doi.org/10.1002/ejsp.336</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Bargh, J. A., Chen, M., &amp; Burrows, L. (1996). Automaticity of social behavior: Direct effects of trait construct and stereotype-activation on action.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71</w:t>
      </w:r>
      <w:r w:rsidRPr="00844B08">
        <w:rPr>
          <w:rFonts w:ascii="Calibri" w:hAnsi="Calibri" w:cs="Times New Roman"/>
          <w:noProof/>
          <w:sz w:val="24"/>
          <w:szCs w:val="24"/>
        </w:rPr>
        <w:t>(2), 230–244. http://doi.org/10.1037/0022-3514.71.2.230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Bargh, J. A., &amp; Dijksterhuis, A. (2001). The perception-behavior expressway: Automatic effects of social perception on social behavior. </w:t>
      </w:r>
      <w:r w:rsidRPr="00844B08">
        <w:rPr>
          <w:rFonts w:ascii="Calibri" w:hAnsi="Calibri" w:cs="Times New Roman"/>
          <w:i/>
          <w:iCs/>
          <w:noProof/>
          <w:sz w:val="24"/>
          <w:szCs w:val="24"/>
        </w:rPr>
        <w:t>Advances in Experimental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33</w:t>
      </w:r>
      <w:r w:rsidRPr="00844B08">
        <w:rPr>
          <w:rFonts w:ascii="Calibri" w:hAnsi="Calibri" w:cs="Times New Roman"/>
          <w:noProof/>
          <w:sz w:val="24"/>
          <w:szCs w:val="24"/>
        </w:rPr>
        <w:t>, 1–40. http://doi.org/10.1016/S0065-2601(01)80003-4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Bargh, J. A., Gollwitzer, P. M., Lee-chai, A., Barndollar, K., &amp; Trotschel, R. (2001). The Automated Will: Nonconscious Activation and Pursuit of Behavioral Goals.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81</w:t>
      </w:r>
      <w:r w:rsidRPr="00844B08">
        <w:rPr>
          <w:rFonts w:ascii="Calibri" w:hAnsi="Calibri" w:cs="Times New Roman"/>
          <w:noProof/>
          <w:sz w:val="24"/>
          <w:szCs w:val="24"/>
        </w:rPr>
        <w:t>(6), 1014–1027. http://doi.org/10.1016/j.biotechadv.2011.08.021.Secreted</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es-MX"/>
        </w:rPr>
        <w:lastRenderedPageBreak/>
        <w:t xml:space="preserve">Bargh, J. A., &amp; Pietromonaco, P. (1982). </w:t>
      </w:r>
      <w:r w:rsidRPr="00844B08">
        <w:rPr>
          <w:rFonts w:ascii="Calibri" w:hAnsi="Calibri" w:cs="Times New Roman"/>
          <w:noProof/>
          <w:sz w:val="24"/>
          <w:szCs w:val="24"/>
        </w:rPr>
        <w:t xml:space="preserve">Automatic information processing and social perception: The influence of trait information presented outside of conscious awareness on impression formation.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43</w:t>
      </w:r>
      <w:r w:rsidRPr="00844B08">
        <w:rPr>
          <w:rFonts w:ascii="Calibri" w:hAnsi="Calibri" w:cs="Times New Roman"/>
          <w:noProof/>
          <w:sz w:val="24"/>
          <w:szCs w:val="24"/>
        </w:rPr>
        <w:t>(3), 437–449. http://doi.org/10.1037/0022-3514.43.3.437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Bargh, J. A., &amp; Williams, L. E. (2007). Handbook of Emotion Regulation. In James J. Gross (Ed.), </w:t>
      </w:r>
      <w:r w:rsidRPr="00844B08">
        <w:rPr>
          <w:rFonts w:ascii="Calibri" w:hAnsi="Calibri" w:cs="Times New Roman"/>
          <w:i/>
          <w:iCs/>
          <w:noProof/>
          <w:sz w:val="24"/>
          <w:szCs w:val="24"/>
        </w:rPr>
        <w:t>Handbook of Emotion Regulation</w:t>
      </w:r>
      <w:r w:rsidRPr="00844B08">
        <w:rPr>
          <w:rFonts w:ascii="Calibri" w:hAnsi="Calibri" w:cs="Times New Roman"/>
          <w:noProof/>
          <w:sz w:val="24"/>
          <w:szCs w:val="24"/>
        </w:rPr>
        <w:t xml:space="preserve"> (pp. 429–445). New York, NY: Guilford Press.</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Bargh, J., &amp; Williams, E. (2006). The Automaticity of Social Life. </w:t>
      </w:r>
      <w:r w:rsidRPr="00844B08">
        <w:rPr>
          <w:rFonts w:ascii="Calibri" w:hAnsi="Calibri" w:cs="Times New Roman"/>
          <w:i/>
          <w:iCs/>
          <w:noProof/>
          <w:sz w:val="24"/>
          <w:szCs w:val="24"/>
        </w:rPr>
        <w:t>Current Directions in Psychological Science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2</w:t>
      </w:r>
      <w:r w:rsidRPr="00844B08">
        <w:rPr>
          <w:rFonts w:ascii="Calibri" w:hAnsi="Calibri" w:cs="Times New Roman"/>
          <w:noProof/>
          <w:sz w:val="24"/>
          <w:szCs w:val="24"/>
        </w:rPr>
        <w:t>(1), 1–4. http://doi.org/10.1038/nature13314.A</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Baumeister, R. F., Bratslavsky, E., Muraven, M., &amp; Tice, D. M. (1998). Ego depletion: is the active self a limited resource?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74</w:t>
      </w:r>
      <w:r w:rsidRPr="00844B08">
        <w:rPr>
          <w:rFonts w:ascii="Calibri" w:hAnsi="Calibri" w:cs="Times New Roman"/>
          <w:noProof/>
          <w:sz w:val="24"/>
          <w:szCs w:val="24"/>
        </w:rPr>
        <w:t>(5), 1252–1265. http://doi.org/10.1037/0022-3514.74.5.1252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Baumeister, R. F., Bratslavsky, E., &amp; Vohs, K. D. (2001). </w:t>
      </w:r>
      <w:r w:rsidRPr="00844B08">
        <w:rPr>
          <w:rFonts w:ascii="Calibri" w:hAnsi="Calibri" w:cs="Times New Roman"/>
          <w:noProof/>
          <w:sz w:val="24"/>
          <w:szCs w:val="24"/>
        </w:rPr>
        <w:t xml:space="preserve">Bad Is Stronger Than Good. </w:t>
      </w:r>
      <w:r w:rsidRPr="00844B08">
        <w:rPr>
          <w:rFonts w:ascii="Calibri" w:hAnsi="Calibri" w:cs="Times New Roman"/>
          <w:i/>
          <w:iCs/>
          <w:noProof/>
          <w:sz w:val="24"/>
          <w:szCs w:val="24"/>
        </w:rPr>
        <w:t>Review of General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5</w:t>
      </w:r>
      <w:r w:rsidRPr="00844B08">
        <w:rPr>
          <w:rFonts w:ascii="Calibri" w:hAnsi="Calibri" w:cs="Times New Roman"/>
          <w:noProof/>
          <w:sz w:val="24"/>
          <w:szCs w:val="24"/>
        </w:rPr>
        <w:t>(4), 323–370. http://doi.org/10.1037//1089-2680.5.4.323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Baumeister, R. F., Gailliot, M., DeWall, C. N., &amp; Oaten, M. (2006). Self-regulation and personality: How interventions increase regulatory success, and how depletion moderates the effects of traits on behavior. </w:t>
      </w:r>
      <w:r w:rsidRPr="00844B08">
        <w:rPr>
          <w:rFonts w:ascii="Calibri" w:hAnsi="Calibri" w:cs="Times New Roman"/>
          <w:i/>
          <w:iCs/>
          <w:noProof/>
          <w:sz w:val="24"/>
          <w:szCs w:val="24"/>
        </w:rPr>
        <w:t>Journal of Personality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74</w:t>
      </w:r>
      <w:r w:rsidRPr="00844B08">
        <w:rPr>
          <w:rFonts w:ascii="Calibri" w:hAnsi="Calibri" w:cs="Times New Roman"/>
          <w:noProof/>
          <w:sz w:val="24"/>
          <w:szCs w:val="24"/>
        </w:rPr>
        <w:t>(6), 1773–1801. http://doi.org/10.1111/j.1467-6494.2006.00428.x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Baumeister, R. F., Heatherton, T. F., &amp; Tice, D. M. (1994). Losing control: How and why people fail at self-regulation. </w:t>
      </w:r>
      <w:r w:rsidRPr="00844B08">
        <w:rPr>
          <w:rFonts w:ascii="Calibri" w:hAnsi="Calibri" w:cs="Times New Roman"/>
          <w:i/>
          <w:iCs/>
          <w:noProof/>
          <w:sz w:val="24"/>
          <w:szCs w:val="24"/>
        </w:rPr>
        <w:t>The Journal of Psychiatry &amp; Law</w:t>
      </w:r>
      <w:r w:rsidRPr="00844B08">
        <w:rPr>
          <w:rFonts w:ascii="Calibri" w:hAnsi="Calibri" w:cs="Times New Roman"/>
          <w:noProof/>
          <w:sz w:val="24"/>
          <w:szCs w:val="24"/>
        </w:rPr>
        <w:t xml:space="preserve">, </w:t>
      </w:r>
      <w:r w:rsidRPr="00844B08">
        <w:rPr>
          <w:rFonts w:ascii="Calibri" w:hAnsi="Calibri" w:cs="Times New Roman"/>
          <w:i/>
          <w:iCs/>
          <w:noProof/>
          <w:sz w:val="24"/>
          <w:szCs w:val="24"/>
        </w:rPr>
        <w:t>15</w:t>
      </w:r>
      <w:r w:rsidRPr="00844B08">
        <w:rPr>
          <w:rFonts w:ascii="Calibri" w:hAnsi="Calibri" w:cs="Times New Roman"/>
          <w:noProof/>
          <w:sz w:val="24"/>
          <w:szCs w:val="24"/>
        </w:rPr>
        <w:t>(4), 367–368. http://doi.org/10.1016/0272-7358(95)90149-3</w:t>
      </w:r>
    </w:p>
    <w:p w:rsidR="00844B08" w:rsidRPr="00A41BE2" w:rsidRDefault="00844B08" w:rsidP="00844B08">
      <w:pPr>
        <w:widowControl w:val="0"/>
        <w:autoSpaceDE w:val="0"/>
        <w:autoSpaceDN w:val="0"/>
        <w:adjustRightInd w:val="0"/>
        <w:spacing w:line="480" w:lineRule="auto"/>
        <w:ind w:left="480" w:hanging="480"/>
        <w:rPr>
          <w:rFonts w:ascii="Calibri" w:hAnsi="Calibri" w:cs="Times New Roman"/>
          <w:noProof/>
          <w:sz w:val="24"/>
          <w:szCs w:val="24"/>
          <w:lang w:val="de-DE"/>
        </w:rPr>
      </w:pPr>
      <w:r w:rsidRPr="00844B08">
        <w:rPr>
          <w:rFonts w:ascii="Calibri" w:hAnsi="Calibri" w:cs="Times New Roman"/>
          <w:noProof/>
          <w:sz w:val="24"/>
          <w:szCs w:val="24"/>
        </w:rPr>
        <w:lastRenderedPageBreak/>
        <w:t xml:space="preserve">Baumeister, R. F., &amp; Leary,  mark r. (1995a). the need to belong: desire for interpersonal atachments as a fundamental human motivation. </w:t>
      </w:r>
      <w:r w:rsidRPr="00A41BE2">
        <w:rPr>
          <w:rFonts w:ascii="Calibri" w:hAnsi="Calibri" w:cs="Times New Roman"/>
          <w:i/>
          <w:iCs/>
          <w:noProof/>
          <w:sz w:val="24"/>
          <w:szCs w:val="24"/>
          <w:lang w:val="de-DE"/>
        </w:rPr>
        <w:t>Psychological Bulletin</w:t>
      </w:r>
      <w:r w:rsidRPr="00A41BE2">
        <w:rPr>
          <w:rFonts w:ascii="Calibri" w:hAnsi="Calibri" w:cs="Times New Roman"/>
          <w:noProof/>
          <w:sz w:val="24"/>
          <w:szCs w:val="24"/>
          <w:lang w:val="de-DE"/>
        </w:rPr>
        <w:t xml:space="preserve">, </w:t>
      </w:r>
      <w:r w:rsidRPr="00A41BE2">
        <w:rPr>
          <w:rFonts w:ascii="Calibri" w:hAnsi="Calibri" w:cs="Times New Roman"/>
          <w:i/>
          <w:iCs/>
          <w:noProof/>
          <w:sz w:val="24"/>
          <w:szCs w:val="24"/>
          <w:lang w:val="de-DE"/>
        </w:rPr>
        <w:t>117</w:t>
      </w:r>
      <w:r w:rsidRPr="00A41BE2">
        <w:rPr>
          <w:rFonts w:ascii="Calibri" w:hAnsi="Calibri" w:cs="Times New Roman"/>
          <w:noProof/>
          <w:sz w:val="24"/>
          <w:szCs w:val="24"/>
          <w:lang w:val="de-DE"/>
        </w:rPr>
        <w:t>(3), 497–529.</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Baumeister, R. F., &amp; Leary, M. R. (1995b). Baumeister &amp; Leary (1995). </w:t>
      </w:r>
      <w:r w:rsidRPr="00844B08">
        <w:rPr>
          <w:rFonts w:ascii="Calibri" w:hAnsi="Calibri" w:cs="Times New Roman"/>
          <w:noProof/>
          <w:sz w:val="24"/>
          <w:szCs w:val="24"/>
        </w:rPr>
        <w:t xml:space="preserve">The Need to Belong--Desire for Interpersonal Attachments as a fundamental human emotion.pdf. </w:t>
      </w:r>
      <w:r w:rsidRPr="00844B08">
        <w:rPr>
          <w:rFonts w:ascii="Calibri" w:hAnsi="Calibri" w:cs="Times New Roman"/>
          <w:i/>
          <w:iCs/>
          <w:noProof/>
          <w:sz w:val="24"/>
          <w:szCs w:val="24"/>
        </w:rPr>
        <w:t>Psychological Bulletin</w:t>
      </w:r>
      <w:r w:rsidRPr="00844B08">
        <w:rPr>
          <w:rFonts w:ascii="Calibri" w:hAnsi="Calibri" w:cs="Times New Roman"/>
          <w:noProof/>
          <w:sz w:val="24"/>
          <w:szCs w:val="24"/>
        </w:rPr>
        <w:t xml:space="preserve">, </w:t>
      </w:r>
      <w:r w:rsidRPr="00844B08">
        <w:rPr>
          <w:rFonts w:ascii="Calibri" w:hAnsi="Calibri" w:cs="Times New Roman"/>
          <w:i/>
          <w:iCs/>
          <w:noProof/>
          <w:sz w:val="24"/>
          <w:szCs w:val="24"/>
        </w:rPr>
        <w:t>117</w:t>
      </w:r>
      <w:r w:rsidRPr="00844B08">
        <w:rPr>
          <w:rFonts w:ascii="Calibri" w:hAnsi="Calibri" w:cs="Times New Roman"/>
          <w:noProof/>
          <w:sz w:val="24"/>
          <w:szCs w:val="24"/>
        </w:rPr>
        <w:t>(3), 497–529. http://doi.org/10.1037/0033-2909.117.3.497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Baumeister, R. F., Masicampo, E. J., &amp; Vohs, K. D. (2011). Do conscious thoughts cause behavior? </w:t>
      </w:r>
      <w:r w:rsidRPr="00844B08">
        <w:rPr>
          <w:rFonts w:ascii="Calibri" w:hAnsi="Calibri" w:cs="Times New Roman"/>
          <w:i/>
          <w:iCs/>
          <w:noProof/>
          <w:sz w:val="24"/>
          <w:szCs w:val="24"/>
        </w:rPr>
        <w:t>Annual Review of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62</w:t>
      </w:r>
      <w:r w:rsidRPr="00844B08">
        <w:rPr>
          <w:rFonts w:ascii="Calibri" w:hAnsi="Calibri" w:cs="Times New Roman"/>
          <w:noProof/>
          <w:sz w:val="24"/>
          <w:szCs w:val="24"/>
        </w:rPr>
        <w:t>, 331–61. http://doi.org/10.1146/annurev.psych.093008.131126</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Baumeister, R. F., &amp; Vohs, K. D. (2007). Self-Regulation, Ego Depletion, and Motivation. </w:t>
      </w:r>
      <w:r w:rsidRPr="00844B08">
        <w:rPr>
          <w:rFonts w:ascii="Calibri" w:hAnsi="Calibri" w:cs="Times New Roman"/>
          <w:i/>
          <w:iCs/>
          <w:noProof/>
          <w:sz w:val="24"/>
          <w:szCs w:val="24"/>
        </w:rPr>
        <w:t>Social and Personality Psychology Compass</w:t>
      </w:r>
      <w:r w:rsidRPr="00844B08">
        <w:rPr>
          <w:rFonts w:ascii="Calibri" w:hAnsi="Calibri" w:cs="Times New Roman"/>
          <w:noProof/>
          <w:sz w:val="24"/>
          <w:szCs w:val="24"/>
        </w:rPr>
        <w:t xml:space="preserve">, </w:t>
      </w:r>
      <w:r w:rsidRPr="00844B08">
        <w:rPr>
          <w:rFonts w:ascii="Calibri" w:hAnsi="Calibri" w:cs="Times New Roman"/>
          <w:i/>
          <w:iCs/>
          <w:noProof/>
          <w:sz w:val="24"/>
          <w:szCs w:val="24"/>
        </w:rPr>
        <w:t>1</w:t>
      </w:r>
      <w:r w:rsidRPr="00844B08">
        <w:rPr>
          <w:rFonts w:ascii="Calibri" w:hAnsi="Calibri" w:cs="Times New Roman"/>
          <w:noProof/>
          <w:sz w:val="24"/>
          <w:szCs w:val="24"/>
        </w:rPr>
        <w:t>(1), 115–128. http://doi.org/10.1111/j.1751-9004.2007.00001.x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Baumeister, R. F., Vohs, K. D., &amp; Tice, D. M. (2007). The Strength Model of Self Control. </w:t>
      </w:r>
      <w:r w:rsidRPr="00844B08">
        <w:rPr>
          <w:rFonts w:ascii="Calibri" w:hAnsi="Calibri" w:cs="Times New Roman"/>
          <w:i/>
          <w:iCs/>
          <w:noProof/>
          <w:sz w:val="24"/>
          <w:szCs w:val="24"/>
        </w:rPr>
        <w:t>Current Directions in Psychological Science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16</w:t>
      </w:r>
      <w:r w:rsidRPr="00844B08">
        <w:rPr>
          <w:rFonts w:ascii="Calibri" w:hAnsi="Calibri" w:cs="Times New Roman"/>
          <w:noProof/>
          <w:sz w:val="24"/>
          <w:szCs w:val="24"/>
        </w:rPr>
        <w:t>(6), 351–355. Retrieved from http://www.jstor.org/stable/20183234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Belot, M., &amp; Francesconi, M. (2006). Can anyone be’the’one? Evidence on mate selection from speed dating. </w:t>
      </w:r>
      <w:r w:rsidRPr="00844B08">
        <w:rPr>
          <w:rFonts w:ascii="Calibri" w:hAnsi="Calibri" w:cs="Times New Roman"/>
          <w:i/>
          <w:iCs/>
          <w:noProof/>
          <w:sz w:val="24"/>
          <w:szCs w:val="24"/>
        </w:rPr>
        <w:t>IZA Discussion Paper</w:t>
      </w:r>
      <w:r w:rsidRPr="00844B08">
        <w:rPr>
          <w:rFonts w:ascii="Calibri" w:hAnsi="Calibri" w:cs="Times New Roman"/>
          <w:noProof/>
          <w:sz w:val="24"/>
          <w:szCs w:val="24"/>
        </w:rPr>
        <w:t>, (2377). Retrieved from http://papers.ssrn.com/soL3/papers.cfm?abstract_id=941111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Berrios, R., Totterdell, P., &amp; Niven, K. (2013). </w:t>
      </w:r>
      <w:r w:rsidRPr="00844B08">
        <w:rPr>
          <w:rFonts w:ascii="Calibri" w:hAnsi="Calibri" w:cs="Times New Roman"/>
          <w:noProof/>
          <w:sz w:val="24"/>
          <w:szCs w:val="24"/>
        </w:rPr>
        <w:t xml:space="preserve">Why Do You Make Us Feel Good? Correlates and Interpersonal Consequences of Affective Presence in Speed-dating. </w:t>
      </w:r>
      <w:r w:rsidRPr="00844B08">
        <w:rPr>
          <w:rFonts w:ascii="Calibri" w:hAnsi="Calibri" w:cs="Times New Roman"/>
          <w:i/>
          <w:iCs/>
          <w:noProof/>
          <w:sz w:val="24"/>
          <w:szCs w:val="24"/>
        </w:rPr>
        <w:t>European Journal of Personality</w:t>
      </w:r>
      <w:r w:rsidRPr="00844B08">
        <w:rPr>
          <w:rFonts w:ascii="Calibri" w:hAnsi="Calibri" w:cs="Times New Roman"/>
          <w:noProof/>
          <w:sz w:val="24"/>
          <w:szCs w:val="24"/>
        </w:rPr>
        <w:t xml:space="preserve">, </w:t>
      </w:r>
      <w:r w:rsidRPr="00844B08">
        <w:rPr>
          <w:rFonts w:ascii="Calibri" w:hAnsi="Calibri" w:cs="Times New Roman"/>
          <w:i/>
          <w:iCs/>
          <w:noProof/>
          <w:sz w:val="24"/>
          <w:szCs w:val="24"/>
        </w:rPr>
        <w:t>29</w:t>
      </w:r>
      <w:r w:rsidRPr="00844B08">
        <w:rPr>
          <w:rFonts w:ascii="Calibri" w:hAnsi="Calibri" w:cs="Times New Roman"/>
          <w:noProof/>
          <w:sz w:val="24"/>
          <w:szCs w:val="24"/>
        </w:rPr>
        <w:t>(1), 72–82. http://doi.org/10.1002/per.1944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lastRenderedPageBreak/>
        <w:t xml:space="preserve">Berscheid, E., &amp; Ammazzalorso, H. (2008). Emotional experience in close relationships. In G. J. O. Fletcher &amp; C. Margaret S. (Eds.), </w:t>
      </w:r>
      <w:r w:rsidRPr="00844B08">
        <w:rPr>
          <w:rFonts w:ascii="Calibri" w:hAnsi="Calibri" w:cs="Times New Roman"/>
          <w:i/>
          <w:iCs/>
          <w:noProof/>
          <w:sz w:val="24"/>
          <w:szCs w:val="24"/>
        </w:rPr>
        <w:t>Blackwell Handbook of Social Psychology: Interpersonal Processes</w:t>
      </w:r>
      <w:r w:rsidRPr="00844B08">
        <w:rPr>
          <w:rFonts w:ascii="Calibri" w:hAnsi="Calibri" w:cs="Times New Roman"/>
          <w:noProof/>
          <w:sz w:val="24"/>
          <w:szCs w:val="24"/>
        </w:rPr>
        <w:t>. John Wiley &amp; Sons.</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Bindl, U. K., Parker, S. K., Totterdell, P., &amp; Hagger-Johnson, G. (2012). Fuel of the self-starter: how mood relates to proactive goal regulation. </w:t>
      </w:r>
      <w:r w:rsidRPr="00844B08">
        <w:rPr>
          <w:rFonts w:ascii="Calibri" w:hAnsi="Calibri" w:cs="Times New Roman"/>
          <w:i/>
          <w:iCs/>
          <w:noProof/>
          <w:sz w:val="24"/>
          <w:szCs w:val="24"/>
        </w:rPr>
        <w:t>The Journal of Applied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97</w:t>
      </w:r>
      <w:r w:rsidRPr="00844B08">
        <w:rPr>
          <w:rFonts w:ascii="Calibri" w:hAnsi="Calibri" w:cs="Times New Roman"/>
          <w:noProof/>
          <w:sz w:val="24"/>
          <w:szCs w:val="24"/>
        </w:rPr>
        <w:t>(1), 134–50. http://doi.org/10.1037/a0024368</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Boon, B., Stroebe, W., Schut, H., &amp; Ijntema, R. (2002). Ironic processes in the eating behaviour of restrained eaters. </w:t>
      </w:r>
      <w:r w:rsidRPr="00844B08">
        <w:rPr>
          <w:rFonts w:ascii="Calibri" w:hAnsi="Calibri" w:cs="Times New Roman"/>
          <w:i/>
          <w:iCs/>
          <w:noProof/>
          <w:sz w:val="24"/>
          <w:szCs w:val="24"/>
        </w:rPr>
        <w:t>British Journal of Health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w:t>
      </w:r>
      <w:r w:rsidRPr="00844B08">
        <w:rPr>
          <w:rFonts w:ascii="Calibri" w:hAnsi="Calibri" w:cs="Times New Roman"/>
          <w:noProof/>
          <w:sz w:val="24"/>
          <w:szCs w:val="24"/>
        </w:rPr>
        <w:t>(1), 1–10. http://doi.org/10.1348/135910702169303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Brug, J., de Vet, E., de Nooijer, J., &amp; Verplanken, B. (2006). Predicting Fruit Consumption: Cognitions, Intention, and Habits. </w:t>
      </w:r>
      <w:r w:rsidRPr="00844B08">
        <w:rPr>
          <w:rFonts w:ascii="Calibri" w:hAnsi="Calibri" w:cs="Times New Roman"/>
          <w:i/>
          <w:iCs/>
          <w:noProof/>
          <w:sz w:val="24"/>
          <w:szCs w:val="24"/>
        </w:rPr>
        <w:t>Journal of Nutrition Education and Behavior</w:t>
      </w:r>
      <w:r w:rsidRPr="00844B08">
        <w:rPr>
          <w:rFonts w:ascii="Calibri" w:hAnsi="Calibri" w:cs="Times New Roman"/>
          <w:noProof/>
          <w:sz w:val="24"/>
          <w:szCs w:val="24"/>
        </w:rPr>
        <w:t xml:space="preserve">, </w:t>
      </w:r>
      <w:r w:rsidRPr="00844B08">
        <w:rPr>
          <w:rFonts w:ascii="Calibri" w:hAnsi="Calibri" w:cs="Times New Roman"/>
          <w:i/>
          <w:iCs/>
          <w:noProof/>
          <w:sz w:val="24"/>
          <w:szCs w:val="24"/>
        </w:rPr>
        <w:t>38</w:t>
      </w:r>
      <w:r w:rsidRPr="00844B08">
        <w:rPr>
          <w:rFonts w:ascii="Calibri" w:hAnsi="Calibri" w:cs="Times New Roman"/>
          <w:noProof/>
          <w:sz w:val="24"/>
          <w:szCs w:val="24"/>
        </w:rPr>
        <w:t>(2), 73–81. http://doi.org/10.1016/j.jneb.2005.11.027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fr-FR"/>
        </w:rPr>
        <w:t xml:space="preserve">Bruyneel, Dewitte, Hans-frances, P., &amp; Dekimpe,  marnik g. (2009). </w:t>
      </w:r>
      <w:r w:rsidRPr="00844B08">
        <w:rPr>
          <w:rFonts w:ascii="Calibri" w:hAnsi="Calibri" w:cs="Times New Roman"/>
          <w:noProof/>
          <w:sz w:val="24"/>
          <w:szCs w:val="24"/>
        </w:rPr>
        <w:t xml:space="preserve">I felt low and my purse feels light: Depleting mood regulation attempts affect risk decision making. </w:t>
      </w:r>
      <w:r w:rsidRPr="00844B08">
        <w:rPr>
          <w:rFonts w:ascii="Calibri" w:hAnsi="Calibri" w:cs="Times New Roman"/>
          <w:i/>
          <w:iCs/>
          <w:noProof/>
          <w:sz w:val="24"/>
          <w:szCs w:val="24"/>
        </w:rPr>
        <w:t>Journal of Behavioural Decision Making</w:t>
      </w:r>
      <w:r w:rsidRPr="00844B08">
        <w:rPr>
          <w:rFonts w:ascii="Calibri" w:hAnsi="Calibri" w:cs="Times New Roman"/>
          <w:noProof/>
          <w:sz w:val="24"/>
          <w:szCs w:val="24"/>
        </w:rPr>
        <w:t xml:space="preserve">, </w:t>
      </w:r>
      <w:r w:rsidRPr="00844B08">
        <w:rPr>
          <w:rFonts w:ascii="Calibri" w:hAnsi="Calibri" w:cs="Times New Roman"/>
          <w:i/>
          <w:iCs/>
          <w:noProof/>
          <w:sz w:val="24"/>
          <w:szCs w:val="24"/>
        </w:rPr>
        <w:t>22</w:t>
      </w:r>
      <w:r w:rsidRPr="00844B08">
        <w:rPr>
          <w:rFonts w:ascii="Calibri" w:hAnsi="Calibri" w:cs="Times New Roman"/>
          <w:noProof/>
          <w:sz w:val="24"/>
          <w:szCs w:val="24"/>
        </w:rPr>
        <w:t>, 153–170. http://doi.org/10.1002/bdm.619</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Buss, D. M. (1992). Manipulation in close relationships: five personality factors in interactional context. </w:t>
      </w:r>
      <w:r w:rsidRPr="00844B08">
        <w:rPr>
          <w:rFonts w:ascii="Calibri" w:hAnsi="Calibri" w:cs="Times New Roman"/>
          <w:i/>
          <w:iCs/>
          <w:noProof/>
          <w:sz w:val="24"/>
          <w:szCs w:val="24"/>
        </w:rPr>
        <w:t>Journal of Personality</w:t>
      </w:r>
      <w:r w:rsidRPr="00844B08">
        <w:rPr>
          <w:rFonts w:ascii="Calibri" w:hAnsi="Calibri" w:cs="Times New Roman"/>
          <w:noProof/>
          <w:sz w:val="24"/>
          <w:szCs w:val="24"/>
        </w:rPr>
        <w:t xml:space="preserve">, </w:t>
      </w:r>
      <w:r w:rsidRPr="00844B08">
        <w:rPr>
          <w:rFonts w:ascii="Calibri" w:hAnsi="Calibri" w:cs="Times New Roman"/>
          <w:i/>
          <w:iCs/>
          <w:noProof/>
          <w:sz w:val="24"/>
          <w:szCs w:val="24"/>
        </w:rPr>
        <w:t>60</w:t>
      </w:r>
      <w:r w:rsidRPr="00844B08">
        <w:rPr>
          <w:rFonts w:ascii="Calibri" w:hAnsi="Calibri" w:cs="Times New Roman"/>
          <w:noProof/>
          <w:sz w:val="24"/>
          <w:szCs w:val="24"/>
        </w:rPr>
        <w:t>(2), 477–499. http://doi.org/10.1111/j.1467-6494.1992.tb00981.x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Butler, E. A. (2011). Temporal Interpersonal Emotion Systems: The “ TIES ” That Form Relationships. </w:t>
      </w:r>
      <w:r w:rsidRPr="00844B08">
        <w:rPr>
          <w:rFonts w:ascii="Calibri" w:hAnsi="Calibri" w:cs="Times New Roman"/>
          <w:i/>
          <w:iCs/>
          <w:noProof/>
          <w:sz w:val="24"/>
          <w:szCs w:val="24"/>
        </w:rPr>
        <w:t>Personality and Social Psychology Review</w:t>
      </w:r>
      <w:r w:rsidRPr="00844B08">
        <w:rPr>
          <w:rFonts w:ascii="Calibri" w:hAnsi="Calibri" w:cs="Times New Roman"/>
          <w:noProof/>
          <w:sz w:val="24"/>
          <w:szCs w:val="24"/>
        </w:rPr>
        <w:t xml:space="preserve">, </w:t>
      </w:r>
      <w:r w:rsidRPr="00844B08">
        <w:rPr>
          <w:rFonts w:ascii="Calibri" w:hAnsi="Calibri" w:cs="Times New Roman"/>
          <w:i/>
          <w:iCs/>
          <w:noProof/>
          <w:sz w:val="24"/>
          <w:szCs w:val="24"/>
        </w:rPr>
        <w:t>15</w:t>
      </w:r>
      <w:r w:rsidRPr="00844B08">
        <w:rPr>
          <w:rFonts w:ascii="Calibri" w:hAnsi="Calibri" w:cs="Times New Roman"/>
          <w:noProof/>
          <w:sz w:val="24"/>
          <w:szCs w:val="24"/>
        </w:rPr>
        <w:t>(4), 367–393. http://doi.org/10.1177/1088868311411164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lastRenderedPageBreak/>
        <w:t xml:space="preserve">Butler, E. A., Egloff, B., Wilhelm, F. H., Smith, N. C., Erickson, E. A., &amp; Gross, J. J. (2003). The social consequences of expressive suppression. </w:t>
      </w:r>
      <w:r w:rsidRPr="00844B08">
        <w:rPr>
          <w:rFonts w:ascii="Calibri" w:hAnsi="Calibri" w:cs="Times New Roman"/>
          <w:i/>
          <w:iCs/>
          <w:noProof/>
          <w:sz w:val="24"/>
          <w:szCs w:val="24"/>
        </w:rPr>
        <w:t>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3</w:t>
      </w:r>
      <w:r w:rsidRPr="00844B08">
        <w:rPr>
          <w:rFonts w:ascii="Calibri" w:hAnsi="Calibri" w:cs="Times New Roman"/>
          <w:noProof/>
          <w:sz w:val="24"/>
          <w:szCs w:val="24"/>
        </w:rPr>
        <w:t>(1), 48–67. http://doi.org/10.1037/1528-3542.3.1.48</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Butler, E. A., &amp; Randall,  a. K. (2013). Emotional coregulation in close relationships. </w:t>
      </w:r>
      <w:r w:rsidRPr="00844B08">
        <w:rPr>
          <w:rFonts w:ascii="Calibri" w:hAnsi="Calibri" w:cs="Times New Roman"/>
          <w:i/>
          <w:iCs/>
          <w:noProof/>
          <w:sz w:val="24"/>
          <w:szCs w:val="24"/>
        </w:rPr>
        <w:t>Emotion Review</w:t>
      </w:r>
      <w:r w:rsidRPr="00844B08">
        <w:rPr>
          <w:rFonts w:ascii="Calibri" w:hAnsi="Calibri" w:cs="Times New Roman"/>
          <w:noProof/>
          <w:sz w:val="24"/>
          <w:szCs w:val="24"/>
        </w:rPr>
        <w:t xml:space="preserve">, </w:t>
      </w:r>
      <w:r w:rsidRPr="00844B08">
        <w:rPr>
          <w:rFonts w:ascii="Calibri" w:hAnsi="Calibri" w:cs="Times New Roman"/>
          <w:i/>
          <w:iCs/>
          <w:noProof/>
          <w:sz w:val="24"/>
          <w:szCs w:val="24"/>
        </w:rPr>
        <w:t>5</w:t>
      </w:r>
      <w:r w:rsidRPr="00844B08">
        <w:rPr>
          <w:rFonts w:ascii="Calibri" w:hAnsi="Calibri" w:cs="Times New Roman"/>
          <w:noProof/>
          <w:sz w:val="24"/>
          <w:szCs w:val="24"/>
        </w:rPr>
        <w:t>, 202–210. http://doi.org/10.1177/1754073912451630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Cahill, S. E., &amp; Eggleston. (1994). Managing Emotions in Public : The Case of Wheelchair Users. </w:t>
      </w:r>
      <w:r w:rsidRPr="00844B08">
        <w:rPr>
          <w:rFonts w:ascii="Calibri" w:hAnsi="Calibri" w:cs="Times New Roman"/>
          <w:i/>
          <w:iCs/>
          <w:noProof/>
          <w:sz w:val="24"/>
          <w:szCs w:val="24"/>
        </w:rPr>
        <w:t>Social Psychology Quarterly</w:t>
      </w:r>
      <w:r w:rsidRPr="00844B08">
        <w:rPr>
          <w:rFonts w:ascii="Calibri" w:hAnsi="Calibri" w:cs="Times New Roman"/>
          <w:noProof/>
          <w:sz w:val="24"/>
          <w:szCs w:val="24"/>
        </w:rPr>
        <w:t>.</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Calkins, S. D. (2004). Early Attachment Processes and the Development of Emotional Self-Regulation. In R. F. Baumeister &amp; K. D. Vohs (Eds.), </w:t>
      </w:r>
      <w:r w:rsidRPr="00844B08">
        <w:rPr>
          <w:rFonts w:ascii="Calibri" w:hAnsi="Calibri" w:cs="Times New Roman"/>
          <w:i/>
          <w:iCs/>
          <w:noProof/>
          <w:sz w:val="24"/>
          <w:szCs w:val="24"/>
        </w:rPr>
        <w:t>Handbook of Self-regulation</w:t>
      </w:r>
      <w:r w:rsidRPr="00844B08">
        <w:rPr>
          <w:rFonts w:ascii="Calibri" w:hAnsi="Calibri" w:cs="Times New Roman"/>
          <w:noProof/>
          <w:sz w:val="24"/>
          <w:szCs w:val="24"/>
        </w:rPr>
        <w:t xml:space="preserve"> (pp. 324–339). New York, NY: The Guildford Press.</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Carl, J. R., Soskin, D. P., Kerns, C., &amp; Barlow, D. H. (2013). Positive emotion regulation in emotional disorders: A theoretical review. </w:t>
      </w:r>
      <w:r w:rsidRPr="00844B08">
        <w:rPr>
          <w:rFonts w:ascii="Calibri" w:hAnsi="Calibri" w:cs="Times New Roman"/>
          <w:i/>
          <w:iCs/>
          <w:noProof/>
          <w:sz w:val="24"/>
          <w:szCs w:val="24"/>
        </w:rPr>
        <w:t>Clinical Psychology Review</w:t>
      </w:r>
      <w:r w:rsidRPr="00844B08">
        <w:rPr>
          <w:rFonts w:ascii="Calibri" w:hAnsi="Calibri" w:cs="Times New Roman"/>
          <w:noProof/>
          <w:sz w:val="24"/>
          <w:szCs w:val="24"/>
        </w:rPr>
        <w:t>. http://doi.org/10.1016/j.cpr.2013.01.003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Carrère, S., Buehlman, K. T., Gottman, J. M., Coan, J. a, &amp; Ruckstuhl, L. (2000). Predicting marital stability and divorce in newlywed couples. </w:t>
      </w:r>
      <w:r w:rsidRPr="00844B08">
        <w:rPr>
          <w:rFonts w:ascii="Calibri" w:hAnsi="Calibri" w:cs="Times New Roman"/>
          <w:i/>
          <w:iCs/>
          <w:noProof/>
          <w:sz w:val="24"/>
          <w:szCs w:val="24"/>
        </w:rPr>
        <w:t>Journal of Family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14</w:t>
      </w:r>
      <w:r w:rsidRPr="00844B08">
        <w:rPr>
          <w:rFonts w:ascii="Calibri" w:hAnsi="Calibri" w:cs="Times New Roman"/>
          <w:noProof/>
          <w:sz w:val="24"/>
          <w:szCs w:val="24"/>
        </w:rPr>
        <w:t>(1), 42–58. http://doi.org/10.1037/0893-3200.14.1.42</w:t>
      </w:r>
    </w:p>
    <w:p w:rsid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Carstensen, L. L., Gottman, J. M., &amp; Levenson, R. W. (1995). Emotional Behavior in Long-Term Marriage Emotion and Aging Gender Differences in Marital Interactions. </w:t>
      </w:r>
      <w:r w:rsidRPr="00844B08">
        <w:rPr>
          <w:rFonts w:ascii="Calibri" w:hAnsi="Calibri" w:cs="Times New Roman"/>
          <w:i/>
          <w:iCs/>
          <w:noProof/>
          <w:sz w:val="24"/>
          <w:szCs w:val="24"/>
        </w:rPr>
        <w:t>Psychology and Aging</w:t>
      </w:r>
      <w:r w:rsidRPr="00844B08">
        <w:rPr>
          <w:rFonts w:ascii="Calibri" w:hAnsi="Calibri" w:cs="Times New Roman"/>
          <w:noProof/>
          <w:sz w:val="24"/>
          <w:szCs w:val="24"/>
        </w:rPr>
        <w:t xml:space="preserve">, </w:t>
      </w:r>
      <w:r w:rsidRPr="00844B08">
        <w:rPr>
          <w:rFonts w:ascii="Calibri" w:hAnsi="Calibri" w:cs="Times New Roman"/>
          <w:i/>
          <w:iCs/>
          <w:noProof/>
          <w:sz w:val="24"/>
          <w:szCs w:val="24"/>
        </w:rPr>
        <w:t>10</w:t>
      </w:r>
      <w:r w:rsidRPr="00844B08">
        <w:rPr>
          <w:rFonts w:ascii="Calibri" w:hAnsi="Calibri" w:cs="Times New Roman"/>
          <w:noProof/>
          <w:sz w:val="24"/>
          <w:szCs w:val="24"/>
        </w:rPr>
        <w:t>(1), 140–149. Retrieved from http://www.ncbi.nlm.nih.gov/pubmed/7779311</w:t>
      </w:r>
    </w:p>
    <w:p w:rsidR="0022246D" w:rsidRPr="00844B08" w:rsidRDefault="0022246D" w:rsidP="00844B08">
      <w:pPr>
        <w:widowControl w:val="0"/>
        <w:autoSpaceDE w:val="0"/>
        <w:autoSpaceDN w:val="0"/>
        <w:adjustRightInd w:val="0"/>
        <w:spacing w:line="480" w:lineRule="auto"/>
        <w:ind w:left="480" w:hanging="480"/>
        <w:rPr>
          <w:rFonts w:ascii="Calibri" w:hAnsi="Calibri" w:cs="Times New Roman"/>
          <w:noProof/>
          <w:sz w:val="24"/>
          <w:szCs w:val="24"/>
        </w:rPr>
      </w:pPr>
      <w:r>
        <w:rPr>
          <w:rFonts w:ascii="Calibri" w:hAnsi="Calibri" w:cs="Times New Roman"/>
          <w:noProof/>
          <w:sz w:val="24"/>
          <w:szCs w:val="24"/>
        </w:rPr>
        <w:t xml:space="preserve">Carter, E. C., &amp; McCullough, M. E. (2014). Publication bias and the limited strength </w:t>
      </w:r>
      <w:r>
        <w:rPr>
          <w:rFonts w:ascii="Calibri" w:hAnsi="Calibri" w:cs="Times New Roman"/>
          <w:noProof/>
          <w:sz w:val="24"/>
          <w:szCs w:val="24"/>
        </w:rPr>
        <w:lastRenderedPageBreak/>
        <w:t xml:space="preserve">model of self-control: has the evidence for ego-depletion been overestimated? </w:t>
      </w:r>
      <w:r>
        <w:rPr>
          <w:rFonts w:ascii="Calibri" w:hAnsi="Calibri" w:cs="Times New Roman"/>
          <w:i/>
          <w:noProof/>
          <w:sz w:val="24"/>
          <w:szCs w:val="24"/>
        </w:rPr>
        <w:t xml:space="preserve">Frontiers in Psychology, 5, </w:t>
      </w:r>
      <w:r>
        <w:rPr>
          <w:rFonts w:ascii="Calibri" w:hAnsi="Calibri" w:cs="Times New Roman"/>
          <w:noProof/>
          <w:sz w:val="24"/>
          <w:szCs w:val="24"/>
        </w:rPr>
        <w:t xml:space="preserve">1-11. </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Carver, C. S., Ganellen, R. J., Froming, W. J., &amp; Chambers, W. (1983). Modeling: An analysis in terms of category accessibility. </w:t>
      </w:r>
      <w:r w:rsidRPr="00844B08">
        <w:rPr>
          <w:rFonts w:ascii="Calibri" w:hAnsi="Calibri" w:cs="Times New Roman"/>
          <w:i/>
          <w:iCs/>
          <w:noProof/>
          <w:sz w:val="24"/>
          <w:szCs w:val="24"/>
        </w:rPr>
        <w:t>Journal of Experimental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19</w:t>
      </w:r>
      <w:r w:rsidRPr="00844B08">
        <w:rPr>
          <w:rFonts w:ascii="Calibri" w:hAnsi="Calibri" w:cs="Times New Roman"/>
          <w:noProof/>
          <w:sz w:val="24"/>
          <w:szCs w:val="24"/>
        </w:rPr>
        <w:t>(5), 403–421. http://doi.org/10.1016/0022-1031(83)90019-7</w:t>
      </w:r>
    </w:p>
    <w:p w:rsid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Carver, C. S., &amp; Scheier, M. F. (1990). </w:t>
      </w:r>
      <w:r w:rsidRPr="00844B08">
        <w:rPr>
          <w:rFonts w:ascii="Calibri" w:hAnsi="Calibri" w:cs="Times New Roman"/>
          <w:noProof/>
          <w:sz w:val="24"/>
          <w:szCs w:val="24"/>
        </w:rPr>
        <w:t xml:space="preserve">Origins and functions of positive and negative affect: A control-process view. </w:t>
      </w:r>
      <w:r w:rsidRPr="00844B08">
        <w:rPr>
          <w:rFonts w:ascii="Calibri" w:hAnsi="Calibri" w:cs="Times New Roman"/>
          <w:i/>
          <w:iCs/>
          <w:noProof/>
          <w:sz w:val="24"/>
          <w:szCs w:val="24"/>
        </w:rPr>
        <w:t>Psychological Review</w:t>
      </w:r>
      <w:r w:rsidRPr="00844B08">
        <w:rPr>
          <w:rFonts w:ascii="Calibri" w:hAnsi="Calibri" w:cs="Times New Roman"/>
          <w:noProof/>
          <w:sz w:val="24"/>
          <w:szCs w:val="24"/>
        </w:rPr>
        <w:t xml:space="preserve">, </w:t>
      </w:r>
      <w:r w:rsidRPr="00844B08">
        <w:rPr>
          <w:rFonts w:ascii="Calibri" w:hAnsi="Calibri" w:cs="Times New Roman"/>
          <w:i/>
          <w:iCs/>
          <w:noProof/>
          <w:sz w:val="24"/>
          <w:szCs w:val="24"/>
        </w:rPr>
        <w:t>97</w:t>
      </w:r>
      <w:r w:rsidRPr="00844B08">
        <w:rPr>
          <w:rFonts w:ascii="Calibri" w:hAnsi="Calibri" w:cs="Times New Roman"/>
          <w:noProof/>
          <w:sz w:val="24"/>
          <w:szCs w:val="24"/>
        </w:rPr>
        <w:t>(1), 19–35. http://doi.org/10.1037/0033-295X.97.1.19</w:t>
      </w:r>
    </w:p>
    <w:p w:rsidR="008860FE" w:rsidRDefault="008860FE" w:rsidP="00844B08">
      <w:pPr>
        <w:widowControl w:val="0"/>
        <w:autoSpaceDE w:val="0"/>
        <w:autoSpaceDN w:val="0"/>
        <w:adjustRightInd w:val="0"/>
        <w:spacing w:line="480" w:lineRule="auto"/>
        <w:ind w:left="480" w:hanging="480"/>
        <w:rPr>
          <w:rFonts w:ascii="Calibri" w:hAnsi="Calibri" w:cs="Times New Roman"/>
          <w:noProof/>
          <w:sz w:val="24"/>
          <w:szCs w:val="24"/>
        </w:rPr>
      </w:pPr>
      <w:r w:rsidRPr="008860FE">
        <w:rPr>
          <w:rFonts w:ascii="Calibri" w:hAnsi="Calibri" w:cs="Times New Roman"/>
          <w:noProof/>
          <w:sz w:val="24"/>
          <w:szCs w:val="24"/>
        </w:rPr>
        <w:t>Carver, K., Joyner, K. &amp; Udry, J.R. (2003). National estimates of adolescent romantic relationships. In P. Florsheim (Ed.) Adolescent romantic relations and sexual behavior: Theory, research and practical implications (pp.23–56). Mahwah, NJ: Lawrence Erlbaum Associates.</w:t>
      </w:r>
    </w:p>
    <w:p w:rsidR="0022246D" w:rsidRPr="0022246D" w:rsidRDefault="0022246D" w:rsidP="00844B08">
      <w:pPr>
        <w:widowControl w:val="0"/>
        <w:autoSpaceDE w:val="0"/>
        <w:autoSpaceDN w:val="0"/>
        <w:adjustRightInd w:val="0"/>
        <w:spacing w:line="480" w:lineRule="auto"/>
        <w:ind w:left="480" w:hanging="480"/>
        <w:rPr>
          <w:rFonts w:ascii="Calibri" w:hAnsi="Calibri" w:cs="Times New Roman"/>
          <w:noProof/>
          <w:sz w:val="24"/>
          <w:szCs w:val="24"/>
        </w:rPr>
      </w:pPr>
      <w:r>
        <w:rPr>
          <w:rFonts w:ascii="Calibri" w:hAnsi="Calibri" w:cs="Times New Roman"/>
          <w:noProof/>
          <w:sz w:val="24"/>
          <w:szCs w:val="24"/>
        </w:rPr>
        <w:t xml:space="preserve">Cesario, J. (2014). Priming, replication and the hardest science. </w:t>
      </w:r>
      <w:r>
        <w:rPr>
          <w:rFonts w:ascii="Calibri" w:hAnsi="Calibri" w:cs="Times New Roman"/>
          <w:i/>
          <w:noProof/>
          <w:sz w:val="24"/>
          <w:szCs w:val="24"/>
        </w:rPr>
        <w:t>Perspectives on Psychological Science, 9</w:t>
      </w:r>
      <w:r>
        <w:rPr>
          <w:rFonts w:ascii="Calibri" w:hAnsi="Calibri" w:cs="Times New Roman"/>
          <w:noProof/>
          <w:sz w:val="24"/>
          <w:szCs w:val="24"/>
        </w:rPr>
        <w:t xml:space="preserve">(1), 40-48. </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Chartrand, L. T., &amp; Bargh, A. J. (1996). Automatic Activation of Impression Formation and Memorization Goals: Nonconscious Goal Priming Reproduces Effects of Explicit Task Instructions.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71</w:t>
      </w:r>
      <w:r w:rsidRPr="00844B08">
        <w:rPr>
          <w:rFonts w:ascii="Calibri" w:hAnsi="Calibri" w:cs="Times New Roman"/>
          <w:noProof/>
          <w:sz w:val="24"/>
          <w:szCs w:val="24"/>
        </w:rPr>
        <w:t>(3), 464–478.</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Chartrand, T. L., &amp; Bargh, J. a. (1999). The chameleon effect: the perception-behavior link and social interaction.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76</w:t>
      </w:r>
      <w:r w:rsidRPr="00844B08">
        <w:rPr>
          <w:rFonts w:ascii="Calibri" w:hAnsi="Calibri" w:cs="Times New Roman"/>
          <w:noProof/>
          <w:sz w:val="24"/>
          <w:szCs w:val="24"/>
        </w:rPr>
        <w:t>(6), 893–910. http://doi.org/10.1037/0022-3514.76.6.893</w:t>
      </w:r>
    </w:p>
    <w:p w:rsidR="00844B08" w:rsidRPr="00A41BE2" w:rsidRDefault="00844B08" w:rsidP="00844B08">
      <w:pPr>
        <w:widowControl w:val="0"/>
        <w:autoSpaceDE w:val="0"/>
        <w:autoSpaceDN w:val="0"/>
        <w:adjustRightInd w:val="0"/>
        <w:spacing w:line="480" w:lineRule="auto"/>
        <w:ind w:left="480" w:hanging="480"/>
        <w:rPr>
          <w:rFonts w:ascii="Calibri" w:hAnsi="Calibri" w:cs="Times New Roman"/>
          <w:noProof/>
          <w:sz w:val="24"/>
          <w:szCs w:val="24"/>
          <w:lang w:val="de-DE"/>
        </w:rPr>
      </w:pPr>
      <w:r w:rsidRPr="00844B08">
        <w:rPr>
          <w:rFonts w:ascii="Calibri" w:hAnsi="Calibri" w:cs="Times New Roman"/>
          <w:noProof/>
          <w:sz w:val="24"/>
          <w:szCs w:val="24"/>
        </w:rPr>
        <w:t>Christou-Champi, S., Farro</w:t>
      </w:r>
      <w:r w:rsidR="0022246D">
        <w:rPr>
          <w:rFonts w:ascii="Calibri" w:hAnsi="Calibri" w:cs="Times New Roman"/>
          <w:noProof/>
          <w:sz w:val="24"/>
          <w:szCs w:val="24"/>
        </w:rPr>
        <w:t>w, T. F. D., &amp; Webb, T. L. (2015</w:t>
      </w:r>
      <w:r w:rsidRPr="00844B08">
        <w:rPr>
          <w:rFonts w:ascii="Calibri" w:hAnsi="Calibri" w:cs="Times New Roman"/>
          <w:noProof/>
          <w:sz w:val="24"/>
          <w:szCs w:val="24"/>
        </w:rPr>
        <w:t xml:space="preserve">). Automatic control of negative </w:t>
      </w:r>
      <w:r w:rsidRPr="00844B08">
        <w:rPr>
          <w:rFonts w:ascii="Calibri" w:hAnsi="Calibri" w:cs="Times New Roman"/>
          <w:noProof/>
          <w:sz w:val="24"/>
          <w:szCs w:val="24"/>
        </w:rPr>
        <w:lastRenderedPageBreak/>
        <w:t xml:space="preserve">emotions: Evidence that structured practice increases the efficiency of emotion regulation. </w:t>
      </w:r>
      <w:r w:rsidRPr="00A41BE2">
        <w:rPr>
          <w:rFonts w:ascii="Calibri" w:hAnsi="Calibri" w:cs="Times New Roman"/>
          <w:i/>
          <w:iCs/>
          <w:noProof/>
          <w:sz w:val="24"/>
          <w:szCs w:val="24"/>
          <w:lang w:val="de-DE"/>
        </w:rPr>
        <w:t>Cognition &amp; Emotion</w:t>
      </w:r>
      <w:r w:rsidRPr="00A41BE2">
        <w:rPr>
          <w:rFonts w:ascii="Calibri" w:hAnsi="Calibri" w:cs="Times New Roman"/>
          <w:noProof/>
          <w:sz w:val="24"/>
          <w:szCs w:val="24"/>
          <w:lang w:val="de-DE"/>
        </w:rPr>
        <w:t>, 1–13. http://doi.org/10.1080/02699931.2014.901213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Ciarocco, N. J., Sommer, K. L., &amp; Baumeister, R. F. (2001). </w:t>
      </w:r>
      <w:r w:rsidRPr="00844B08">
        <w:rPr>
          <w:rFonts w:ascii="Calibri" w:hAnsi="Calibri" w:cs="Times New Roman"/>
          <w:noProof/>
          <w:sz w:val="24"/>
          <w:szCs w:val="24"/>
        </w:rPr>
        <w:t xml:space="preserve">Ostracism and Ego Depletion: The Strains of Silence. </w:t>
      </w:r>
      <w:r w:rsidRPr="00844B08">
        <w:rPr>
          <w:rFonts w:ascii="Calibri" w:hAnsi="Calibri" w:cs="Times New Roman"/>
          <w:i/>
          <w:iCs/>
          <w:noProof/>
          <w:sz w:val="24"/>
          <w:szCs w:val="24"/>
        </w:rPr>
        <w:t>Personality and Social Psychology Bulletin</w:t>
      </w:r>
      <w:r w:rsidRPr="00844B08">
        <w:rPr>
          <w:rFonts w:ascii="Calibri" w:hAnsi="Calibri" w:cs="Times New Roman"/>
          <w:noProof/>
          <w:sz w:val="24"/>
          <w:szCs w:val="24"/>
        </w:rPr>
        <w:t xml:space="preserve">, </w:t>
      </w:r>
      <w:r w:rsidRPr="00844B08">
        <w:rPr>
          <w:rFonts w:ascii="Calibri" w:hAnsi="Calibri" w:cs="Times New Roman"/>
          <w:i/>
          <w:iCs/>
          <w:noProof/>
          <w:sz w:val="24"/>
          <w:szCs w:val="24"/>
        </w:rPr>
        <w:t>27</w:t>
      </w:r>
      <w:r w:rsidRPr="00844B08">
        <w:rPr>
          <w:rFonts w:ascii="Calibri" w:hAnsi="Calibri" w:cs="Times New Roman"/>
          <w:noProof/>
          <w:sz w:val="24"/>
          <w:szCs w:val="24"/>
        </w:rPr>
        <w:t>(9), 1156–1163. http://doi.org/10.1177/0146167201279008</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Coan, J. A., Schaefer, H. S., &amp; Davidson, R. J. (2006). Lending a Hand of the Neural Response to Threat. </w:t>
      </w:r>
      <w:r w:rsidRPr="00844B08">
        <w:rPr>
          <w:rFonts w:ascii="Calibri" w:hAnsi="Calibri" w:cs="Times New Roman"/>
          <w:i/>
          <w:iCs/>
          <w:noProof/>
          <w:sz w:val="24"/>
          <w:szCs w:val="24"/>
        </w:rPr>
        <w:t>Psychological Science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17</w:t>
      </w:r>
      <w:r w:rsidRPr="00844B08">
        <w:rPr>
          <w:rFonts w:ascii="Calibri" w:hAnsi="Calibri" w:cs="Times New Roman"/>
          <w:noProof/>
          <w:sz w:val="24"/>
          <w:szCs w:val="24"/>
        </w:rPr>
        <w:t>(12), 1032–1039. http://doi.org/10.1111/j.1467-9280.2006.01832.x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Coifman, K. G., Bonanno, G. A., Ray, R. D., &amp; Gross, J. J. (2007). Does repressive coping promote resilience? Affective-autonomic response discrepancy during bereavement.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92</w:t>
      </w:r>
      <w:r w:rsidRPr="00844B08">
        <w:rPr>
          <w:rFonts w:ascii="Calibri" w:hAnsi="Calibri" w:cs="Times New Roman"/>
          <w:noProof/>
          <w:sz w:val="24"/>
          <w:szCs w:val="24"/>
        </w:rPr>
        <w:t>(4), 745–758. http://doi.org/10.1037/0022-3514.92.4.745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es-MX"/>
        </w:rPr>
        <w:t xml:space="preserve">Cole, E. C., Jin Ha, Y., Samuel, C. J., &amp; Webb, T. L. (2016). </w:t>
      </w:r>
      <w:r w:rsidRPr="00844B08">
        <w:rPr>
          <w:rFonts w:ascii="Calibri" w:hAnsi="Calibri" w:cs="Times New Roman"/>
          <w:noProof/>
          <w:sz w:val="24"/>
          <w:szCs w:val="24"/>
        </w:rPr>
        <w:t xml:space="preserve">The effect of self-control use throughout the day on the vulnerability to depletion. </w:t>
      </w:r>
      <w:r w:rsidRPr="00844B08">
        <w:rPr>
          <w:rFonts w:ascii="Calibri" w:hAnsi="Calibri" w:cs="Times New Roman"/>
          <w:i/>
          <w:iCs/>
          <w:noProof/>
          <w:sz w:val="24"/>
          <w:szCs w:val="24"/>
        </w:rPr>
        <w:t>Unpublished Undergraduate Dissertation. University of Sheffield</w:t>
      </w:r>
      <w:r w:rsidRPr="00844B08">
        <w:rPr>
          <w:rFonts w:ascii="Calibri" w:hAnsi="Calibri" w:cs="Times New Roman"/>
          <w:noProof/>
          <w:sz w:val="24"/>
          <w:szCs w:val="24"/>
        </w:rPr>
        <w:t>.</w:t>
      </w:r>
    </w:p>
    <w:p w:rsidR="00844B08" w:rsidRPr="00A41BE2" w:rsidRDefault="00844B08" w:rsidP="00844B08">
      <w:pPr>
        <w:widowControl w:val="0"/>
        <w:autoSpaceDE w:val="0"/>
        <w:autoSpaceDN w:val="0"/>
        <w:adjustRightInd w:val="0"/>
        <w:spacing w:line="480" w:lineRule="auto"/>
        <w:ind w:left="480" w:hanging="480"/>
        <w:rPr>
          <w:rFonts w:ascii="Calibri" w:hAnsi="Calibri" w:cs="Times New Roman"/>
          <w:noProof/>
          <w:sz w:val="24"/>
          <w:szCs w:val="24"/>
          <w:lang w:val="de-DE"/>
        </w:rPr>
      </w:pPr>
      <w:r w:rsidRPr="00844B08">
        <w:rPr>
          <w:rFonts w:ascii="Calibri" w:hAnsi="Calibri" w:cs="Times New Roman"/>
          <w:noProof/>
          <w:sz w:val="24"/>
          <w:szCs w:val="24"/>
        </w:rPr>
        <w:t xml:space="preserve">Cross, R., Baker, W., &amp; Parker, A. (2003). What creates energy in organizations? </w:t>
      </w:r>
      <w:r w:rsidRPr="00A41BE2">
        <w:rPr>
          <w:rFonts w:ascii="Calibri" w:hAnsi="Calibri" w:cs="Times New Roman"/>
          <w:i/>
          <w:iCs/>
          <w:noProof/>
          <w:sz w:val="24"/>
          <w:szCs w:val="24"/>
          <w:lang w:val="de-DE"/>
        </w:rPr>
        <w:t>MIT Sloan Management Review</w:t>
      </w:r>
      <w:r w:rsidRPr="00A41BE2">
        <w:rPr>
          <w:rFonts w:ascii="Calibri" w:hAnsi="Calibri" w:cs="Times New Roman"/>
          <w:noProof/>
          <w:sz w:val="24"/>
          <w:szCs w:val="24"/>
          <w:lang w:val="de-DE"/>
        </w:rPr>
        <w:t xml:space="preserve">, </w:t>
      </w:r>
      <w:r w:rsidRPr="00A41BE2">
        <w:rPr>
          <w:rFonts w:ascii="Calibri" w:hAnsi="Calibri" w:cs="Times New Roman"/>
          <w:i/>
          <w:iCs/>
          <w:noProof/>
          <w:sz w:val="24"/>
          <w:szCs w:val="24"/>
          <w:lang w:val="de-DE"/>
        </w:rPr>
        <w:t>44</w:t>
      </w:r>
      <w:r w:rsidRPr="00A41BE2">
        <w:rPr>
          <w:rFonts w:ascii="Calibri" w:hAnsi="Calibri" w:cs="Times New Roman"/>
          <w:noProof/>
          <w:sz w:val="24"/>
          <w:szCs w:val="24"/>
          <w:lang w:val="de-DE"/>
        </w:rPr>
        <w:t>, 51–57.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De Kemp, R. A. T., Vermults, A. A., Finkenauer, C., Scholte, R. H. J., Overbeek, G. R., Rommes, E. W. M., &amp; Engels, R. M. C. E. (2009). </w:t>
      </w:r>
      <w:r w:rsidRPr="00844B08">
        <w:rPr>
          <w:rFonts w:ascii="Calibri" w:hAnsi="Calibri" w:cs="Times New Roman"/>
          <w:noProof/>
          <w:sz w:val="24"/>
          <w:szCs w:val="24"/>
        </w:rPr>
        <w:t xml:space="preserve">Self-control and early adolescent antosocial behaviour. </w:t>
      </w:r>
      <w:r w:rsidRPr="00844B08">
        <w:rPr>
          <w:rFonts w:ascii="Calibri" w:hAnsi="Calibri" w:cs="Times New Roman"/>
          <w:i/>
          <w:iCs/>
          <w:noProof/>
          <w:sz w:val="24"/>
          <w:szCs w:val="24"/>
        </w:rPr>
        <w:t>Journal of Early Adolescence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29</w:t>
      </w:r>
      <w:r w:rsidRPr="00844B08">
        <w:rPr>
          <w:rFonts w:ascii="Calibri" w:hAnsi="Calibri" w:cs="Times New Roman"/>
          <w:noProof/>
          <w:sz w:val="24"/>
          <w:szCs w:val="24"/>
        </w:rPr>
        <w:t>, 497–517.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lastRenderedPageBreak/>
        <w:t xml:space="preserve">De Ridder, D. T. D., Lensvelt-mulders, G., Finkenauer, C., Stok, F. M., F., R. B., de Ridder D., D. T., … </w:t>
      </w:r>
      <w:r w:rsidRPr="00844B08">
        <w:rPr>
          <w:rFonts w:ascii="Calibri" w:hAnsi="Calibri" w:cs="Times New Roman"/>
          <w:noProof/>
          <w:sz w:val="24"/>
          <w:szCs w:val="24"/>
        </w:rPr>
        <w:t xml:space="preserve">Baumeister, R. F. (2012). Taking Stock of Self- Control. </w:t>
      </w:r>
      <w:r w:rsidRPr="00844B08">
        <w:rPr>
          <w:rFonts w:ascii="Calibri" w:hAnsi="Calibri" w:cs="Times New Roman"/>
          <w:i/>
          <w:iCs/>
          <w:noProof/>
          <w:sz w:val="24"/>
          <w:szCs w:val="24"/>
        </w:rPr>
        <w:t>Personality and Social Psychology Review</w:t>
      </w:r>
      <w:r w:rsidRPr="00844B08">
        <w:rPr>
          <w:rFonts w:ascii="Calibri" w:hAnsi="Calibri" w:cs="Times New Roman"/>
          <w:noProof/>
          <w:sz w:val="24"/>
          <w:szCs w:val="24"/>
        </w:rPr>
        <w:t xml:space="preserve">, </w:t>
      </w:r>
      <w:r w:rsidRPr="00844B08">
        <w:rPr>
          <w:rFonts w:ascii="Calibri" w:hAnsi="Calibri" w:cs="Times New Roman"/>
          <w:i/>
          <w:iCs/>
          <w:noProof/>
          <w:sz w:val="24"/>
          <w:szCs w:val="24"/>
        </w:rPr>
        <w:t>16</w:t>
      </w:r>
      <w:r w:rsidRPr="00844B08">
        <w:rPr>
          <w:rFonts w:ascii="Calibri" w:hAnsi="Calibri" w:cs="Times New Roman"/>
          <w:noProof/>
          <w:sz w:val="24"/>
          <w:szCs w:val="24"/>
        </w:rPr>
        <w:t>(1), 76–99.</w:t>
      </w:r>
    </w:p>
    <w:p w:rsidR="00844B08" w:rsidRPr="00A41BE2" w:rsidRDefault="00844B08" w:rsidP="00844B08">
      <w:pPr>
        <w:widowControl w:val="0"/>
        <w:autoSpaceDE w:val="0"/>
        <w:autoSpaceDN w:val="0"/>
        <w:adjustRightInd w:val="0"/>
        <w:spacing w:line="480" w:lineRule="auto"/>
        <w:ind w:left="480" w:hanging="480"/>
        <w:rPr>
          <w:rFonts w:ascii="Calibri" w:hAnsi="Calibri" w:cs="Times New Roman"/>
          <w:noProof/>
          <w:sz w:val="24"/>
          <w:szCs w:val="24"/>
          <w:lang w:val="fr-FR"/>
        </w:rPr>
      </w:pPr>
      <w:r w:rsidRPr="00A41BE2">
        <w:rPr>
          <w:rFonts w:ascii="Calibri" w:hAnsi="Calibri" w:cs="Times New Roman"/>
          <w:noProof/>
          <w:sz w:val="24"/>
          <w:szCs w:val="24"/>
          <w:lang w:val="de-DE"/>
        </w:rPr>
        <w:t xml:space="preserve">DeScioli, P., Kurzban, R., Koch, E. N., &amp; Liben-Nowell, D. (2011). </w:t>
      </w:r>
      <w:r w:rsidRPr="00844B08">
        <w:rPr>
          <w:rFonts w:ascii="Calibri" w:hAnsi="Calibri" w:cs="Times New Roman"/>
          <w:noProof/>
          <w:sz w:val="24"/>
          <w:szCs w:val="24"/>
        </w:rPr>
        <w:t xml:space="preserve">Best Friends: Alliances, Friend Ranking, and the MySpace Social Network. </w:t>
      </w:r>
      <w:r w:rsidRPr="00A41BE2">
        <w:rPr>
          <w:rFonts w:ascii="Calibri" w:hAnsi="Calibri" w:cs="Times New Roman"/>
          <w:i/>
          <w:iCs/>
          <w:noProof/>
          <w:sz w:val="24"/>
          <w:szCs w:val="24"/>
          <w:lang w:val="fr-FR"/>
        </w:rPr>
        <w:t>Perspectives on Psychological Science</w:t>
      </w:r>
      <w:r w:rsidRPr="00A41BE2">
        <w:rPr>
          <w:rFonts w:ascii="Calibri" w:hAnsi="Calibri" w:cs="Times New Roman"/>
          <w:noProof/>
          <w:sz w:val="24"/>
          <w:szCs w:val="24"/>
          <w:lang w:val="fr-FR"/>
        </w:rPr>
        <w:t xml:space="preserve">, </w:t>
      </w:r>
      <w:r w:rsidRPr="00A41BE2">
        <w:rPr>
          <w:rFonts w:ascii="Calibri" w:hAnsi="Calibri" w:cs="Times New Roman"/>
          <w:i/>
          <w:iCs/>
          <w:noProof/>
          <w:sz w:val="24"/>
          <w:szCs w:val="24"/>
          <w:lang w:val="fr-FR"/>
        </w:rPr>
        <w:t>6</w:t>
      </w:r>
      <w:r w:rsidRPr="00A41BE2">
        <w:rPr>
          <w:rFonts w:ascii="Calibri" w:hAnsi="Calibri" w:cs="Times New Roman"/>
          <w:noProof/>
          <w:sz w:val="24"/>
          <w:szCs w:val="24"/>
          <w:lang w:val="fr-FR"/>
        </w:rPr>
        <w:t>(1), 6–8. http://doi.org/10.1177/1745691610393979</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fr-FR"/>
        </w:rPr>
        <w:t xml:space="preserve">Dewall, C. N., Baumeister, R. F., Gailliot, M. T., &amp; Maner, J. K. (2008). </w:t>
      </w:r>
      <w:r w:rsidRPr="00844B08">
        <w:rPr>
          <w:rFonts w:ascii="Calibri" w:hAnsi="Calibri" w:cs="Times New Roman"/>
          <w:noProof/>
          <w:sz w:val="24"/>
          <w:szCs w:val="24"/>
        </w:rPr>
        <w:t xml:space="preserve">Depletion makes the heart grow less helpful: helping as a function of self-regulatory energy and genetic relatedness. </w:t>
      </w:r>
      <w:r w:rsidRPr="00844B08">
        <w:rPr>
          <w:rFonts w:ascii="Calibri" w:hAnsi="Calibri" w:cs="Times New Roman"/>
          <w:i/>
          <w:iCs/>
          <w:noProof/>
          <w:sz w:val="24"/>
          <w:szCs w:val="24"/>
        </w:rPr>
        <w:t>Personality and Social Psychology Bulletin</w:t>
      </w:r>
      <w:r w:rsidRPr="00844B08">
        <w:rPr>
          <w:rFonts w:ascii="Calibri" w:hAnsi="Calibri" w:cs="Times New Roman"/>
          <w:noProof/>
          <w:sz w:val="24"/>
          <w:szCs w:val="24"/>
        </w:rPr>
        <w:t xml:space="preserve">, </w:t>
      </w:r>
      <w:r w:rsidRPr="00844B08">
        <w:rPr>
          <w:rFonts w:ascii="Calibri" w:hAnsi="Calibri" w:cs="Times New Roman"/>
          <w:i/>
          <w:iCs/>
          <w:noProof/>
          <w:sz w:val="24"/>
          <w:szCs w:val="24"/>
        </w:rPr>
        <w:t>34</w:t>
      </w:r>
      <w:r w:rsidRPr="00844B08">
        <w:rPr>
          <w:rFonts w:ascii="Calibri" w:hAnsi="Calibri" w:cs="Times New Roman"/>
          <w:noProof/>
          <w:sz w:val="24"/>
          <w:szCs w:val="24"/>
        </w:rPr>
        <w:t>(12), 1653–1662. http://doi.org/10.1177/0146167208323981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DeWall, C. N., Twenge, J. M., Koole, S. L., Baumeister, R. F., Marquez, A., &amp; Reid, M. W. (2011). Automatic emotion regulation after social exclusion: tuning to positivity. </w:t>
      </w:r>
      <w:r w:rsidRPr="00844B08">
        <w:rPr>
          <w:rFonts w:ascii="Calibri" w:hAnsi="Calibri" w:cs="Times New Roman"/>
          <w:i/>
          <w:iCs/>
          <w:noProof/>
          <w:sz w:val="24"/>
          <w:szCs w:val="24"/>
        </w:rPr>
        <w:t>Emotion (Washington, D.C.)</w:t>
      </w:r>
      <w:r w:rsidRPr="00844B08">
        <w:rPr>
          <w:rFonts w:ascii="Calibri" w:hAnsi="Calibri" w:cs="Times New Roman"/>
          <w:noProof/>
          <w:sz w:val="24"/>
          <w:szCs w:val="24"/>
        </w:rPr>
        <w:t xml:space="preserve">, </w:t>
      </w:r>
      <w:r w:rsidRPr="00844B08">
        <w:rPr>
          <w:rFonts w:ascii="Calibri" w:hAnsi="Calibri" w:cs="Times New Roman"/>
          <w:i/>
          <w:iCs/>
          <w:noProof/>
          <w:sz w:val="24"/>
          <w:szCs w:val="24"/>
        </w:rPr>
        <w:t>11</w:t>
      </w:r>
      <w:r w:rsidRPr="00844B08">
        <w:rPr>
          <w:rFonts w:ascii="Calibri" w:hAnsi="Calibri" w:cs="Times New Roman"/>
          <w:noProof/>
          <w:sz w:val="24"/>
          <w:szCs w:val="24"/>
        </w:rPr>
        <w:t>(3), 623–36. http://doi.org/10.1037/a0023534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Dibble, J. L., Levine, T. R., &amp; Park, H. S. (2012). The Unidimensional Relationship Closeness Scale (URCS): Reliability and validity evidence for a new measure of relationship closeness. </w:t>
      </w:r>
      <w:r w:rsidRPr="00844B08">
        <w:rPr>
          <w:rFonts w:ascii="Calibri" w:hAnsi="Calibri" w:cs="Times New Roman"/>
          <w:i/>
          <w:iCs/>
          <w:noProof/>
          <w:sz w:val="24"/>
          <w:szCs w:val="24"/>
        </w:rPr>
        <w:t>Psychological Assessment</w:t>
      </w:r>
      <w:r w:rsidRPr="00844B08">
        <w:rPr>
          <w:rFonts w:ascii="Calibri" w:hAnsi="Calibri" w:cs="Times New Roman"/>
          <w:noProof/>
          <w:sz w:val="24"/>
          <w:szCs w:val="24"/>
        </w:rPr>
        <w:t xml:space="preserve">, </w:t>
      </w:r>
      <w:r w:rsidRPr="00844B08">
        <w:rPr>
          <w:rFonts w:ascii="Calibri" w:hAnsi="Calibri" w:cs="Times New Roman"/>
          <w:i/>
          <w:iCs/>
          <w:noProof/>
          <w:sz w:val="24"/>
          <w:szCs w:val="24"/>
        </w:rPr>
        <w:t>24</w:t>
      </w:r>
      <w:r w:rsidRPr="00844B08">
        <w:rPr>
          <w:rFonts w:ascii="Calibri" w:hAnsi="Calibri" w:cs="Times New Roman"/>
          <w:noProof/>
          <w:sz w:val="24"/>
          <w:szCs w:val="24"/>
        </w:rPr>
        <w:t>(3), 565–572. http://doi.org/10.1037/a0026265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Dijksterhuis, A., Aarts, H., Bargh, J. A., &amp; van Knippenberg, A. (2000). On the relation between associative strength and automatic behavior. </w:t>
      </w:r>
      <w:r w:rsidRPr="00844B08">
        <w:rPr>
          <w:rFonts w:ascii="Calibri" w:hAnsi="Calibri" w:cs="Times New Roman"/>
          <w:i/>
          <w:iCs/>
          <w:noProof/>
          <w:sz w:val="24"/>
          <w:szCs w:val="24"/>
        </w:rPr>
        <w:t>Journal of Experimental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36</w:t>
      </w:r>
      <w:r w:rsidRPr="00844B08">
        <w:rPr>
          <w:rFonts w:ascii="Calibri" w:hAnsi="Calibri" w:cs="Times New Roman"/>
          <w:noProof/>
          <w:sz w:val="24"/>
          <w:szCs w:val="24"/>
        </w:rPr>
        <w:t>, 531–544. http://doi.org/10.1006/jesp.2000.1427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Dozier, M., &amp; Kobak, R. R. (1992). Psychophysiology in attachment interviews: converging evidence for deactivating strategies. </w:t>
      </w:r>
      <w:r w:rsidRPr="00844B08">
        <w:rPr>
          <w:rFonts w:ascii="Calibri" w:hAnsi="Calibri" w:cs="Times New Roman"/>
          <w:i/>
          <w:iCs/>
          <w:noProof/>
          <w:sz w:val="24"/>
          <w:szCs w:val="24"/>
        </w:rPr>
        <w:t>Child Development</w:t>
      </w:r>
      <w:r w:rsidRPr="00844B08">
        <w:rPr>
          <w:rFonts w:ascii="Calibri" w:hAnsi="Calibri" w:cs="Times New Roman"/>
          <w:noProof/>
          <w:sz w:val="24"/>
          <w:szCs w:val="24"/>
        </w:rPr>
        <w:t xml:space="preserve">, </w:t>
      </w:r>
      <w:r w:rsidRPr="00844B08">
        <w:rPr>
          <w:rFonts w:ascii="Calibri" w:hAnsi="Calibri" w:cs="Times New Roman"/>
          <w:i/>
          <w:iCs/>
          <w:noProof/>
          <w:sz w:val="24"/>
          <w:szCs w:val="24"/>
        </w:rPr>
        <w:t>63</w:t>
      </w:r>
      <w:r w:rsidRPr="00844B08">
        <w:rPr>
          <w:rFonts w:ascii="Calibri" w:hAnsi="Calibri" w:cs="Times New Roman"/>
          <w:noProof/>
          <w:sz w:val="24"/>
          <w:szCs w:val="24"/>
        </w:rPr>
        <w:t>(6), 1473–</w:t>
      </w:r>
      <w:r w:rsidRPr="00844B08">
        <w:rPr>
          <w:rFonts w:ascii="Calibri" w:hAnsi="Calibri" w:cs="Times New Roman"/>
          <w:noProof/>
          <w:sz w:val="24"/>
          <w:szCs w:val="24"/>
        </w:rPr>
        <w:lastRenderedPageBreak/>
        <w:t>1480. http://doi.org/10.1111/1467-8624.ep9308195014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Eastwick, P. W., &amp; Finkel, E. J. (2008). Speed-Dating. </w:t>
      </w:r>
      <w:r w:rsidRPr="00844B08">
        <w:rPr>
          <w:rFonts w:ascii="Calibri" w:hAnsi="Calibri" w:cs="Times New Roman"/>
          <w:i/>
          <w:iCs/>
          <w:noProof/>
          <w:sz w:val="24"/>
          <w:szCs w:val="24"/>
        </w:rPr>
        <w:t>Current Directions in Psychological Science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17</w:t>
      </w:r>
      <w:r w:rsidRPr="00844B08">
        <w:rPr>
          <w:rFonts w:ascii="Calibri" w:hAnsi="Calibri" w:cs="Times New Roman"/>
          <w:noProof/>
          <w:sz w:val="24"/>
          <w:szCs w:val="24"/>
        </w:rPr>
        <w:t>(3), 193–197. Retrieved from http://www.jstor.org/stable/20183280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Epley, N., &amp; Gilovich, T. (1999). Just Going Along: Nonconscious Priming and Conformity to Social Pressure. </w:t>
      </w:r>
      <w:r w:rsidRPr="00844B08">
        <w:rPr>
          <w:rFonts w:ascii="Calibri" w:hAnsi="Calibri" w:cs="Times New Roman"/>
          <w:i/>
          <w:iCs/>
          <w:noProof/>
          <w:sz w:val="24"/>
          <w:szCs w:val="24"/>
        </w:rPr>
        <w:t>Journal of Experimental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35</w:t>
      </w:r>
      <w:r w:rsidRPr="00844B08">
        <w:rPr>
          <w:rFonts w:ascii="Calibri" w:hAnsi="Calibri" w:cs="Times New Roman"/>
          <w:noProof/>
          <w:sz w:val="24"/>
          <w:szCs w:val="24"/>
        </w:rPr>
        <w:t>(6), 578–589. http://doi.org/10.1006/jesp.1999.1390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Etkin, A., Prater, K. E., Hoeft, F., Menon, V., &amp; Schatzberg, A. F. (2010). Failure of anterior cingulate activation and connectivity with the amygdala during implicit regulation of emotional processing in generalized anxiety disorder. </w:t>
      </w:r>
      <w:r w:rsidRPr="00844B08">
        <w:rPr>
          <w:rFonts w:ascii="Calibri" w:hAnsi="Calibri" w:cs="Times New Roman"/>
          <w:i/>
          <w:iCs/>
          <w:noProof/>
          <w:sz w:val="24"/>
          <w:szCs w:val="24"/>
        </w:rPr>
        <w:t>American Journal of Psychiatry</w:t>
      </w:r>
      <w:r w:rsidRPr="00844B08">
        <w:rPr>
          <w:rFonts w:ascii="Calibri" w:hAnsi="Calibri" w:cs="Times New Roman"/>
          <w:noProof/>
          <w:sz w:val="24"/>
          <w:szCs w:val="24"/>
        </w:rPr>
        <w:t xml:space="preserve">, </w:t>
      </w:r>
      <w:r w:rsidRPr="00844B08">
        <w:rPr>
          <w:rFonts w:ascii="Calibri" w:hAnsi="Calibri" w:cs="Times New Roman"/>
          <w:i/>
          <w:iCs/>
          <w:noProof/>
          <w:sz w:val="24"/>
          <w:szCs w:val="24"/>
        </w:rPr>
        <w:t>167</w:t>
      </w:r>
      <w:r w:rsidRPr="00844B08">
        <w:rPr>
          <w:rFonts w:ascii="Calibri" w:hAnsi="Calibri" w:cs="Times New Roman"/>
          <w:noProof/>
          <w:sz w:val="24"/>
          <w:szCs w:val="24"/>
        </w:rPr>
        <w:t>(5), 545–554. http://doi.org/10.1176/appi.ajp.2009.09070931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Evans, J. S. B. T. (2008). Dual-Processing Accounts of Reasoning, Judgment, and Social Cognition. </w:t>
      </w:r>
      <w:r w:rsidRPr="00844B08">
        <w:rPr>
          <w:rFonts w:ascii="Calibri" w:hAnsi="Calibri" w:cs="Times New Roman"/>
          <w:i/>
          <w:iCs/>
          <w:noProof/>
          <w:sz w:val="24"/>
          <w:szCs w:val="24"/>
        </w:rPr>
        <w:t>Annual Review of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59</w:t>
      </w:r>
      <w:r w:rsidRPr="00844B08">
        <w:rPr>
          <w:rFonts w:ascii="Calibri" w:hAnsi="Calibri" w:cs="Times New Roman"/>
          <w:noProof/>
          <w:sz w:val="24"/>
          <w:szCs w:val="24"/>
        </w:rPr>
        <w:t>, 255–78. http://doi.org/10.1146/annurev.psych.59.103006.093629</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Ferguson, M. J. (2008). On Becoming Ready to Pursue a Goal You Don’t Know You Have: Effects of Nonconscious Goals on Evaluative Readiness.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95</w:t>
      </w:r>
      <w:r w:rsidRPr="00844B08">
        <w:rPr>
          <w:rFonts w:ascii="Calibri" w:hAnsi="Calibri" w:cs="Times New Roman"/>
          <w:noProof/>
          <w:sz w:val="24"/>
          <w:szCs w:val="24"/>
        </w:rPr>
        <w:t>(6), 1268–1294. http://doi.org/10.1037/a0013263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Ferri, J., Schmidt, J., Hajcak, G., &amp; Canli, T. (2013). Neural correlates of attentional deployment within unpleasant pictures. </w:t>
      </w:r>
      <w:r w:rsidRPr="00844B08">
        <w:rPr>
          <w:rFonts w:ascii="Calibri" w:hAnsi="Calibri" w:cs="Times New Roman"/>
          <w:i/>
          <w:iCs/>
          <w:noProof/>
          <w:sz w:val="24"/>
          <w:szCs w:val="24"/>
        </w:rPr>
        <w:t>NeuroImage</w:t>
      </w:r>
      <w:r w:rsidRPr="00844B08">
        <w:rPr>
          <w:rFonts w:ascii="Calibri" w:hAnsi="Calibri" w:cs="Times New Roman"/>
          <w:noProof/>
          <w:sz w:val="24"/>
          <w:szCs w:val="24"/>
        </w:rPr>
        <w:t xml:space="preserve">, </w:t>
      </w:r>
      <w:r w:rsidRPr="00844B08">
        <w:rPr>
          <w:rFonts w:ascii="Calibri" w:hAnsi="Calibri" w:cs="Times New Roman"/>
          <w:i/>
          <w:iCs/>
          <w:noProof/>
          <w:sz w:val="24"/>
          <w:szCs w:val="24"/>
        </w:rPr>
        <w:t>70</w:t>
      </w:r>
      <w:r w:rsidRPr="00844B08">
        <w:rPr>
          <w:rFonts w:ascii="Calibri" w:hAnsi="Calibri" w:cs="Times New Roman"/>
          <w:noProof/>
          <w:sz w:val="24"/>
          <w:szCs w:val="24"/>
        </w:rPr>
        <w:t>, 268–277. http://doi.org/10.1016/j.neuroimage.2012.12.030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Fincham, F. D. (2001). Attributions in close relationships: from balkanization to integration. In G. G. O. Fletcher &amp; M. S. Clarck (Eds.), </w:t>
      </w:r>
      <w:r w:rsidRPr="00844B08">
        <w:rPr>
          <w:rFonts w:ascii="Calibri" w:hAnsi="Calibri" w:cs="Times New Roman"/>
          <w:i/>
          <w:iCs/>
          <w:noProof/>
          <w:sz w:val="24"/>
          <w:szCs w:val="24"/>
        </w:rPr>
        <w:t xml:space="preserve">Blackwell Handbook of Social </w:t>
      </w:r>
      <w:r w:rsidRPr="00844B08">
        <w:rPr>
          <w:rFonts w:ascii="Calibri" w:hAnsi="Calibri" w:cs="Times New Roman"/>
          <w:i/>
          <w:iCs/>
          <w:noProof/>
          <w:sz w:val="24"/>
          <w:szCs w:val="24"/>
        </w:rPr>
        <w:lastRenderedPageBreak/>
        <w:t>Psychology: Interpersonal Processes</w:t>
      </w:r>
      <w:r w:rsidRPr="00844B08">
        <w:rPr>
          <w:rFonts w:ascii="Calibri" w:hAnsi="Calibri" w:cs="Times New Roman"/>
          <w:noProof/>
          <w:sz w:val="24"/>
          <w:szCs w:val="24"/>
        </w:rPr>
        <w:t xml:space="preserve"> (pp. 3–31). Blackwell Publishing.</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Finkel, E. J., &amp; Campbell, W. K. (2001). Self-control and accommodation in close relationships: an interdependence analysis.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http://doi.org/10.1037/0022-3514.81.2.263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Finkel, E. J., Eastwick, P. W., &amp; Matthews, J. (2007). Speed dating as an invaluable tool for studying romantic attraction: A methological primer. </w:t>
      </w:r>
      <w:r w:rsidRPr="00844B08">
        <w:rPr>
          <w:rFonts w:ascii="Calibri" w:hAnsi="Calibri" w:cs="Times New Roman"/>
          <w:i/>
          <w:iCs/>
          <w:noProof/>
          <w:sz w:val="24"/>
          <w:szCs w:val="24"/>
        </w:rPr>
        <w:t>Personal Relationships</w:t>
      </w:r>
      <w:r w:rsidRPr="00844B08">
        <w:rPr>
          <w:rFonts w:ascii="Calibri" w:hAnsi="Calibri" w:cs="Times New Roman"/>
          <w:noProof/>
          <w:sz w:val="24"/>
          <w:szCs w:val="24"/>
        </w:rPr>
        <w:t xml:space="preserve">, </w:t>
      </w:r>
      <w:r w:rsidRPr="00844B08">
        <w:rPr>
          <w:rFonts w:ascii="Calibri" w:hAnsi="Calibri" w:cs="Times New Roman"/>
          <w:i/>
          <w:iCs/>
          <w:noProof/>
          <w:sz w:val="24"/>
          <w:szCs w:val="24"/>
        </w:rPr>
        <w:t>14</w:t>
      </w:r>
      <w:r w:rsidRPr="00844B08">
        <w:rPr>
          <w:rFonts w:ascii="Calibri" w:hAnsi="Calibri" w:cs="Times New Roman"/>
          <w:noProof/>
          <w:sz w:val="24"/>
          <w:szCs w:val="24"/>
        </w:rPr>
        <w:t>, 149–166. http://doi.org/10.1111/j.1475-6811.2006.00146.x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Finkenauer, C., Engels, R. C. M. E., &amp; Baumeister, R. F. (2005). Parenting behaviour and adolescent behavioural and emotional problems: The role of self-control. </w:t>
      </w:r>
      <w:r w:rsidRPr="00844B08">
        <w:rPr>
          <w:rFonts w:ascii="Calibri" w:hAnsi="Calibri" w:cs="Times New Roman"/>
          <w:i/>
          <w:iCs/>
          <w:noProof/>
          <w:sz w:val="24"/>
          <w:szCs w:val="24"/>
        </w:rPr>
        <w:t>International Journal of Behavioral Development</w:t>
      </w:r>
      <w:r w:rsidRPr="00844B08">
        <w:rPr>
          <w:rFonts w:ascii="Calibri" w:hAnsi="Calibri" w:cs="Times New Roman"/>
          <w:noProof/>
          <w:sz w:val="24"/>
          <w:szCs w:val="24"/>
        </w:rPr>
        <w:t xml:space="preserve">, </w:t>
      </w:r>
      <w:r w:rsidRPr="00844B08">
        <w:rPr>
          <w:rFonts w:ascii="Calibri" w:hAnsi="Calibri" w:cs="Times New Roman"/>
          <w:i/>
          <w:iCs/>
          <w:noProof/>
          <w:sz w:val="24"/>
          <w:szCs w:val="24"/>
        </w:rPr>
        <w:t>29</w:t>
      </w:r>
      <w:r w:rsidRPr="00844B08">
        <w:rPr>
          <w:rFonts w:ascii="Calibri" w:hAnsi="Calibri" w:cs="Times New Roman"/>
          <w:noProof/>
          <w:sz w:val="24"/>
          <w:szCs w:val="24"/>
        </w:rPr>
        <w:t>(1), 58–69. http://doi.org/10.1080/01650250444000333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Fitzsimons, G. M., &amp; Bargh, J. A. (2003). Thinking of you: nonconscious pursuit of interpersonal goals associated with relationship partners.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84</w:t>
      </w:r>
      <w:r w:rsidRPr="00844B08">
        <w:rPr>
          <w:rFonts w:ascii="Calibri" w:hAnsi="Calibri" w:cs="Times New Roman"/>
          <w:noProof/>
          <w:sz w:val="24"/>
          <w:szCs w:val="24"/>
        </w:rPr>
        <w:t>(1), 148–164. http://doi.org/10.1037/0022-3514.84.1.148</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Fitzsimons, G. M., &amp; Bargh, J. A. (2004). Automatic self-regulation. In R. F. Baumeister &amp; K. D. Vohs (Eds.), </w:t>
      </w:r>
      <w:r w:rsidRPr="00844B08">
        <w:rPr>
          <w:rFonts w:ascii="Calibri" w:hAnsi="Calibri" w:cs="Times New Roman"/>
          <w:i/>
          <w:iCs/>
          <w:noProof/>
          <w:sz w:val="24"/>
          <w:szCs w:val="24"/>
        </w:rPr>
        <w:t>Handbook of Self-regulation: research, theory and applications</w:t>
      </w:r>
      <w:r w:rsidRPr="00844B08">
        <w:rPr>
          <w:rFonts w:ascii="Calibri" w:hAnsi="Calibri" w:cs="Times New Roman"/>
          <w:noProof/>
          <w:sz w:val="24"/>
          <w:szCs w:val="24"/>
        </w:rPr>
        <w:t xml:space="preserve"> (pp. 151–170). New York: Guilford Press.</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Floyd, K., &amp; Morman, M. T. (1997). Affectionate communication in nonromantic relationships: Influences of communicator, relational, and contextual factors. </w:t>
      </w:r>
      <w:r w:rsidRPr="00844B08">
        <w:rPr>
          <w:rFonts w:ascii="Calibri" w:hAnsi="Calibri" w:cs="Times New Roman"/>
          <w:i/>
          <w:iCs/>
          <w:noProof/>
          <w:sz w:val="24"/>
          <w:szCs w:val="24"/>
        </w:rPr>
        <w:t>Western Journal of Communication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61</w:t>
      </w:r>
      <w:r w:rsidRPr="00844B08">
        <w:rPr>
          <w:rFonts w:ascii="Calibri" w:hAnsi="Calibri" w:cs="Times New Roman"/>
          <w:noProof/>
          <w:sz w:val="24"/>
          <w:szCs w:val="24"/>
        </w:rPr>
        <w:t>(February 2015), 279–298. http://doi.org/10.1080/10570319709374578</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lastRenderedPageBreak/>
        <w:t xml:space="preserve">Francis, L., Monahan, K., &amp; Berger, C. (1999). A laughing matter? The uses of humor in medical interactions. </w:t>
      </w:r>
      <w:r w:rsidRPr="00844B08">
        <w:rPr>
          <w:rFonts w:ascii="Calibri" w:hAnsi="Calibri" w:cs="Times New Roman"/>
          <w:i/>
          <w:iCs/>
          <w:noProof/>
          <w:sz w:val="24"/>
          <w:szCs w:val="24"/>
        </w:rPr>
        <w:t>Motivation and 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23</w:t>
      </w:r>
      <w:r w:rsidRPr="00844B08">
        <w:rPr>
          <w:rFonts w:ascii="Calibri" w:hAnsi="Calibri" w:cs="Times New Roman"/>
          <w:noProof/>
          <w:sz w:val="24"/>
          <w:szCs w:val="24"/>
        </w:rPr>
        <w:t>(2), 156–174. http://doi.org/10.1023/A:1021381129517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Fredrickson, B. L. (2004). The broaden-and-build theory of positive emotions. </w:t>
      </w:r>
      <w:r w:rsidRPr="00844B08">
        <w:rPr>
          <w:rFonts w:ascii="Calibri" w:hAnsi="Calibri" w:cs="Times New Roman"/>
          <w:i/>
          <w:iCs/>
          <w:noProof/>
          <w:sz w:val="24"/>
          <w:szCs w:val="24"/>
        </w:rPr>
        <w:t>Philosophical Transactions of the Royal Society of London. Series B, Biological Sciences</w:t>
      </w:r>
      <w:r w:rsidRPr="00844B08">
        <w:rPr>
          <w:rFonts w:ascii="Calibri" w:hAnsi="Calibri" w:cs="Times New Roman"/>
          <w:noProof/>
          <w:sz w:val="24"/>
          <w:szCs w:val="24"/>
        </w:rPr>
        <w:t xml:space="preserve">, </w:t>
      </w:r>
      <w:r w:rsidRPr="00844B08">
        <w:rPr>
          <w:rFonts w:ascii="Calibri" w:hAnsi="Calibri" w:cs="Times New Roman"/>
          <w:i/>
          <w:iCs/>
          <w:noProof/>
          <w:sz w:val="24"/>
          <w:szCs w:val="24"/>
        </w:rPr>
        <w:t>359</w:t>
      </w:r>
      <w:r w:rsidRPr="00844B08">
        <w:rPr>
          <w:rFonts w:ascii="Calibri" w:hAnsi="Calibri" w:cs="Times New Roman"/>
          <w:noProof/>
          <w:sz w:val="24"/>
          <w:szCs w:val="24"/>
        </w:rPr>
        <w:t>(1449), 1367–78. http://doi.org/10.1098/rstb.2004.1512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Friese, M., &amp; Hofmann, W. (2009). Control me or I will control you: Impulses, trait self-control, and the guidance of behavior. </w:t>
      </w:r>
      <w:r w:rsidRPr="00844B08">
        <w:rPr>
          <w:rFonts w:ascii="Calibri" w:hAnsi="Calibri" w:cs="Times New Roman"/>
          <w:i/>
          <w:iCs/>
          <w:noProof/>
          <w:sz w:val="24"/>
          <w:szCs w:val="24"/>
        </w:rPr>
        <w:t>Journal of Research in Personality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43</w:t>
      </w:r>
      <w:r w:rsidRPr="00844B08">
        <w:rPr>
          <w:rFonts w:ascii="Calibri" w:hAnsi="Calibri" w:cs="Times New Roman"/>
          <w:noProof/>
          <w:sz w:val="24"/>
          <w:szCs w:val="24"/>
        </w:rPr>
        <w:t>(5), 795–805. http://doi.org/10.1016/j.jrp.2009.07.004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Friese, M., Hofmann, W., &amp; Wänke, M. (2008). </w:t>
      </w:r>
      <w:r w:rsidRPr="00844B08">
        <w:rPr>
          <w:rFonts w:ascii="Calibri" w:hAnsi="Calibri" w:cs="Times New Roman"/>
          <w:noProof/>
          <w:sz w:val="24"/>
          <w:szCs w:val="24"/>
        </w:rPr>
        <w:t xml:space="preserve">When impulses take over: moderated predictive validity of explicit and implicit attitude measures in predicting food choice and consumption behaviour. </w:t>
      </w:r>
      <w:r w:rsidRPr="00844B08">
        <w:rPr>
          <w:rFonts w:ascii="Calibri" w:hAnsi="Calibri" w:cs="Times New Roman"/>
          <w:i/>
          <w:iCs/>
          <w:noProof/>
          <w:sz w:val="24"/>
          <w:szCs w:val="24"/>
        </w:rPr>
        <w:t>The British Journal of Social Psychology / the British Psychological Society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47</w:t>
      </w:r>
      <w:r w:rsidRPr="00844B08">
        <w:rPr>
          <w:rFonts w:ascii="Calibri" w:hAnsi="Calibri" w:cs="Times New Roman"/>
          <w:noProof/>
          <w:sz w:val="24"/>
          <w:szCs w:val="24"/>
        </w:rPr>
        <w:t>(Pt 3), 397–419. http://doi.org/10.1348/014466607X241540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Gailliot, M. T., &amp; Baumeister, R. F. (2007). </w:t>
      </w:r>
      <w:r w:rsidRPr="00844B08">
        <w:rPr>
          <w:rFonts w:ascii="Calibri" w:hAnsi="Calibri" w:cs="Times New Roman"/>
          <w:noProof/>
          <w:sz w:val="24"/>
          <w:szCs w:val="24"/>
        </w:rPr>
        <w:t xml:space="preserve">Self-regulation and sexual restraint: dispositionally and temporarily poor self-regulatory abilities contribute to failures at restraining sexual behavior. </w:t>
      </w:r>
      <w:r w:rsidRPr="00844B08">
        <w:rPr>
          <w:rFonts w:ascii="Calibri" w:hAnsi="Calibri" w:cs="Times New Roman"/>
          <w:i/>
          <w:iCs/>
          <w:noProof/>
          <w:sz w:val="24"/>
          <w:szCs w:val="24"/>
        </w:rPr>
        <w:t>Personality and Social Psychology Bulletin</w:t>
      </w:r>
      <w:r w:rsidRPr="00844B08">
        <w:rPr>
          <w:rFonts w:ascii="Calibri" w:hAnsi="Calibri" w:cs="Times New Roman"/>
          <w:noProof/>
          <w:sz w:val="24"/>
          <w:szCs w:val="24"/>
        </w:rPr>
        <w:t xml:space="preserve">, </w:t>
      </w:r>
      <w:r w:rsidRPr="00844B08">
        <w:rPr>
          <w:rFonts w:ascii="Calibri" w:hAnsi="Calibri" w:cs="Times New Roman"/>
          <w:i/>
          <w:iCs/>
          <w:noProof/>
          <w:sz w:val="24"/>
          <w:szCs w:val="24"/>
        </w:rPr>
        <w:t>33</w:t>
      </w:r>
      <w:r w:rsidRPr="00844B08">
        <w:rPr>
          <w:rFonts w:ascii="Calibri" w:hAnsi="Calibri" w:cs="Times New Roman"/>
          <w:noProof/>
          <w:sz w:val="24"/>
          <w:szCs w:val="24"/>
        </w:rPr>
        <w:t>(2), 173–186. http://doi.org/10.1177/0146167206293472</w:t>
      </w:r>
    </w:p>
    <w:p w:rsid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Gailliot, M. T., Baumeister, R. F., Dewall, C. N., Maner, J. K., Plant, E. A., Tice, D. M., … Schmeichel, B. J. (2007). Self-Control Relies on Glucose as a Limited Energy Source: Willpower Is More Than a Metaphor.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92</w:t>
      </w:r>
      <w:r w:rsidRPr="00844B08">
        <w:rPr>
          <w:rFonts w:ascii="Calibri" w:hAnsi="Calibri" w:cs="Times New Roman"/>
          <w:noProof/>
          <w:sz w:val="24"/>
          <w:szCs w:val="24"/>
        </w:rPr>
        <w:t>(2), 325–336. http://doi.org/10.1037/0022-3514.92.2.325</w:t>
      </w:r>
    </w:p>
    <w:p w:rsidR="00612E90" w:rsidRPr="00612E90" w:rsidRDefault="00612E90" w:rsidP="00844B08">
      <w:pPr>
        <w:widowControl w:val="0"/>
        <w:autoSpaceDE w:val="0"/>
        <w:autoSpaceDN w:val="0"/>
        <w:adjustRightInd w:val="0"/>
        <w:spacing w:line="480" w:lineRule="auto"/>
        <w:ind w:left="480" w:hanging="480"/>
        <w:rPr>
          <w:rFonts w:ascii="Calibri" w:hAnsi="Calibri" w:cs="Times New Roman"/>
          <w:noProof/>
          <w:sz w:val="24"/>
          <w:szCs w:val="24"/>
        </w:rPr>
      </w:pPr>
      <w:r w:rsidRPr="00612E90">
        <w:rPr>
          <w:rFonts w:ascii="Calibri" w:hAnsi="Calibri" w:cs="Times New Roman"/>
          <w:noProof/>
          <w:sz w:val="24"/>
          <w:szCs w:val="24"/>
        </w:rPr>
        <w:lastRenderedPageBreak/>
        <w:t>Gallo, I. S., Keil, A., McCulloug</w:t>
      </w:r>
      <w:r>
        <w:rPr>
          <w:rFonts w:ascii="Calibri" w:hAnsi="Calibri" w:cs="Times New Roman"/>
          <w:noProof/>
          <w:sz w:val="24"/>
          <w:szCs w:val="24"/>
        </w:rPr>
        <w:t xml:space="preserve">h, K. C., Rockstroh, B., &amp; Gollwitzer, P.M. (2009). Strategic automation of emotion regulation. </w:t>
      </w:r>
      <w:r>
        <w:rPr>
          <w:rFonts w:ascii="Calibri" w:hAnsi="Calibri" w:cs="Times New Roman"/>
          <w:i/>
          <w:noProof/>
          <w:sz w:val="24"/>
          <w:szCs w:val="24"/>
        </w:rPr>
        <w:t>Journal of Personality and Social Psychology, 96</w:t>
      </w:r>
      <w:r>
        <w:rPr>
          <w:rFonts w:ascii="Calibri" w:hAnsi="Calibri" w:cs="Times New Roman"/>
          <w:noProof/>
          <w:sz w:val="24"/>
          <w:szCs w:val="24"/>
        </w:rPr>
        <w:t>(1), 11-31.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612E90">
        <w:rPr>
          <w:rFonts w:ascii="Calibri" w:hAnsi="Calibri" w:cs="Times New Roman"/>
          <w:noProof/>
          <w:sz w:val="24"/>
          <w:szCs w:val="24"/>
        </w:rPr>
        <w:t xml:space="preserve">Gardner, B. (2009). </w:t>
      </w:r>
      <w:r w:rsidRPr="00844B08">
        <w:rPr>
          <w:rFonts w:ascii="Calibri" w:hAnsi="Calibri" w:cs="Times New Roman"/>
          <w:noProof/>
          <w:sz w:val="24"/>
          <w:szCs w:val="24"/>
        </w:rPr>
        <w:t xml:space="preserve">Modelling motivation and habit in stable travel mode contexts. </w:t>
      </w:r>
      <w:r w:rsidRPr="00844B08">
        <w:rPr>
          <w:rFonts w:ascii="Calibri" w:hAnsi="Calibri" w:cs="Times New Roman"/>
          <w:i/>
          <w:iCs/>
          <w:noProof/>
          <w:sz w:val="24"/>
          <w:szCs w:val="24"/>
        </w:rPr>
        <w:t>Transportation Research Part F: Traffic Psychology and Behaviour</w:t>
      </w:r>
      <w:r w:rsidRPr="00844B08">
        <w:rPr>
          <w:rFonts w:ascii="Calibri" w:hAnsi="Calibri" w:cs="Times New Roman"/>
          <w:noProof/>
          <w:sz w:val="24"/>
          <w:szCs w:val="24"/>
        </w:rPr>
        <w:t xml:space="preserve">, </w:t>
      </w:r>
      <w:r w:rsidRPr="00844B08">
        <w:rPr>
          <w:rFonts w:ascii="Calibri" w:hAnsi="Calibri" w:cs="Times New Roman"/>
          <w:i/>
          <w:iCs/>
          <w:noProof/>
          <w:sz w:val="24"/>
          <w:szCs w:val="24"/>
        </w:rPr>
        <w:t>12</w:t>
      </w:r>
      <w:r w:rsidRPr="00844B08">
        <w:rPr>
          <w:rFonts w:ascii="Calibri" w:hAnsi="Calibri" w:cs="Times New Roman"/>
          <w:noProof/>
          <w:sz w:val="24"/>
          <w:szCs w:val="24"/>
        </w:rPr>
        <w:t>(1), 68–76. http://doi.org/10.1016/j.trf.2008.08.001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Gardner, B., Abraham, C., Lally, P., &amp; de Bruijn, G.-J. (2012). Towards parsimony in habit measurement: testing the convergent and predictive validity of an automaticity subscale of the Self-Report Habit Index. </w:t>
      </w:r>
      <w:r w:rsidRPr="00844B08">
        <w:rPr>
          <w:rFonts w:ascii="Calibri" w:hAnsi="Calibri" w:cs="Times New Roman"/>
          <w:i/>
          <w:iCs/>
          <w:noProof/>
          <w:sz w:val="24"/>
          <w:szCs w:val="24"/>
        </w:rPr>
        <w:t>The International Journal of Behavioral Nutrition and Physical Activity</w:t>
      </w:r>
      <w:r w:rsidRPr="00844B08">
        <w:rPr>
          <w:rFonts w:ascii="Calibri" w:hAnsi="Calibri" w:cs="Times New Roman"/>
          <w:noProof/>
          <w:sz w:val="24"/>
          <w:szCs w:val="24"/>
        </w:rPr>
        <w:t xml:space="preserve">, </w:t>
      </w:r>
      <w:r w:rsidRPr="00844B08">
        <w:rPr>
          <w:rFonts w:ascii="Calibri" w:hAnsi="Calibri" w:cs="Times New Roman"/>
          <w:i/>
          <w:iCs/>
          <w:noProof/>
          <w:sz w:val="24"/>
          <w:szCs w:val="24"/>
        </w:rPr>
        <w:t>9</w:t>
      </w:r>
      <w:r w:rsidRPr="00844B08">
        <w:rPr>
          <w:rFonts w:ascii="Calibri" w:hAnsi="Calibri" w:cs="Times New Roman"/>
          <w:noProof/>
          <w:sz w:val="24"/>
          <w:szCs w:val="24"/>
        </w:rPr>
        <w:t>, 102. http://doi.org/10.1186/1479-5868-9-102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Gerrits, A., &amp; Koekman, C. (2010). Platelet tissue factor synthesis in type 2 diabetic patients is resistant to inhibition by insulin. </w:t>
      </w:r>
      <w:r w:rsidRPr="00844B08">
        <w:rPr>
          <w:rFonts w:ascii="Calibri" w:hAnsi="Calibri" w:cs="Times New Roman"/>
          <w:i/>
          <w:iCs/>
          <w:noProof/>
          <w:sz w:val="24"/>
          <w:szCs w:val="24"/>
        </w:rPr>
        <w:t>Diabetes</w:t>
      </w:r>
      <w:r w:rsidRPr="00844B08">
        <w:rPr>
          <w:rFonts w:ascii="Calibri" w:hAnsi="Calibri" w:cs="Times New Roman"/>
          <w:noProof/>
          <w:sz w:val="24"/>
          <w:szCs w:val="24"/>
        </w:rPr>
        <w:t xml:space="preserve">, </w:t>
      </w:r>
      <w:r w:rsidRPr="00844B08">
        <w:rPr>
          <w:rFonts w:ascii="Calibri" w:hAnsi="Calibri" w:cs="Times New Roman"/>
          <w:i/>
          <w:iCs/>
          <w:noProof/>
          <w:sz w:val="24"/>
          <w:szCs w:val="24"/>
        </w:rPr>
        <w:t>59</w:t>
      </w:r>
      <w:r w:rsidRPr="00844B08">
        <w:rPr>
          <w:rFonts w:ascii="Calibri" w:hAnsi="Calibri" w:cs="Times New Roman"/>
          <w:noProof/>
          <w:sz w:val="24"/>
          <w:szCs w:val="24"/>
        </w:rPr>
        <w:t>(June), 1487–1495. http://doi.org/10.2337/db09-1008.</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Gilbert, D. T., &amp; Hixon, J. G. (1991). The trouble of thinking: Activation and application of stereotypic beliefs.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60</w:t>
      </w:r>
      <w:r w:rsidRPr="00844B08">
        <w:rPr>
          <w:rFonts w:ascii="Calibri" w:hAnsi="Calibri" w:cs="Times New Roman"/>
          <w:noProof/>
          <w:sz w:val="24"/>
          <w:szCs w:val="24"/>
        </w:rPr>
        <w:t>(4), 509–517. http://doi.org/10.1037/0022-3514.60.4.509</w:t>
      </w:r>
    </w:p>
    <w:p w:rsidR="00844B08" w:rsidRPr="00A41BE2" w:rsidRDefault="00844B08" w:rsidP="00844B08">
      <w:pPr>
        <w:widowControl w:val="0"/>
        <w:autoSpaceDE w:val="0"/>
        <w:autoSpaceDN w:val="0"/>
        <w:adjustRightInd w:val="0"/>
        <w:spacing w:line="480" w:lineRule="auto"/>
        <w:ind w:left="480" w:hanging="480"/>
        <w:rPr>
          <w:rFonts w:ascii="Calibri" w:hAnsi="Calibri" w:cs="Times New Roman"/>
          <w:noProof/>
          <w:sz w:val="24"/>
          <w:szCs w:val="24"/>
          <w:lang w:val="de-DE"/>
        </w:rPr>
      </w:pPr>
      <w:r w:rsidRPr="00844B08">
        <w:rPr>
          <w:rFonts w:ascii="Calibri" w:hAnsi="Calibri" w:cs="Times New Roman"/>
          <w:noProof/>
          <w:sz w:val="24"/>
          <w:szCs w:val="24"/>
        </w:rPr>
        <w:t xml:space="preserve">Gillath, O., Bunge, S. A., Shaver, P. R., Wendelken, C., &amp; Mikulincer, M. (2005). Attachment-style differences in the ability to suppress negative thoughts: Exploring the neural correlates. </w:t>
      </w:r>
      <w:r w:rsidRPr="00A41BE2">
        <w:rPr>
          <w:rFonts w:ascii="Calibri" w:hAnsi="Calibri" w:cs="Times New Roman"/>
          <w:i/>
          <w:iCs/>
          <w:noProof/>
          <w:sz w:val="24"/>
          <w:szCs w:val="24"/>
          <w:lang w:val="de-DE"/>
        </w:rPr>
        <w:t>NeuroImage</w:t>
      </w:r>
      <w:r w:rsidRPr="00A41BE2">
        <w:rPr>
          <w:rFonts w:ascii="Calibri" w:hAnsi="Calibri" w:cs="Times New Roman"/>
          <w:noProof/>
          <w:sz w:val="24"/>
          <w:szCs w:val="24"/>
          <w:lang w:val="de-DE"/>
        </w:rPr>
        <w:t xml:space="preserve">, </w:t>
      </w:r>
      <w:r w:rsidRPr="00A41BE2">
        <w:rPr>
          <w:rFonts w:ascii="Calibri" w:hAnsi="Calibri" w:cs="Times New Roman"/>
          <w:i/>
          <w:iCs/>
          <w:noProof/>
          <w:sz w:val="24"/>
          <w:szCs w:val="24"/>
          <w:lang w:val="de-DE"/>
        </w:rPr>
        <w:t>28</w:t>
      </w:r>
      <w:r w:rsidRPr="00A41BE2">
        <w:rPr>
          <w:rFonts w:ascii="Calibri" w:hAnsi="Calibri" w:cs="Times New Roman"/>
          <w:noProof/>
          <w:sz w:val="24"/>
          <w:szCs w:val="24"/>
          <w:lang w:val="de-DE"/>
        </w:rPr>
        <w:t>(4), 835–847. http://doi.org/10.1016/j.neuroimage.2005.06.048</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Glaser, W. R., &amp; Düngelhoff, F. J. (1984). </w:t>
      </w:r>
      <w:r w:rsidRPr="00844B08">
        <w:rPr>
          <w:rFonts w:ascii="Calibri" w:hAnsi="Calibri" w:cs="Times New Roman"/>
          <w:noProof/>
          <w:sz w:val="24"/>
          <w:szCs w:val="24"/>
        </w:rPr>
        <w:t xml:space="preserve">The time course of picture-word interference. </w:t>
      </w:r>
      <w:r w:rsidRPr="00844B08">
        <w:rPr>
          <w:rFonts w:ascii="Calibri" w:hAnsi="Calibri" w:cs="Times New Roman"/>
          <w:i/>
          <w:iCs/>
          <w:noProof/>
          <w:sz w:val="24"/>
          <w:szCs w:val="24"/>
        </w:rPr>
        <w:t>Journal of Experimental Psychology . Human Perception and Performance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10</w:t>
      </w:r>
      <w:r w:rsidRPr="00844B08">
        <w:rPr>
          <w:rFonts w:ascii="Calibri" w:hAnsi="Calibri" w:cs="Times New Roman"/>
          <w:noProof/>
          <w:sz w:val="24"/>
          <w:szCs w:val="24"/>
        </w:rPr>
        <w:t xml:space="preserve">(5), </w:t>
      </w:r>
      <w:r w:rsidRPr="00844B08">
        <w:rPr>
          <w:rFonts w:ascii="Calibri" w:hAnsi="Calibri" w:cs="Times New Roman"/>
          <w:noProof/>
          <w:sz w:val="24"/>
          <w:szCs w:val="24"/>
        </w:rPr>
        <w:lastRenderedPageBreak/>
        <w:t>640–654.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Goldin, P. R., McRae, K., Ramel, W., &amp; Gross, J. J. (2008). The Neural Bases of Emotion Regulation: Reappraisal and Suppression of Negative Emotion. </w:t>
      </w:r>
      <w:r w:rsidRPr="00844B08">
        <w:rPr>
          <w:rFonts w:ascii="Calibri" w:hAnsi="Calibri" w:cs="Times New Roman"/>
          <w:i/>
          <w:iCs/>
          <w:noProof/>
          <w:sz w:val="24"/>
          <w:szCs w:val="24"/>
        </w:rPr>
        <w:t>Biol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63</w:t>
      </w:r>
      <w:r w:rsidRPr="00844B08">
        <w:rPr>
          <w:rFonts w:ascii="Calibri" w:hAnsi="Calibri" w:cs="Times New Roman"/>
          <w:noProof/>
          <w:sz w:val="24"/>
          <w:szCs w:val="24"/>
        </w:rPr>
        <w:t>(6), 577–586.</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Gordon, A. M., Impett, E. A., Kogan, A., Oveis, C., &amp; Keltner, D. (2012). To have and to hold: gratitude promotes relationship maintenance in intimate bonds.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103</w:t>
      </w:r>
      <w:r w:rsidRPr="00844B08">
        <w:rPr>
          <w:rFonts w:ascii="Calibri" w:hAnsi="Calibri" w:cs="Times New Roman"/>
          <w:noProof/>
          <w:sz w:val="24"/>
          <w:szCs w:val="24"/>
        </w:rPr>
        <w:t>(2), 257–74. http://doi.org/10.1037/a0028723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Gottman, J. (1994). </w:t>
      </w:r>
      <w:r w:rsidRPr="00844B08">
        <w:rPr>
          <w:rFonts w:ascii="Calibri" w:hAnsi="Calibri" w:cs="Times New Roman"/>
          <w:i/>
          <w:iCs/>
          <w:noProof/>
          <w:sz w:val="24"/>
          <w:szCs w:val="24"/>
        </w:rPr>
        <w:t>What predicts divorce? The relationship between marital processes and marital outcomes</w:t>
      </w:r>
      <w:r w:rsidRPr="00844B08">
        <w:rPr>
          <w:rFonts w:ascii="Calibri" w:hAnsi="Calibri" w:cs="Times New Roman"/>
          <w:noProof/>
          <w:sz w:val="24"/>
          <w:szCs w:val="24"/>
        </w:rPr>
        <w:t>. Lawrence Erlbaum Associates.</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Grasmick, H. G., Tittle, C. R., Bursik, R. J., &amp; Arneklev, B. J. (1993). Testing the core empirical implications of Gottfredson and Hirschi’s general theory of crime. </w:t>
      </w:r>
      <w:r w:rsidRPr="00844B08">
        <w:rPr>
          <w:rFonts w:ascii="Calibri" w:hAnsi="Calibri" w:cs="Times New Roman"/>
          <w:i/>
          <w:iCs/>
          <w:noProof/>
          <w:sz w:val="24"/>
          <w:szCs w:val="24"/>
        </w:rPr>
        <w:t>Journal of Research on Crime and Delinquency</w:t>
      </w:r>
      <w:r w:rsidRPr="00844B08">
        <w:rPr>
          <w:rFonts w:ascii="Calibri" w:hAnsi="Calibri" w:cs="Times New Roman"/>
          <w:noProof/>
          <w:sz w:val="24"/>
          <w:szCs w:val="24"/>
        </w:rPr>
        <w:t xml:space="preserve">, </w:t>
      </w:r>
      <w:r w:rsidRPr="00844B08">
        <w:rPr>
          <w:rFonts w:ascii="Calibri" w:hAnsi="Calibri" w:cs="Times New Roman"/>
          <w:i/>
          <w:iCs/>
          <w:noProof/>
          <w:sz w:val="24"/>
          <w:szCs w:val="24"/>
        </w:rPr>
        <w:t>30</w:t>
      </w:r>
      <w:r w:rsidRPr="00844B08">
        <w:rPr>
          <w:rFonts w:ascii="Calibri" w:hAnsi="Calibri" w:cs="Times New Roman"/>
          <w:noProof/>
          <w:sz w:val="24"/>
          <w:szCs w:val="24"/>
        </w:rPr>
        <w:t>, 5–29.</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Gratz, K. L. ., &amp; Roemer, L. (2004). Multidimensional assessment fo emotion regulation and dysregulation: Development, factor structure, and inittial validation of the Difficulties in Emotion Regulation Scale. </w:t>
      </w:r>
      <w:r w:rsidRPr="00844B08">
        <w:rPr>
          <w:rFonts w:ascii="Calibri" w:hAnsi="Calibri" w:cs="Times New Roman"/>
          <w:i/>
          <w:iCs/>
          <w:noProof/>
          <w:sz w:val="24"/>
          <w:szCs w:val="24"/>
        </w:rPr>
        <w:t>Journal of Psychopathology and Behavioral Assessment</w:t>
      </w:r>
      <w:r w:rsidRPr="00844B08">
        <w:rPr>
          <w:rFonts w:ascii="Calibri" w:hAnsi="Calibri" w:cs="Times New Roman"/>
          <w:noProof/>
          <w:sz w:val="24"/>
          <w:szCs w:val="24"/>
        </w:rPr>
        <w:t xml:space="preserve">, </w:t>
      </w:r>
      <w:r w:rsidRPr="00844B08">
        <w:rPr>
          <w:rFonts w:ascii="Calibri" w:hAnsi="Calibri" w:cs="Times New Roman"/>
          <w:i/>
          <w:iCs/>
          <w:noProof/>
          <w:sz w:val="24"/>
          <w:szCs w:val="24"/>
        </w:rPr>
        <w:t>26</w:t>
      </w:r>
      <w:r w:rsidRPr="00844B08">
        <w:rPr>
          <w:rFonts w:ascii="Calibri" w:hAnsi="Calibri" w:cs="Times New Roman"/>
          <w:noProof/>
          <w:sz w:val="24"/>
          <w:szCs w:val="24"/>
        </w:rPr>
        <w:t>(1), 41–54.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Grecco, E., Robbins, S. J., Bartoli, E., &amp; Wolff, E. F. (2013). Use of Nonconscious Priming to Promote Self-Disclosure. </w:t>
      </w:r>
      <w:r w:rsidRPr="00844B08">
        <w:rPr>
          <w:rFonts w:ascii="Calibri" w:hAnsi="Calibri" w:cs="Times New Roman"/>
          <w:i/>
          <w:iCs/>
          <w:noProof/>
          <w:sz w:val="24"/>
          <w:szCs w:val="24"/>
        </w:rPr>
        <w:t>Clinical Psychological Science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1</w:t>
      </w:r>
      <w:r w:rsidRPr="00844B08">
        <w:rPr>
          <w:rFonts w:ascii="Calibri" w:hAnsi="Calibri" w:cs="Times New Roman"/>
          <w:noProof/>
          <w:sz w:val="24"/>
          <w:szCs w:val="24"/>
        </w:rPr>
        <w:t>(3), 311–315. http://doi.org/10.1177/2167702612472176</w:t>
      </w:r>
    </w:p>
    <w:p w:rsidR="00844B08" w:rsidRPr="00991890" w:rsidRDefault="00844B08" w:rsidP="00844B08">
      <w:pPr>
        <w:widowControl w:val="0"/>
        <w:autoSpaceDE w:val="0"/>
        <w:autoSpaceDN w:val="0"/>
        <w:adjustRightInd w:val="0"/>
        <w:spacing w:line="480" w:lineRule="auto"/>
        <w:ind w:left="480" w:hanging="480"/>
        <w:rPr>
          <w:rFonts w:ascii="Calibri" w:hAnsi="Calibri" w:cs="Times New Roman"/>
          <w:noProof/>
          <w:sz w:val="24"/>
          <w:szCs w:val="24"/>
          <w:lang w:val="de-DE"/>
        </w:rPr>
      </w:pPr>
      <w:r w:rsidRPr="00844B08">
        <w:rPr>
          <w:rFonts w:ascii="Calibri" w:hAnsi="Calibri" w:cs="Times New Roman"/>
          <w:noProof/>
          <w:sz w:val="24"/>
          <w:szCs w:val="24"/>
        </w:rPr>
        <w:t xml:space="preserve">Green, O. H. (1992). </w:t>
      </w:r>
      <w:r w:rsidRPr="00844B08">
        <w:rPr>
          <w:rFonts w:ascii="Calibri" w:hAnsi="Calibri" w:cs="Times New Roman"/>
          <w:i/>
          <w:iCs/>
          <w:noProof/>
          <w:sz w:val="24"/>
          <w:szCs w:val="24"/>
        </w:rPr>
        <w:t>The emotions: a philosophical theory</w:t>
      </w:r>
      <w:r w:rsidRPr="00844B08">
        <w:rPr>
          <w:rFonts w:ascii="Calibri" w:hAnsi="Calibri" w:cs="Times New Roman"/>
          <w:noProof/>
          <w:sz w:val="24"/>
          <w:szCs w:val="24"/>
        </w:rPr>
        <w:t xml:space="preserve">. </w:t>
      </w:r>
      <w:r w:rsidRPr="00991890">
        <w:rPr>
          <w:rFonts w:ascii="Calibri" w:hAnsi="Calibri" w:cs="Times New Roman"/>
          <w:noProof/>
          <w:sz w:val="24"/>
          <w:szCs w:val="24"/>
          <w:lang w:val="de-DE"/>
        </w:rPr>
        <w:t>Springer.</w:t>
      </w:r>
    </w:p>
    <w:p w:rsidR="00D66293" w:rsidRPr="00D66293" w:rsidRDefault="00D66293" w:rsidP="00D66293">
      <w:pPr>
        <w:widowControl w:val="0"/>
        <w:autoSpaceDE w:val="0"/>
        <w:autoSpaceDN w:val="0"/>
        <w:adjustRightInd w:val="0"/>
        <w:spacing w:line="480" w:lineRule="auto"/>
        <w:ind w:left="480" w:hanging="480"/>
        <w:rPr>
          <w:rFonts w:ascii="Calibri" w:hAnsi="Calibri" w:cs="Times New Roman"/>
          <w:noProof/>
          <w:sz w:val="24"/>
          <w:szCs w:val="24"/>
        </w:rPr>
      </w:pPr>
      <w:r w:rsidRPr="00991890">
        <w:rPr>
          <w:rFonts w:ascii="Calibri" w:hAnsi="Calibri" w:cs="Times New Roman"/>
          <w:noProof/>
          <w:sz w:val="24"/>
          <w:szCs w:val="24"/>
          <w:lang w:val="de-DE"/>
        </w:rPr>
        <w:lastRenderedPageBreak/>
        <w:t xml:space="preserve">Grieger, L.D., Kusunoki, Y. &amp; Harding, D.J. (2014). </w:t>
      </w:r>
      <w:r w:rsidRPr="00D66293">
        <w:rPr>
          <w:rFonts w:ascii="Calibri" w:hAnsi="Calibri" w:cs="Times New Roman"/>
          <w:noProof/>
          <w:sz w:val="24"/>
          <w:szCs w:val="24"/>
        </w:rPr>
        <w:t>The social contexts of adolescent romantic relationships. Focus, 31(1), 15–17.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Gross, J. J. (1998). The Emerging Field of Emotion Regulation : An Integrative Review Ih Ih. </w:t>
      </w:r>
      <w:r w:rsidRPr="00844B08">
        <w:rPr>
          <w:rFonts w:ascii="Calibri" w:hAnsi="Calibri" w:cs="Times New Roman"/>
          <w:i/>
          <w:iCs/>
          <w:noProof/>
          <w:sz w:val="24"/>
          <w:szCs w:val="24"/>
        </w:rPr>
        <w:t>Review of General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2</w:t>
      </w:r>
      <w:r w:rsidRPr="00844B08">
        <w:rPr>
          <w:rFonts w:ascii="Calibri" w:hAnsi="Calibri" w:cs="Times New Roman"/>
          <w:noProof/>
          <w:sz w:val="24"/>
          <w:szCs w:val="24"/>
        </w:rPr>
        <w:t>(5), 271–299. http://doi.org/10.1037/1089-2680.2.3.271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Gross, J. J. (2002). Emotion regulation: Affective, cognitive, and social consequences. </w:t>
      </w:r>
      <w:r w:rsidRPr="00844B08">
        <w:rPr>
          <w:rFonts w:ascii="Calibri" w:hAnsi="Calibri" w:cs="Times New Roman"/>
          <w:i/>
          <w:iCs/>
          <w:noProof/>
          <w:sz w:val="24"/>
          <w:szCs w:val="24"/>
        </w:rPr>
        <w:t>Psychophysiology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39</w:t>
      </w:r>
      <w:r w:rsidRPr="00844B08">
        <w:rPr>
          <w:rFonts w:ascii="Calibri" w:hAnsi="Calibri" w:cs="Times New Roman"/>
          <w:noProof/>
          <w:sz w:val="24"/>
          <w:szCs w:val="24"/>
        </w:rPr>
        <w:t>(3), 281–291. http://doi.org/10.1017/S0048577201393198</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Gross, J. J. (2013). Emotion regulation: Taking stock and moving forward. </w:t>
      </w:r>
      <w:r w:rsidRPr="00844B08">
        <w:rPr>
          <w:rFonts w:ascii="Calibri" w:hAnsi="Calibri" w:cs="Times New Roman"/>
          <w:i/>
          <w:iCs/>
          <w:noProof/>
          <w:sz w:val="24"/>
          <w:szCs w:val="24"/>
        </w:rPr>
        <w:t>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13</w:t>
      </w:r>
      <w:r w:rsidRPr="00844B08">
        <w:rPr>
          <w:rFonts w:ascii="Calibri" w:hAnsi="Calibri" w:cs="Times New Roman"/>
          <w:noProof/>
          <w:sz w:val="24"/>
          <w:szCs w:val="24"/>
        </w:rPr>
        <w:t>(3), 359–365. http://doi.org/10.1037/a0032135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Gross, J. J., &amp; John, O. E. (1997). Revealing Feelings: Facets of Emotional Expressivity in Self-Reports, Peer Ratings, and Behavior.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72</w:t>
      </w:r>
      <w:r w:rsidRPr="00844B08">
        <w:rPr>
          <w:rFonts w:ascii="Calibri" w:hAnsi="Calibri" w:cs="Times New Roman"/>
          <w:noProof/>
          <w:sz w:val="24"/>
          <w:szCs w:val="24"/>
        </w:rPr>
        <w:t>(2), 435–448.</w:t>
      </w:r>
    </w:p>
    <w:p w:rsidR="00844B08" w:rsidRPr="00A41BE2" w:rsidRDefault="00844B08" w:rsidP="00844B08">
      <w:pPr>
        <w:widowControl w:val="0"/>
        <w:autoSpaceDE w:val="0"/>
        <w:autoSpaceDN w:val="0"/>
        <w:adjustRightInd w:val="0"/>
        <w:spacing w:line="480" w:lineRule="auto"/>
        <w:ind w:left="480" w:hanging="480"/>
        <w:rPr>
          <w:rFonts w:ascii="Calibri" w:hAnsi="Calibri" w:cs="Times New Roman"/>
          <w:noProof/>
          <w:sz w:val="24"/>
          <w:szCs w:val="24"/>
          <w:lang w:val="fr-FR"/>
        </w:rPr>
      </w:pPr>
      <w:r w:rsidRPr="00844B08">
        <w:rPr>
          <w:rFonts w:ascii="Calibri" w:hAnsi="Calibri" w:cs="Times New Roman"/>
          <w:noProof/>
          <w:sz w:val="24"/>
          <w:szCs w:val="24"/>
        </w:rPr>
        <w:t xml:space="preserve">Gross, J. J., &amp; John, O. P. (2003a). </w:t>
      </w:r>
      <w:r w:rsidRPr="00A41BE2">
        <w:rPr>
          <w:rFonts w:ascii="Calibri" w:hAnsi="Calibri" w:cs="Times New Roman"/>
          <w:i/>
          <w:iCs/>
          <w:noProof/>
          <w:sz w:val="24"/>
          <w:szCs w:val="24"/>
          <w:lang w:val="fr-FR"/>
        </w:rPr>
        <w:t>Emotion Regulation Questionnaire</w:t>
      </w:r>
      <w:r w:rsidRPr="00A41BE2">
        <w:rPr>
          <w:rFonts w:ascii="Calibri" w:hAnsi="Calibri" w:cs="Times New Roman"/>
          <w:noProof/>
          <w:sz w:val="24"/>
          <w:szCs w:val="24"/>
          <w:lang w:val="fr-FR"/>
        </w:rPr>
        <w:t xml:space="preserve">. </w:t>
      </w:r>
      <w:r w:rsidRPr="00A41BE2">
        <w:rPr>
          <w:rFonts w:ascii="Calibri" w:hAnsi="Calibri" w:cs="Times New Roman"/>
          <w:i/>
          <w:iCs/>
          <w:noProof/>
          <w:sz w:val="24"/>
          <w:szCs w:val="24"/>
          <w:lang w:val="fr-FR"/>
        </w:rPr>
        <w:t>NeuroImage</w:t>
      </w:r>
      <w:r w:rsidRPr="00A41BE2">
        <w:rPr>
          <w:rFonts w:ascii="Calibri" w:hAnsi="Calibri" w:cs="Times New Roman"/>
          <w:noProof/>
          <w:sz w:val="24"/>
          <w:szCs w:val="24"/>
          <w:lang w:val="fr-FR"/>
        </w:rPr>
        <w:t xml:space="preserve"> (Vol. 48). http://doi.org/10.1037/0022-3514.85.2.348</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Gross, J. J., &amp; John, O. P. (2003b). Individual differences in two emotion regulation processes: implications for affect, relationships, and well-being.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85</w:t>
      </w:r>
      <w:r w:rsidRPr="00844B08">
        <w:rPr>
          <w:rFonts w:ascii="Calibri" w:hAnsi="Calibri" w:cs="Times New Roman"/>
          <w:noProof/>
          <w:sz w:val="24"/>
          <w:szCs w:val="24"/>
        </w:rPr>
        <w:t>(2), 348–362. http://doi.org/10.1037/0022-3514.85.2.348</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Gross, J. J., &amp; Levenson,  robert w. (1993). Emotional suppression: physiology, self-report, and expressive behavior.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64</w:t>
      </w:r>
      <w:r w:rsidRPr="00844B08">
        <w:rPr>
          <w:rFonts w:ascii="Calibri" w:hAnsi="Calibri" w:cs="Times New Roman"/>
          <w:noProof/>
          <w:sz w:val="24"/>
          <w:szCs w:val="24"/>
        </w:rPr>
        <w:t>(6), 970–986. http://doi.org/10.1037/0022-3514.64.6.970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lastRenderedPageBreak/>
        <w:t>Gross, J. J., Richards, J. M., &amp; John, O. P. (2006). Emotion Regulation in Couples and Families: Pathways to Dysfunction and Health. In D. K. Snyder, J. A. Simpson, &amp; J. N. Hughes (Eds.) (pp. 13–35). Washington DC: American Psychological Association.</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Gross, J. J., &amp; Thompson, R. A. (2007). Emotion regulation: Conceptual foundations. </w:t>
      </w:r>
      <w:r w:rsidRPr="00844B08">
        <w:rPr>
          <w:rFonts w:ascii="Calibri" w:hAnsi="Calibri" w:cs="Times New Roman"/>
          <w:i/>
          <w:iCs/>
          <w:noProof/>
          <w:sz w:val="24"/>
          <w:szCs w:val="24"/>
        </w:rPr>
        <w:t>Handbook of Emotion Regulation</w:t>
      </w:r>
      <w:r w:rsidRPr="00844B08">
        <w:rPr>
          <w:rFonts w:ascii="Calibri" w:hAnsi="Calibri" w:cs="Times New Roman"/>
          <w:noProof/>
          <w:sz w:val="24"/>
          <w:szCs w:val="24"/>
        </w:rPr>
        <w:t>, (January 2007), 3–24.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Gruber, J., Hay, A. C., &amp; Gross, J. J. (2014). Rethinking emotion: Cognitive reappraisal is an effective positive and negative emotion regulation strategy in bipolar disorder. </w:t>
      </w:r>
      <w:r w:rsidRPr="00844B08">
        <w:rPr>
          <w:rFonts w:ascii="Calibri" w:hAnsi="Calibri" w:cs="Times New Roman"/>
          <w:i/>
          <w:iCs/>
          <w:noProof/>
          <w:sz w:val="24"/>
          <w:szCs w:val="24"/>
        </w:rPr>
        <w:t>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14</w:t>
      </w:r>
      <w:r w:rsidRPr="00844B08">
        <w:rPr>
          <w:rFonts w:ascii="Calibri" w:hAnsi="Calibri" w:cs="Times New Roman"/>
          <w:noProof/>
          <w:sz w:val="24"/>
          <w:szCs w:val="24"/>
        </w:rPr>
        <w:t>(2), 388–96. http://doi.org/10.1037/a0035249</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Gyurak, A., Gross, J. J., &amp; Etkin, A. (2011). Explicit and implicit emotion regulation: a dual-process framework. </w:t>
      </w:r>
      <w:r w:rsidRPr="00844B08">
        <w:rPr>
          <w:rFonts w:ascii="Calibri" w:hAnsi="Calibri" w:cs="Times New Roman"/>
          <w:i/>
          <w:iCs/>
          <w:noProof/>
          <w:sz w:val="24"/>
          <w:szCs w:val="24"/>
        </w:rPr>
        <w:t>Cognition &amp; 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25</w:t>
      </w:r>
      <w:r w:rsidRPr="00844B08">
        <w:rPr>
          <w:rFonts w:ascii="Calibri" w:hAnsi="Calibri" w:cs="Times New Roman"/>
          <w:noProof/>
          <w:sz w:val="24"/>
          <w:szCs w:val="24"/>
        </w:rPr>
        <w:t>(3), 400–12. http://doi.org/10.1080/02699931.2010.544160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Hafner, M., &amp; IJzerman, H. (2011). The Face of Love: Spontaneous Accommodation as Social Emotion Regulation. </w:t>
      </w:r>
      <w:r w:rsidRPr="00844B08">
        <w:rPr>
          <w:rFonts w:ascii="Calibri" w:hAnsi="Calibri" w:cs="Times New Roman"/>
          <w:i/>
          <w:iCs/>
          <w:noProof/>
          <w:sz w:val="24"/>
          <w:szCs w:val="24"/>
        </w:rPr>
        <w:t>Personality and Social Psychology Bulletin</w:t>
      </w:r>
      <w:r w:rsidRPr="00844B08">
        <w:rPr>
          <w:rFonts w:ascii="Calibri" w:hAnsi="Calibri" w:cs="Times New Roman"/>
          <w:noProof/>
          <w:sz w:val="24"/>
          <w:szCs w:val="24"/>
        </w:rPr>
        <w:t xml:space="preserve">, </w:t>
      </w:r>
      <w:r w:rsidRPr="00844B08">
        <w:rPr>
          <w:rFonts w:ascii="Calibri" w:hAnsi="Calibri" w:cs="Times New Roman"/>
          <w:i/>
          <w:iCs/>
          <w:noProof/>
          <w:sz w:val="24"/>
          <w:szCs w:val="24"/>
        </w:rPr>
        <w:t>37</w:t>
      </w:r>
      <w:r w:rsidRPr="00844B08">
        <w:rPr>
          <w:rFonts w:ascii="Calibri" w:hAnsi="Calibri" w:cs="Times New Roman"/>
          <w:noProof/>
          <w:sz w:val="24"/>
          <w:szCs w:val="24"/>
        </w:rPr>
        <w:t>(12), 1551–1563. http://doi.org/10.1177/0146167211415629</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Hagger, M. S., Wood, C., Stiff, C., &amp; Chatzisarantis, N. L. D. (2010). Ego depletion and the strength model of self-control: a meta-analysis. </w:t>
      </w:r>
      <w:r w:rsidRPr="00844B08">
        <w:rPr>
          <w:rFonts w:ascii="Calibri" w:hAnsi="Calibri" w:cs="Times New Roman"/>
          <w:i/>
          <w:iCs/>
          <w:noProof/>
          <w:sz w:val="24"/>
          <w:szCs w:val="24"/>
        </w:rPr>
        <w:t>Psychological Bulletin</w:t>
      </w:r>
      <w:r w:rsidRPr="00844B08">
        <w:rPr>
          <w:rFonts w:ascii="Calibri" w:hAnsi="Calibri" w:cs="Times New Roman"/>
          <w:noProof/>
          <w:sz w:val="24"/>
          <w:szCs w:val="24"/>
        </w:rPr>
        <w:t xml:space="preserve">, </w:t>
      </w:r>
      <w:r w:rsidRPr="00844B08">
        <w:rPr>
          <w:rFonts w:ascii="Calibri" w:hAnsi="Calibri" w:cs="Times New Roman"/>
          <w:i/>
          <w:iCs/>
          <w:noProof/>
          <w:sz w:val="24"/>
          <w:szCs w:val="24"/>
        </w:rPr>
        <w:t>136</w:t>
      </w:r>
      <w:r w:rsidRPr="00844B08">
        <w:rPr>
          <w:rFonts w:ascii="Calibri" w:hAnsi="Calibri" w:cs="Times New Roman"/>
          <w:noProof/>
          <w:sz w:val="24"/>
          <w:szCs w:val="24"/>
        </w:rPr>
        <w:t>(4), 495–525. http://doi.org/10.1037/a0019486</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Haghighat, R. (2007). The Development of the Brief Social Desirability Scale (BSDS). </w:t>
      </w:r>
      <w:r w:rsidRPr="00844B08">
        <w:rPr>
          <w:rFonts w:ascii="Calibri" w:hAnsi="Calibri" w:cs="Times New Roman"/>
          <w:i/>
          <w:iCs/>
          <w:noProof/>
          <w:sz w:val="24"/>
          <w:szCs w:val="24"/>
        </w:rPr>
        <w:t>Europe’s Journal of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3</w:t>
      </w:r>
      <w:r w:rsidRPr="00844B08">
        <w:rPr>
          <w:rFonts w:ascii="Calibri" w:hAnsi="Calibri" w:cs="Times New Roman"/>
          <w:noProof/>
          <w:sz w:val="24"/>
          <w:szCs w:val="24"/>
        </w:rPr>
        <w:t>(4). http://doi.org/10.5964/ejop.v3i4.417</w:t>
      </w:r>
    </w:p>
    <w:p w:rsidR="00844B08" w:rsidRPr="00A41BE2" w:rsidRDefault="00844B08" w:rsidP="00844B08">
      <w:pPr>
        <w:widowControl w:val="0"/>
        <w:autoSpaceDE w:val="0"/>
        <w:autoSpaceDN w:val="0"/>
        <w:adjustRightInd w:val="0"/>
        <w:spacing w:line="480" w:lineRule="auto"/>
        <w:ind w:left="480" w:hanging="480"/>
        <w:rPr>
          <w:rFonts w:ascii="Calibri" w:hAnsi="Calibri" w:cs="Times New Roman"/>
          <w:noProof/>
          <w:sz w:val="24"/>
          <w:szCs w:val="24"/>
          <w:lang w:val="es-MX"/>
        </w:rPr>
      </w:pPr>
      <w:r w:rsidRPr="00844B08">
        <w:rPr>
          <w:rFonts w:ascii="Calibri" w:hAnsi="Calibri" w:cs="Times New Roman"/>
          <w:noProof/>
          <w:sz w:val="24"/>
          <w:szCs w:val="24"/>
        </w:rPr>
        <w:t xml:space="preserve">Hahn, A., Judd, C. M., Hirsh, H. K., &amp; Blair, I. V. (2014). Awareness of implicit attitudes. </w:t>
      </w:r>
      <w:r w:rsidRPr="00844B08">
        <w:rPr>
          <w:rFonts w:ascii="Calibri" w:hAnsi="Calibri" w:cs="Times New Roman"/>
          <w:i/>
          <w:iCs/>
          <w:noProof/>
          <w:sz w:val="24"/>
          <w:szCs w:val="24"/>
        </w:rPr>
        <w:t xml:space="preserve">Journal of Experimental Psychology. </w:t>
      </w:r>
      <w:r w:rsidRPr="00A41BE2">
        <w:rPr>
          <w:rFonts w:ascii="Calibri" w:hAnsi="Calibri" w:cs="Times New Roman"/>
          <w:i/>
          <w:iCs/>
          <w:noProof/>
          <w:sz w:val="24"/>
          <w:szCs w:val="24"/>
          <w:lang w:val="es-MX"/>
        </w:rPr>
        <w:t>General</w:t>
      </w:r>
      <w:r w:rsidRPr="00A41BE2">
        <w:rPr>
          <w:rFonts w:ascii="Calibri" w:hAnsi="Calibri" w:cs="Times New Roman"/>
          <w:noProof/>
          <w:sz w:val="24"/>
          <w:szCs w:val="24"/>
          <w:lang w:val="es-MX"/>
        </w:rPr>
        <w:t xml:space="preserve">, </w:t>
      </w:r>
      <w:r w:rsidRPr="00A41BE2">
        <w:rPr>
          <w:rFonts w:ascii="Calibri" w:hAnsi="Calibri" w:cs="Times New Roman"/>
          <w:i/>
          <w:iCs/>
          <w:noProof/>
          <w:sz w:val="24"/>
          <w:szCs w:val="24"/>
          <w:lang w:val="es-MX"/>
        </w:rPr>
        <w:t>143</w:t>
      </w:r>
      <w:r w:rsidRPr="00A41BE2">
        <w:rPr>
          <w:rFonts w:ascii="Calibri" w:hAnsi="Calibri" w:cs="Times New Roman"/>
          <w:noProof/>
          <w:sz w:val="24"/>
          <w:szCs w:val="24"/>
          <w:lang w:val="es-MX"/>
        </w:rPr>
        <w:t xml:space="preserve">(3), 1369–92. </w:t>
      </w:r>
      <w:r w:rsidRPr="00A41BE2">
        <w:rPr>
          <w:rFonts w:ascii="Calibri" w:hAnsi="Calibri" w:cs="Times New Roman"/>
          <w:noProof/>
          <w:sz w:val="24"/>
          <w:szCs w:val="24"/>
          <w:lang w:val="es-MX"/>
        </w:rPr>
        <w:lastRenderedPageBreak/>
        <w:t>http://doi.org/10.1037/a0035028</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es-MX"/>
        </w:rPr>
        <w:t xml:space="preserve">Hatfield, E., Cacioppo, J. T., &amp; Rapson, R. L. (1994). </w:t>
      </w:r>
      <w:r w:rsidRPr="00844B08">
        <w:rPr>
          <w:rFonts w:ascii="Calibri" w:hAnsi="Calibri" w:cs="Times New Roman"/>
          <w:i/>
          <w:iCs/>
          <w:noProof/>
          <w:sz w:val="24"/>
          <w:szCs w:val="24"/>
        </w:rPr>
        <w:t>Emotional contagion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Emotional Contagion</w:t>
      </w:r>
      <w:r w:rsidRPr="00844B08">
        <w:rPr>
          <w:rFonts w:ascii="Calibri" w:hAnsi="Calibri" w:cs="Times New Roman"/>
          <w:noProof/>
          <w:sz w:val="24"/>
          <w:szCs w:val="24"/>
        </w:rPr>
        <w:t>.</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Hermans, D., De Houwer, J., &amp; Eelen, P. (2001). A time course analysis of the affective priming effect. </w:t>
      </w:r>
      <w:r w:rsidRPr="00844B08">
        <w:rPr>
          <w:rFonts w:ascii="Calibri" w:hAnsi="Calibri" w:cs="Times New Roman"/>
          <w:i/>
          <w:iCs/>
          <w:noProof/>
          <w:sz w:val="24"/>
          <w:szCs w:val="24"/>
        </w:rPr>
        <w:t>Cognition and 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15</w:t>
      </w:r>
      <w:r w:rsidRPr="00844B08">
        <w:rPr>
          <w:rFonts w:ascii="Calibri" w:hAnsi="Calibri" w:cs="Times New Roman"/>
          <w:noProof/>
          <w:sz w:val="24"/>
          <w:szCs w:val="24"/>
        </w:rPr>
        <w:t>(2), 143–165. http://doi.org/10.1080/0269993004200033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Higgins, E. T. (1996). Knowledge activation: accessibility, applicability, and salience. In E. T. Higgins &amp; A. W. Kruglanski (Eds.), </w:t>
      </w:r>
      <w:r w:rsidRPr="00844B08">
        <w:rPr>
          <w:rFonts w:ascii="Calibri" w:hAnsi="Calibri" w:cs="Times New Roman"/>
          <w:i/>
          <w:iCs/>
          <w:noProof/>
          <w:sz w:val="24"/>
          <w:szCs w:val="24"/>
        </w:rPr>
        <w:t>Social Psychology: Handbook of Basic Principles</w:t>
      </w:r>
      <w:r w:rsidRPr="00844B08">
        <w:rPr>
          <w:rFonts w:ascii="Calibri" w:hAnsi="Calibri" w:cs="Times New Roman"/>
          <w:noProof/>
          <w:sz w:val="24"/>
          <w:szCs w:val="24"/>
        </w:rPr>
        <w:t xml:space="preserve"> (pp. 133–168). New York, NY: Guilford Press.</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Hofmann, S. G., Heering, S., Sawyer, A. T., &amp; Asnaani, A. (2009). How to handle anxiety: The effects of reappraisal, acceptance, and suppression strategies on anxious arousal. </w:t>
      </w:r>
      <w:r w:rsidRPr="00844B08">
        <w:rPr>
          <w:rFonts w:ascii="Calibri" w:hAnsi="Calibri" w:cs="Times New Roman"/>
          <w:i/>
          <w:iCs/>
          <w:noProof/>
          <w:sz w:val="24"/>
          <w:szCs w:val="24"/>
        </w:rPr>
        <w:t>Behaviour Research and Therapy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47</w:t>
      </w:r>
      <w:r w:rsidRPr="00844B08">
        <w:rPr>
          <w:rFonts w:ascii="Calibri" w:hAnsi="Calibri" w:cs="Times New Roman"/>
          <w:noProof/>
          <w:sz w:val="24"/>
          <w:szCs w:val="24"/>
        </w:rPr>
        <w:t>(5), 389–394. http://doi.org/10.1016/j.brat.2009.02.010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Hofmann, W., Baumeister, R. F., Förster, G., &amp; Vohs, K. D. (2012). Everyday temptations: an experience sampling study of desire, conflict, and self-control.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102</w:t>
      </w:r>
      <w:r w:rsidRPr="00844B08">
        <w:rPr>
          <w:rFonts w:ascii="Calibri" w:hAnsi="Calibri" w:cs="Times New Roman"/>
          <w:noProof/>
          <w:sz w:val="24"/>
          <w:szCs w:val="24"/>
        </w:rPr>
        <w:t>(6), 1318–35. http://doi.org/10.1037/a0026545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Hofmann, W., Friese, M., &amp; Strack, F. (2009). Impulse and Self-Control From a Dual-Systems Perspective. </w:t>
      </w:r>
      <w:r w:rsidRPr="00844B08">
        <w:rPr>
          <w:rFonts w:ascii="Calibri" w:hAnsi="Calibri" w:cs="Times New Roman"/>
          <w:i/>
          <w:iCs/>
          <w:noProof/>
          <w:sz w:val="24"/>
          <w:szCs w:val="24"/>
        </w:rPr>
        <w:t>Perspectives on Psychological Science : A Journal of the Association for Psychological Science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4</w:t>
      </w:r>
      <w:r w:rsidRPr="00844B08">
        <w:rPr>
          <w:rFonts w:ascii="Calibri" w:hAnsi="Calibri" w:cs="Times New Roman"/>
          <w:noProof/>
          <w:sz w:val="24"/>
          <w:szCs w:val="24"/>
        </w:rPr>
        <w:t>(2), 162–176. http://doi.org/10.1111/j.1745-6924.2009.01116.x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lastRenderedPageBreak/>
        <w:t xml:space="preserve">Hofmann, W., Rauch, W., &amp; Gawronski, B. (2007). And deplete us not into temptation: Automatic attitudes, dietary restraint, and self-regulatory resources as determinants of eating behavior. </w:t>
      </w:r>
      <w:r w:rsidRPr="00844B08">
        <w:rPr>
          <w:rFonts w:ascii="Calibri" w:hAnsi="Calibri" w:cs="Times New Roman"/>
          <w:i/>
          <w:iCs/>
          <w:noProof/>
          <w:sz w:val="24"/>
          <w:szCs w:val="24"/>
        </w:rPr>
        <w:t>Journal of Experimental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43</w:t>
      </w:r>
      <w:r w:rsidRPr="00844B08">
        <w:rPr>
          <w:rFonts w:ascii="Calibri" w:hAnsi="Calibri" w:cs="Times New Roman"/>
          <w:noProof/>
          <w:sz w:val="24"/>
          <w:szCs w:val="24"/>
        </w:rPr>
        <w:t>(3), 497–504. http://doi.org/10.1016/j.jesp.2006.05.004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Hui, S. K. A., Wright, R. A., Stewart, C. C., Simmons, A., Eaton, B., &amp; Nolte, R. N. (2009). Performance, cardiovascular, and health behavior effects of an inhibitory strength training intervention. </w:t>
      </w:r>
      <w:r w:rsidRPr="00844B08">
        <w:rPr>
          <w:rFonts w:ascii="Calibri" w:hAnsi="Calibri" w:cs="Times New Roman"/>
          <w:i/>
          <w:iCs/>
          <w:noProof/>
          <w:sz w:val="24"/>
          <w:szCs w:val="24"/>
        </w:rPr>
        <w:t>Motivation and 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33</w:t>
      </w:r>
      <w:r w:rsidRPr="00844B08">
        <w:rPr>
          <w:rFonts w:ascii="Calibri" w:hAnsi="Calibri" w:cs="Times New Roman"/>
          <w:noProof/>
          <w:sz w:val="24"/>
          <w:szCs w:val="24"/>
        </w:rPr>
        <w:t>(4), 419–434. http://doi.org/10.1007/s11031-009-9146-0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Hutchison, J. A., &amp; Gunthert, K. C. (2013). Measuring beliefs about automatic mood regulation: Development of a self-report scale. </w:t>
      </w:r>
      <w:r w:rsidRPr="00844B08">
        <w:rPr>
          <w:rFonts w:ascii="Calibri" w:hAnsi="Calibri" w:cs="Times New Roman"/>
          <w:i/>
          <w:iCs/>
          <w:noProof/>
          <w:sz w:val="24"/>
          <w:szCs w:val="24"/>
        </w:rPr>
        <w:t>Cognitive Therapy and Research</w:t>
      </w:r>
      <w:r w:rsidRPr="00844B08">
        <w:rPr>
          <w:rFonts w:ascii="Calibri" w:hAnsi="Calibri" w:cs="Times New Roman"/>
          <w:noProof/>
          <w:sz w:val="24"/>
          <w:szCs w:val="24"/>
        </w:rPr>
        <w:t>. http://doi.org/10.1007/s10608-013-9559-7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Imhoff, R., &amp; Banse, R. (2011). Implicit and explicit attitudes toward ex-partners differentially predict breakup adjustment. </w:t>
      </w:r>
      <w:r w:rsidRPr="00844B08">
        <w:rPr>
          <w:rFonts w:ascii="Calibri" w:hAnsi="Calibri" w:cs="Times New Roman"/>
          <w:i/>
          <w:iCs/>
          <w:noProof/>
          <w:sz w:val="24"/>
          <w:szCs w:val="24"/>
        </w:rPr>
        <w:t>Personal Relationships</w:t>
      </w:r>
      <w:r w:rsidRPr="00844B08">
        <w:rPr>
          <w:rFonts w:ascii="Calibri" w:hAnsi="Calibri" w:cs="Times New Roman"/>
          <w:noProof/>
          <w:sz w:val="24"/>
          <w:szCs w:val="24"/>
        </w:rPr>
        <w:t>. http://doi.org/10.1111/j.1475-6811.2010.01308.x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Indvik, J., &amp; Fitzpatrick, M. A. (1982). “If You Could Read My Mind, Love...,” Understanding and Misunderstanding in the Marital. </w:t>
      </w:r>
      <w:r w:rsidRPr="00844B08">
        <w:rPr>
          <w:rFonts w:ascii="Calibri" w:hAnsi="Calibri" w:cs="Times New Roman"/>
          <w:i/>
          <w:iCs/>
          <w:noProof/>
          <w:sz w:val="24"/>
          <w:szCs w:val="24"/>
        </w:rPr>
        <w:t>Source: Family Relations</w:t>
      </w:r>
      <w:r w:rsidRPr="00844B08">
        <w:rPr>
          <w:rFonts w:ascii="Calibri" w:hAnsi="Calibri" w:cs="Times New Roman"/>
          <w:noProof/>
          <w:sz w:val="24"/>
          <w:szCs w:val="24"/>
        </w:rPr>
        <w:t xml:space="preserve">, </w:t>
      </w:r>
      <w:r w:rsidRPr="00844B08">
        <w:rPr>
          <w:rFonts w:ascii="Calibri" w:hAnsi="Calibri" w:cs="Times New Roman"/>
          <w:i/>
          <w:iCs/>
          <w:noProof/>
          <w:sz w:val="24"/>
          <w:szCs w:val="24"/>
        </w:rPr>
        <w:t>31</w:t>
      </w:r>
      <w:r w:rsidRPr="00844B08">
        <w:rPr>
          <w:rFonts w:ascii="Calibri" w:hAnsi="Calibri" w:cs="Times New Roman"/>
          <w:noProof/>
          <w:sz w:val="24"/>
          <w:szCs w:val="24"/>
        </w:rPr>
        <w:t>(1), 43–51. Retrieved from http://www.jstor.org/stable/584200</w:t>
      </w:r>
    </w:p>
    <w:p w:rsid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Inzlicht, M., Schmeichel</w:t>
      </w:r>
      <w:r w:rsidR="00522BC7">
        <w:rPr>
          <w:rFonts w:ascii="Calibri" w:hAnsi="Calibri" w:cs="Times New Roman"/>
          <w:noProof/>
          <w:sz w:val="24"/>
          <w:szCs w:val="24"/>
          <w:lang w:val="de-DE"/>
        </w:rPr>
        <w:t>, B. J., &amp; Macrae, C. N. (2013</w:t>
      </w:r>
      <w:r w:rsidRPr="00A41BE2">
        <w:rPr>
          <w:rFonts w:ascii="Calibri" w:hAnsi="Calibri" w:cs="Times New Roman"/>
          <w:noProof/>
          <w:sz w:val="24"/>
          <w:szCs w:val="24"/>
          <w:lang w:val="de-DE"/>
        </w:rPr>
        <w:t xml:space="preserve">). </w:t>
      </w:r>
      <w:r w:rsidRPr="00844B08">
        <w:rPr>
          <w:rFonts w:ascii="Calibri" w:hAnsi="Calibri" w:cs="Times New Roman"/>
          <w:noProof/>
          <w:sz w:val="24"/>
          <w:szCs w:val="24"/>
        </w:rPr>
        <w:t xml:space="preserve">Why self-control seems (but may not be) limited. </w:t>
      </w:r>
      <w:r w:rsidRPr="00844B08">
        <w:rPr>
          <w:rFonts w:ascii="Calibri" w:hAnsi="Calibri" w:cs="Times New Roman"/>
          <w:i/>
          <w:iCs/>
          <w:noProof/>
          <w:sz w:val="24"/>
          <w:szCs w:val="24"/>
        </w:rPr>
        <w:t>Trends in Cognitive Sciences</w:t>
      </w:r>
      <w:r w:rsidRPr="00844B08">
        <w:rPr>
          <w:rFonts w:ascii="Calibri" w:hAnsi="Calibri" w:cs="Times New Roman"/>
          <w:noProof/>
          <w:sz w:val="24"/>
          <w:szCs w:val="24"/>
        </w:rPr>
        <w:t>. http://doi.org/10.1016/j.tics.2013.12.009</w:t>
      </w:r>
    </w:p>
    <w:p w:rsidR="00297E06" w:rsidRPr="00297E06" w:rsidRDefault="00297E06" w:rsidP="00844B08">
      <w:pPr>
        <w:widowControl w:val="0"/>
        <w:autoSpaceDE w:val="0"/>
        <w:autoSpaceDN w:val="0"/>
        <w:adjustRightInd w:val="0"/>
        <w:spacing w:line="480" w:lineRule="auto"/>
        <w:ind w:left="480" w:hanging="480"/>
        <w:rPr>
          <w:rFonts w:ascii="Calibri" w:hAnsi="Calibri" w:cs="Times New Roman"/>
          <w:noProof/>
          <w:sz w:val="24"/>
          <w:szCs w:val="24"/>
        </w:rPr>
      </w:pPr>
      <w:r w:rsidRPr="00297E06">
        <w:rPr>
          <w:rFonts w:ascii="Calibri" w:hAnsi="Calibri" w:cs="Times New Roman"/>
          <w:noProof/>
          <w:sz w:val="24"/>
          <w:szCs w:val="24"/>
          <w:lang w:val="de-DE"/>
        </w:rPr>
        <w:t>Iyengar, S. S., &amp; Lepper, M. R</w:t>
      </w:r>
      <w:r>
        <w:rPr>
          <w:rFonts w:ascii="Calibri" w:hAnsi="Calibri" w:cs="Times New Roman"/>
          <w:noProof/>
          <w:sz w:val="24"/>
          <w:szCs w:val="24"/>
          <w:lang w:val="de-DE"/>
        </w:rPr>
        <w:t xml:space="preserve">. (2000). </w:t>
      </w:r>
      <w:r w:rsidRPr="00297E06">
        <w:rPr>
          <w:rFonts w:ascii="Calibri" w:hAnsi="Calibri" w:cs="Times New Roman"/>
          <w:noProof/>
          <w:sz w:val="24"/>
          <w:szCs w:val="24"/>
        </w:rPr>
        <w:t>When choice is demotivating: can one desire too much of a good t</w:t>
      </w:r>
      <w:r>
        <w:rPr>
          <w:rFonts w:ascii="Calibri" w:hAnsi="Calibri" w:cs="Times New Roman"/>
          <w:noProof/>
          <w:sz w:val="24"/>
          <w:szCs w:val="24"/>
        </w:rPr>
        <w:t xml:space="preserve">hing? </w:t>
      </w:r>
      <w:r>
        <w:rPr>
          <w:rFonts w:ascii="Calibri" w:hAnsi="Calibri" w:cs="Times New Roman"/>
          <w:i/>
          <w:noProof/>
          <w:sz w:val="24"/>
          <w:szCs w:val="24"/>
        </w:rPr>
        <w:t>Journal of Personality and Social Psychology, 79</w:t>
      </w:r>
      <w:r>
        <w:rPr>
          <w:rFonts w:ascii="Calibri" w:hAnsi="Calibri" w:cs="Times New Roman"/>
          <w:noProof/>
          <w:sz w:val="24"/>
          <w:szCs w:val="24"/>
        </w:rPr>
        <w:t>(6), 995-</w:t>
      </w:r>
      <w:r>
        <w:rPr>
          <w:rFonts w:ascii="Calibri" w:hAnsi="Calibri" w:cs="Times New Roman"/>
          <w:noProof/>
          <w:sz w:val="24"/>
          <w:szCs w:val="24"/>
        </w:rPr>
        <w:lastRenderedPageBreak/>
        <w:t xml:space="preserve">1006. </w:t>
      </w:r>
      <w:r w:rsidRPr="00297E06">
        <w:rPr>
          <w:rFonts w:ascii="Calibri" w:hAnsi="Calibri" w:cs="Times New Roman"/>
          <w:noProof/>
          <w:sz w:val="24"/>
          <w:szCs w:val="24"/>
        </w:rPr>
        <w:t xml:space="preserve"> </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297E06">
        <w:rPr>
          <w:rFonts w:ascii="Calibri" w:hAnsi="Calibri" w:cs="Times New Roman"/>
          <w:noProof/>
          <w:sz w:val="24"/>
          <w:szCs w:val="24"/>
          <w:lang w:val="de-DE"/>
        </w:rPr>
        <w:t xml:space="preserve">Iwanicki, E. F., &amp; Schwab, R. L. (1981). </w:t>
      </w:r>
      <w:r w:rsidRPr="00844B08">
        <w:rPr>
          <w:rFonts w:ascii="Calibri" w:hAnsi="Calibri" w:cs="Times New Roman"/>
          <w:noProof/>
          <w:sz w:val="24"/>
          <w:szCs w:val="24"/>
        </w:rPr>
        <w:t xml:space="preserve">Maslach burnout inventory. </w:t>
      </w:r>
      <w:r w:rsidRPr="00844B08">
        <w:rPr>
          <w:rFonts w:ascii="Calibri" w:hAnsi="Calibri" w:cs="Times New Roman"/>
          <w:i/>
          <w:iCs/>
          <w:noProof/>
          <w:sz w:val="24"/>
          <w:szCs w:val="24"/>
        </w:rPr>
        <w:t>Educational and Psychological Measurement</w:t>
      </w:r>
      <w:r w:rsidRPr="00844B08">
        <w:rPr>
          <w:rFonts w:ascii="Calibri" w:hAnsi="Calibri" w:cs="Times New Roman"/>
          <w:noProof/>
          <w:sz w:val="24"/>
          <w:szCs w:val="24"/>
        </w:rPr>
        <w:t xml:space="preserve">, </w:t>
      </w:r>
      <w:r w:rsidRPr="00844B08">
        <w:rPr>
          <w:rFonts w:ascii="Calibri" w:hAnsi="Calibri" w:cs="Times New Roman"/>
          <w:i/>
          <w:iCs/>
          <w:noProof/>
          <w:sz w:val="24"/>
          <w:szCs w:val="24"/>
        </w:rPr>
        <w:t>41</w:t>
      </w:r>
      <w:r w:rsidRPr="00844B08">
        <w:rPr>
          <w:rFonts w:ascii="Calibri" w:hAnsi="Calibri" w:cs="Times New Roman"/>
          <w:noProof/>
          <w:sz w:val="24"/>
          <w:szCs w:val="24"/>
        </w:rPr>
        <w:t>, 1167–1174. http://doi.org/10.1017/S0033291798257163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Jackson, D. C., Mueller, C. J., Dolski, I., Dalton, K. M., Nitschke, J. B., Urry, H. L., … Davidson, R. J. (2003). Now you feel it, now you don’t: Front brain electrical assymetry and individual differences in emotion regulation. </w:t>
      </w:r>
      <w:r w:rsidRPr="00844B08">
        <w:rPr>
          <w:rFonts w:ascii="Calibri" w:hAnsi="Calibri" w:cs="Times New Roman"/>
          <w:i/>
          <w:iCs/>
          <w:noProof/>
          <w:sz w:val="24"/>
          <w:szCs w:val="24"/>
        </w:rPr>
        <w:t>Psychological Science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14</w:t>
      </w:r>
      <w:r w:rsidRPr="00844B08">
        <w:rPr>
          <w:rFonts w:ascii="Calibri" w:hAnsi="Calibri" w:cs="Times New Roman"/>
          <w:noProof/>
          <w:sz w:val="24"/>
          <w:szCs w:val="24"/>
        </w:rPr>
        <w:t>(6), 612–617. http://doi.org/10.1046/j.0956-7976.2003.psci_1473.x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James J. Gross, &amp; Ross A. Thompson. (2007). Emotion regulation: Conceptual foundations. In James J Gross (Ed.), </w:t>
      </w:r>
      <w:r w:rsidRPr="00844B08">
        <w:rPr>
          <w:rFonts w:ascii="Calibri" w:hAnsi="Calibri" w:cs="Times New Roman"/>
          <w:i/>
          <w:iCs/>
          <w:noProof/>
          <w:sz w:val="24"/>
          <w:szCs w:val="24"/>
        </w:rPr>
        <w:t>Handbook of Emotion Regulation</w:t>
      </w:r>
      <w:r w:rsidRPr="00844B08">
        <w:rPr>
          <w:rFonts w:ascii="Calibri" w:hAnsi="Calibri" w:cs="Times New Roman"/>
          <w:noProof/>
          <w:sz w:val="24"/>
          <w:szCs w:val="24"/>
        </w:rPr>
        <w:t xml:space="preserve"> (pp. 3–24). New York: Guilford Press.</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Job, V., Dweck, C. S., &amp; Walton, G. M. (2010). Ego Depletion--Is It All in Your Head?: Implicit Theories About Willpower Affect Self-Regulation. </w:t>
      </w:r>
      <w:r w:rsidRPr="00844B08">
        <w:rPr>
          <w:rFonts w:ascii="Calibri" w:hAnsi="Calibri" w:cs="Times New Roman"/>
          <w:i/>
          <w:iCs/>
          <w:noProof/>
          <w:sz w:val="24"/>
          <w:szCs w:val="24"/>
        </w:rPr>
        <w:t>Psychological Science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21</w:t>
      </w:r>
      <w:r w:rsidRPr="00844B08">
        <w:rPr>
          <w:rFonts w:ascii="Calibri" w:hAnsi="Calibri" w:cs="Times New Roman"/>
          <w:noProof/>
          <w:sz w:val="24"/>
          <w:szCs w:val="24"/>
        </w:rPr>
        <w:t>(11), 1686–1693. http://doi.org/10.1177/0956797610384745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Johnson, D. R. (2009). Goal-directed attentional deployment to emotional faces and individual differences in emotional regulation. </w:t>
      </w:r>
      <w:r w:rsidRPr="00844B08">
        <w:rPr>
          <w:rFonts w:ascii="Calibri" w:hAnsi="Calibri" w:cs="Times New Roman"/>
          <w:i/>
          <w:iCs/>
          <w:noProof/>
          <w:sz w:val="24"/>
          <w:szCs w:val="24"/>
        </w:rPr>
        <w:t>Journal of Research in Personality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43</w:t>
      </w:r>
      <w:r w:rsidRPr="00844B08">
        <w:rPr>
          <w:rFonts w:ascii="Calibri" w:hAnsi="Calibri" w:cs="Times New Roman"/>
          <w:noProof/>
          <w:sz w:val="24"/>
          <w:szCs w:val="24"/>
        </w:rPr>
        <w:t>(1), 8–13. http://doi.org/10.1016/j.jrp.2008.09.006</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Jostmann, N. B., Koole, S. L., Van Der Wulp, N. Y., &amp; Fockenberg, D. A. (2005). </w:t>
      </w:r>
      <w:r w:rsidRPr="00844B08">
        <w:rPr>
          <w:rFonts w:ascii="Calibri" w:hAnsi="Calibri" w:cs="Times New Roman"/>
          <w:noProof/>
          <w:sz w:val="24"/>
          <w:szCs w:val="24"/>
        </w:rPr>
        <w:t xml:space="preserve">Subliminal affect regulation : The moderating role of action vs. State orientation. </w:t>
      </w:r>
      <w:r w:rsidRPr="00844B08">
        <w:rPr>
          <w:rFonts w:ascii="Calibri" w:hAnsi="Calibri" w:cs="Times New Roman"/>
          <w:i/>
          <w:iCs/>
          <w:noProof/>
          <w:sz w:val="24"/>
          <w:szCs w:val="24"/>
        </w:rPr>
        <w:t>European Psychologist</w:t>
      </w:r>
      <w:r w:rsidRPr="00844B08">
        <w:rPr>
          <w:rFonts w:ascii="Calibri" w:hAnsi="Calibri" w:cs="Times New Roman"/>
          <w:noProof/>
          <w:sz w:val="24"/>
          <w:szCs w:val="24"/>
        </w:rPr>
        <w:t xml:space="preserve">, </w:t>
      </w:r>
      <w:r w:rsidRPr="00844B08">
        <w:rPr>
          <w:rFonts w:ascii="Calibri" w:hAnsi="Calibri" w:cs="Times New Roman"/>
          <w:i/>
          <w:iCs/>
          <w:noProof/>
          <w:sz w:val="24"/>
          <w:szCs w:val="24"/>
        </w:rPr>
        <w:t>10</w:t>
      </w:r>
      <w:r w:rsidRPr="00844B08">
        <w:rPr>
          <w:rFonts w:ascii="Calibri" w:hAnsi="Calibri" w:cs="Times New Roman"/>
          <w:noProof/>
          <w:sz w:val="24"/>
          <w:szCs w:val="24"/>
        </w:rPr>
        <w:t>(3), 209–217. http://doi.org/10.1027/1016-9040.10.3.209</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Kahn, W. A. (1993). Caring for the Caregivers : Patterns of Organizational Caregiving. </w:t>
      </w:r>
      <w:r w:rsidRPr="00844B08">
        <w:rPr>
          <w:rFonts w:ascii="Calibri" w:hAnsi="Calibri" w:cs="Times New Roman"/>
          <w:i/>
          <w:iCs/>
          <w:noProof/>
          <w:sz w:val="24"/>
          <w:szCs w:val="24"/>
        </w:rPr>
        <w:lastRenderedPageBreak/>
        <w:t>Administrative Science Quarterly</w:t>
      </w:r>
      <w:r w:rsidRPr="00844B08">
        <w:rPr>
          <w:rFonts w:ascii="Calibri" w:hAnsi="Calibri" w:cs="Times New Roman"/>
          <w:noProof/>
          <w:sz w:val="24"/>
          <w:szCs w:val="24"/>
        </w:rPr>
        <w:t xml:space="preserve">, </w:t>
      </w:r>
      <w:r w:rsidRPr="00844B08">
        <w:rPr>
          <w:rFonts w:ascii="Calibri" w:hAnsi="Calibri" w:cs="Times New Roman"/>
          <w:i/>
          <w:iCs/>
          <w:noProof/>
          <w:sz w:val="24"/>
          <w:szCs w:val="24"/>
        </w:rPr>
        <w:t>38</w:t>
      </w:r>
      <w:r w:rsidRPr="00844B08">
        <w:rPr>
          <w:rFonts w:ascii="Calibri" w:hAnsi="Calibri" w:cs="Times New Roman"/>
          <w:noProof/>
          <w:sz w:val="24"/>
          <w:szCs w:val="24"/>
        </w:rPr>
        <w:t>(4), 539–563.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Kalisch, R., Wiech, K., Herrmann, K., &amp; Dolan, R. J. (2006). Neural Correlates of Self-distraction from Anxiety and a Process Model of Cognitive Emotion Regulation. </w:t>
      </w:r>
      <w:r w:rsidRPr="00844B08">
        <w:rPr>
          <w:rFonts w:ascii="Calibri" w:hAnsi="Calibri" w:cs="Times New Roman"/>
          <w:i/>
          <w:iCs/>
          <w:noProof/>
          <w:sz w:val="24"/>
          <w:szCs w:val="24"/>
        </w:rPr>
        <w:t>Journal of Cognitive Neuroscience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18</w:t>
      </w:r>
      <w:r w:rsidRPr="00844B08">
        <w:rPr>
          <w:rFonts w:ascii="Calibri" w:hAnsi="Calibri" w:cs="Times New Roman"/>
          <w:noProof/>
          <w:sz w:val="24"/>
          <w:szCs w:val="24"/>
        </w:rPr>
        <w:t>(8), 1266–1276. http://doi.org/10.1162/jocn.2006.18.8.1266.Neural</w:t>
      </w:r>
    </w:p>
    <w:p w:rsidR="00844B08" w:rsidRPr="00A41BE2" w:rsidRDefault="00844B08" w:rsidP="00844B08">
      <w:pPr>
        <w:widowControl w:val="0"/>
        <w:autoSpaceDE w:val="0"/>
        <w:autoSpaceDN w:val="0"/>
        <w:adjustRightInd w:val="0"/>
        <w:spacing w:line="480" w:lineRule="auto"/>
        <w:ind w:left="480" w:hanging="480"/>
        <w:rPr>
          <w:rFonts w:ascii="Calibri" w:hAnsi="Calibri" w:cs="Times New Roman"/>
          <w:noProof/>
          <w:sz w:val="24"/>
          <w:szCs w:val="24"/>
          <w:lang w:val="de-DE"/>
        </w:rPr>
      </w:pPr>
      <w:r w:rsidRPr="00844B08">
        <w:rPr>
          <w:rFonts w:ascii="Calibri" w:hAnsi="Calibri" w:cs="Times New Roman"/>
          <w:noProof/>
          <w:sz w:val="24"/>
          <w:szCs w:val="24"/>
        </w:rPr>
        <w:t xml:space="preserve">Kappas, A. (2011). Emotion is not just an alarm bell--it’s the whole tootin’ fire truck. </w:t>
      </w:r>
      <w:r w:rsidRPr="00A41BE2">
        <w:rPr>
          <w:rFonts w:ascii="Calibri" w:hAnsi="Calibri" w:cs="Times New Roman"/>
          <w:i/>
          <w:iCs/>
          <w:noProof/>
          <w:sz w:val="24"/>
          <w:szCs w:val="24"/>
          <w:lang w:val="de-DE"/>
        </w:rPr>
        <w:t>Cognition &amp; Emotion</w:t>
      </w:r>
      <w:r w:rsidRPr="00A41BE2">
        <w:rPr>
          <w:rFonts w:ascii="Calibri" w:hAnsi="Calibri" w:cs="Times New Roman"/>
          <w:noProof/>
          <w:sz w:val="24"/>
          <w:szCs w:val="24"/>
          <w:lang w:val="de-DE"/>
        </w:rPr>
        <w:t xml:space="preserve">, </w:t>
      </w:r>
      <w:r w:rsidRPr="00A41BE2">
        <w:rPr>
          <w:rFonts w:ascii="Calibri" w:hAnsi="Calibri" w:cs="Times New Roman"/>
          <w:i/>
          <w:iCs/>
          <w:noProof/>
          <w:sz w:val="24"/>
          <w:szCs w:val="24"/>
          <w:lang w:val="de-DE"/>
        </w:rPr>
        <w:t>25</w:t>
      </w:r>
      <w:r w:rsidRPr="00A41BE2">
        <w:rPr>
          <w:rFonts w:ascii="Calibri" w:hAnsi="Calibri" w:cs="Times New Roman"/>
          <w:noProof/>
          <w:sz w:val="24"/>
          <w:szCs w:val="24"/>
          <w:lang w:val="de-DE"/>
        </w:rPr>
        <w:t>(5), 785-8-93. http://doi.org/10.1080/02699931.2011.587641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Karpinski, A., &amp; Steinman, R. B. (2006). </w:t>
      </w:r>
      <w:r w:rsidRPr="00844B08">
        <w:rPr>
          <w:rFonts w:ascii="Calibri" w:hAnsi="Calibri" w:cs="Times New Roman"/>
          <w:noProof/>
          <w:sz w:val="24"/>
          <w:szCs w:val="24"/>
        </w:rPr>
        <w:t xml:space="preserve">The single category implicit association test as a measure of implicit social cognition.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91</w:t>
      </w:r>
      <w:r w:rsidRPr="00844B08">
        <w:rPr>
          <w:rFonts w:ascii="Calibri" w:hAnsi="Calibri" w:cs="Times New Roman"/>
          <w:noProof/>
          <w:sz w:val="24"/>
          <w:szCs w:val="24"/>
        </w:rPr>
        <w:t>, 16–32.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Karremans, J. C., &amp; Aarts, H. (2007). The role of automaticity in determining the inclination to forgive close others. </w:t>
      </w:r>
      <w:r w:rsidRPr="00844B08">
        <w:rPr>
          <w:rFonts w:ascii="Calibri" w:hAnsi="Calibri" w:cs="Times New Roman"/>
          <w:i/>
          <w:iCs/>
          <w:noProof/>
          <w:sz w:val="24"/>
          <w:szCs w:val="24"/>
        </w:rPr>
        <w:t>Journal of Experimental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43</w:t>
      </w:r>
      <w:r w:rsidRPr="00844B08">
        <w:rPr>
          <w:rFonts w:ascii="Calibri" w:hAnsi="Calibri" w:cs="Times New Roman"/>
          <w:noProof/>
          <w:sz w:val="24"/>
          <w:szCs w:val="24"/>
        </w:rPr>
        <w:t>(6), 902–917. http://doi.org/10.1016/j.jesp.2006.10.012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Kelley, H. H., Berscheid, E., Christensen, A., Harvey, J. H., Huston, T. L., Levinger, G., … Peterson, D. R. (1983). Analyzing close relationships. In H. H. Kelley (Ed.), </w:t>
      </w:r>
      <w:r w:rsidRPr="00844B08">
        <w:rPr>
          <w:rFonts w:ascii="Calibri" w:hAnsi="Calibri" w:cs="Times New Roman"/>
          <w:i/>
          <w:iCs/>
          <w:noProof/>
          <w:sz w:val="24"/>
          <w:szCs w:val="24"/>
        </w:rPr>
        <w:t>Close Relationships</w:t>
      </w:r>
      <w:r w:rsidRPr="00844B08">
        <w:rPr>
          <w:rFonts w:ascii="Calibri" w:hAnsi="Calibri" w:cs="Times New Roman"/>
          <w:noProof/>
          <w:sz w:val="24"/>
          <w:szCs w:val="24"/>
        </w:rPr>
        <w:t xml:space="preserve"> (pp. 20–67). New York, NY: W.H.Freeman &amp; Co Ltd. Retrieved from http://www.peplaulab.ucla.edu/Peplau_Lab/Publications_files/Kelly_etal_83s.pdf</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fr-FR"/>
        </w:rPr>
        <w:t xml:space="preserve">Kenny, D. A., &amp; La Voie, L. (1984). </w:t>
      </w:r>
      <w:r w:rsidRPr="00844B08">
        <w:rPr>
          <w:rFonts w:ascii="Calibri" w:hAnsi="Calibri" w:cs="Times New Roman"/>
          <w:noProof/>
          <w:sz w:val="24"/>
          <w:szCs w:val="24"/>
        </w:rPr>
        <w:t xml:space="preserve">The social relations model. </w:t>
      </w:r>
      <w:r w:rsidRPr="00844B08">
        <w:rPr>
          <w:rFonts w:ascii="Calibri" w:hAnsi="Calibri" w:cs="Times New Roman"/>
          <w:i/>
          <w:iCs/>
          <w:noProof/>
          <w:sz w:val="24"/>
          <w:szCs w:val="24"/>
        </w:rPr>
        <w:t>Advances in Experimental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18</w:t>
      </w:r>
      <w:r w:rsidRPr="00844B08">
        <w:rPr>
          <w:rFonts w:ascii="Calibri" w:hAnsi="Calibri" w:cs="Times New Roman"/>
          <w:noProof/>
          <w:sz w:val="24"/>
          <w:szCs w:val="24"/>
        </w:rPr>
        <w:t>, 142–182.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Koole, S. L. (2009). The psychology of emotion regulation: An integrative review. </w:t>
      </w:r>
      <w:r w:rsidRPr="00844B08">
        <w:rPr>
          <w:rFonts w:ascii="Calibri" w:hAnsi="Calibri" w:cs="Times New Roman"/>
          <w:i/>
          <w:iCs/>
          <w:noProof/>
          <w:sz w:val="24"/>
          <w:szCs w:val="24"/>
        </w:rPr>
        <w:lastRenderedPageBreak/>
        <w:t>Cognition &amp; 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23</w:t>
      </w:r>
      <w:r w:rsidRPr="00844B08">
        <w:rPr>
          <w:rFonts w:ascii="Calibri" w:hAnsi="Calibri" w:cs="Times New Roman"/>
          <w:noProof/>
          <w:sz w:val="24"/>
          <w:szCs w:val="24"/>
        </w:rPr>
        <w:t>(1), 4–41. http://doi.org/10.1080/02699930802619031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Kuhl, J., &amp; Beckmann, J. (1994). </w:t>
      </w:r>
      <w:r w:rsidRPr="00844B08">
        <w:rPr>
          <w:rFonts w:ascii="Calibri" w:hAnsi="Calibri" w:cs="Times New Roman"/>
          <w:i/>
          <w:iCs/>
          <w:noProof/>
          <w:sz w:val="24"/>
          <w:szCs w:val="24"/>
        </w:rPr>
        <w:t>Volition and personality : action versus state orientation</w:t>
      </w:r>
      <w:r w:rsidRPr="00844B08">
        <w:rPr>
          <w:rFonts w:ascii="Calibri" w:hAnsi="Calibri" w:cs="Times New Roman"/>
          <w:noProof/>
          <w:sz w:val="24"/>
          <w:szCs w:val="24"/>
        </w:rPr>
        <w:t>. Hogrefe &amp; Huber Publishers.</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Lang, P. J., Greenwald, M. K., Bradley, M. M., &amp; Hamm,  a O. (1993). Looking at pictures: affective, facial, visceral, and behavioral reactions. </w:t>
      </w:r>
      <w:r w:rsidRPr="00844B08">
        <w:rPr>
          <w:rFonts w:ascii="Calibri" w:hAnsi="Calibri" w:cs="Times New Roman"/>
          <w:i/>
          <w:iCs/>
          <w:noProof/>
          <w:sz w:val="24"/>
          <w:szCs w:val="24"/>
        </w:rPr>
        <w:t>Psychophysiology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30</w:t>
      </w:r>
      <w:r w:rsidRPr="00844B08">
        <w:rPr>
          <w:rFonts w:ascii="Calibri" w:hAnsi="Calibri" w:cs="Times New Roman"/>
          <w:noProof/>
          <w:sz w:val="24"/>
          <w:szCs w:val="24"/>
        </w:rPr>
        <w:t>(3), 261–273. http://doi.org/10.1111/j.1469-8986.1993.tb03352.x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Lashley, B. R., &amp; Kenny, D. A. (1998). Power estimation in social relations analyses. </w:t>
      </w:r>
      <w:r w:rsidRPr="00844B08">
        <w:rPr>
          <w:rFonts w:ascii="Calibri" w:hAnsi="Calibri" w:cs="Times New Roman"/>
          <w:i/>
          <w:iCs/>
          <w:noProof/>
          <w:sz w:val="24"/>
          <w:szCs w:val="24"/>
        </w:rPr>
        <w:t>Psychological Methods</w:t>
      </w:r>
      <w:r w:rsidRPr="00844B08">
        <w:rPr>
          <w:rFonts w:ascii="Calibri" w:hAnsi="Calibri" w:cs="Times New Roman"/>
          <w:noProof/>
          <w:sz w:val="24"/>
          <w:szCs w:val="24"/>
        </w:rPr>
        <w:t xml:space="preserve">, </w:t>
      </w:r>
      <w:r w:rsidRPr="00844B08">
        <w:rPr>
          <w:rFonts w:ascii="Calibri" w:hAnsi="Calibri" w:cs="Times New Roman"/>
          <w:i/>
          <w:iCs/>
          <w:noProof/>
          <w:sz w:val="24"/>
          <w:szCs w:val="24"/>
        </w:rPr>
        <w:t>3</w:t>
      </w:r>
      <w:r w:rsidRPr="00844B08">
        <w:rPr>
          <w:rFonts w:ascii="Calibri" w:hAnsi="Calibri" w:cs="Times New Roman"/>
          <w:noProof/>
          <w:sz w:val="24"/>
          <w:szCs w:val="24"/>
        </w:rPr>
        <w:t>(3), 328–338. http://doi.org/10.1037//1082-989X.3.3.328</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Leone, C., &amp; Hawkins, L. B. (2006). Self-monitoring and close relationships. </w:t>
      </w:r>
      <w:r w:rsidRPr="00844B08">
        <w:rPr>
          <w:rFonts w:ascii="Calibri" w:hAnsi="Calibri" w:cs="Times New Roman"/>
          <w:i/>
          <w:iCs/>
          <w:noProof/>
          <w:sz w:val="24"/>
          <w:szCs w:val="24"/>
        </w:rPr>
        <w:t>Journal of Personality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74</w:t>
      </w:r>
      <w:r w:rsidRPr="00844B08">
        <w:rPr>
          <w:rFonts w:ascii="Calibri" w:hAnsi="Calibri" w:cs="Times New Roman"/>
          <w:noProof/>
          <w:sz w:val="24"/>
          <w:szCs w:val="24"/>
        </w:rPr>
        <w:t>(3), 739–778. http://doi.org/10.1111/j.1467-6494.2006.00391.x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Levenson, R. W., Carstensen, L. L., &amp; Gottman, J. M. (1994). The influence of age and gender on affect, physiology, and their interrelations: a study of long-term marriages.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67</w:t>
      </w:r>
      <w:r w:rsidRPr="00844B08">
        <w:rPr>
          <w:rFonts w:ascii="Calibri" w:hAnsi="Calibri" w:cs="Times New Roman"/>
          <w:noProof/>
          <w:sz w:val="24"/>
          <w:szCs w:val="24"/>
        </w:rPr>
        <w:t>(1), 56–68. http://doi.org/10.1037/0022-3514.67.1.56</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Levenson, R. W., &amp; Gottman, J. M. (1983). Marital interaction: Physiological linkage and affective exchange.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45</w:t>
      </w:r>
      <w:r w:rsidRPr="00844B08">
        <w:rPr>
          <w:rFonts w:ascii="Calibri" w:hAnsi="Calibri" w:cs="Times New Roman"/>
          <w:noProof/>
          <w:sz w:val="24"/>
          <w:szCs w:val="24"/>
        </w:rPr>
        <w:t>(3), 587–597. http://doi.org/10.1037/0022-3514.45.3.587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Levenson, R. W., &amp; Gottman, J. M. (1985). Physiological and affective predictors of change in relationship satisfaction.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49</w:t>
      </w:r>
      <w:r w:rsidRPr="00844B08">
        <w:rPr>
          <w:rFonts w:ascii="Calibri" w:hAnsi="Calibri" w:cs="Times New Roman"/>
          <w:noProof/>
          <w:sz w:val="24"/>
          <w:szCs w:val="24"/>
        </w:rPr>
        <w:t>(1), 85–94. http://doi.org/10.1037/0022-3514.49.1.85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Levesque, C., Copeland, K. J., &amp; Sutcliffe, R. A. (2006). Conscious and Nonconscious </w:t>
      </w:r>
      <w:r w:rsidRPr="00844B08">
        <w:rPr>
          <w:rFonts w:ascii="Calibri" w:hAnsi="Calibri" w:cs="Times New Roman"/>
          <w:noProof/>
          <w:sz w:val="24"/>
          <w:szCs w:val="24"/>
        </w:rPr>
        <w:lastRenderedPageBreak/>
        <w:t xml:space="preserve">Processes: Implications for Self- Determination Theory. </w:t>
      </w:r>
      <w:r w:rsidRPr="00844B08">
        <w:rPr>
          <w:rFonts w:ascii="Calibri" w:hAnsi="Calibri" w:cs="Times New Roman"/>
          <w:i/>
          <w:iCs/>
          <w:noProof/>
          <w:sz w:val="24"/>
          <w:szCs w:val="24"/>
        </w:rPr>
        <w:t>Bargh</w:t>
      </w:r>
      <w:r w:rsidRPr="00844B08">
        <w:rPr>
          <w:rFonts w:ascii="Calibri" w:hAnsi="Calibri" w:cs="Times New Roman"/>
          <w:noProof/>
          <w:sz w:val="24"/>
          <w:szCs w:val="24"/>
        </w:rPr>
        <w:t>. http://doi.org/10.1037/a0012756</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Loersch, C., &amp; Payne, B. K. (2011). The Situated Inference Model: An Integrative Account of the Effects of Primes on Perception, Behavior, and Motivation. </w:t>
      </w:r>
      <w:r w:rsidRPr="00844B08">
        <w:rPr>
          <w:rFonts w:ascii="Calibri" w:hAnsi="Calibri" w:cs="Times New Roman"/>
          <w:i/>
          <w:iCs/>
          <w:noProof/>
          <w:sz w:val="24"/>
          <w:szCs w:val="24"/>
        </w:rPr>
        <w:t>Perspectives on Psychological Science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6</w:t>
      </w:r>
      <w:r w:rsidRPr="00844B08">
        <w:rPr>
          <w:rFonts w:ascii="Calibri" w:hAnsi="Calibri" w:cs="Times New Roman"/>
          <w:noProof/>
          <w:sz w:val="24"/>
          <w:szCs w:val="24"/>
        </w:rPr>
        <w:t>(3), 234–252. http://doi.org/10.1177/1745691611406921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Lopes, P. N., Nezlek, J. B., Extremera, N., Hertel, J., Fern??ndez-Berrocal, P., Sch??tz, A., &amp; Salovey, P. (2011). Emotion Regulation and the Quality of Social Interaction: Does the Ability to Evaluate Emotional Situations and Identify Effective Responses Matter? </w:t>
      </w:r>
      <w:r w:rsidRPr="00844B08">
        <w:rPr>
          <w:rFonts w:ascii="Calibri" w:hAnsi="Calibri" w:cs="Times New Roman"/>
          <w:i/>
          <w:iCs/>
          <w:noProof/>
          <w:sz w:val="24"/>
          <w:szCs w:val="24"/>
        </w:rPr>
        <w:t>Journal of Personality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79</w:t>
      </w:r>
      <w:r w:rsidRPr="00844B08">
        <w:rPr>
          <w:rFonts w:ascii="Calibri" w:hAnsi="Calibri" w:cs="Times New Roman"/>
          <w:noProof/>
          <w:sz w:val="24"/>
          <w:szCs w:val="24"/>
        </w:rPr>
        <w:t>(2), 429–467. http://doi.org/10.1111/j.1467-6494.2010.00689.x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Maloney, P. W., Grawitch, M. J., &amp; Barber, L. K. (2012). The multi-factor structure of the Brief Self-Control Scale: Discriminant validity of restraint and impulsivity. </w:t>
      </w:r>
      <w:r w:rsidRPr="00844B08">
        <w:rPr>
          <w:rFonts w:ascii="Calibri" w:hAnsi="Calibri" w:cs="Times New Roman"/>
          <w:i/>
          <w:iCs/>
          <w:noProof/>
          <w:sz w:val="24"/>
          <w:szCs w:val="24"/>
        </w:rPr>
        <w:t>Journal of Research in Personality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46</w:t>
      </w:r>
      <w:r w:rsidRPr="00844B08">
        <w:rPr>
          <w:rFonts w:ascii="Calibri" w:hAnsi="Calibri" w:cs="Times New Roman"/>
          <w:noProof/>
          <w:sz w:val="24"/>
          <w:szCs w:val="24"/>
        </w:rPr>
        <w:t>(1), 111–115. http://doi.org/10.1016/j.jrp.2011.10.001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Martinez, Poerio, &amp; Totterdell. (2013). The association between controlled interpersonal affect regulation and resource depletion. </w:t>
      </w:r>
      <w:r w:rsidRPr="00844B08">
        <w:rPr>
          <w:rFonts w:ascii="Calibri" w:hAnsi="Calibri" w:cs="Times New Roman"/>
          <w:i/>
          <w:iCs/>
          <w:noProof/>
          <w:sz w:val="24"/>
          <w:szCs w:val="24"/>
        </w:rPr>
        <w:t>Applied Psychology: Health and Well-Being</w:t>
      </w:r>
      <w:r w:rsidRPr="00844B08">
        <w:rPr>
          <w:rFonts w:ascii="Calibri" w:hAnsi="Calibri" w:cs="Times New Roman"/>
          <w:noProof/>
          <w:sz w:val="24"/>
          <w:szCs w:val="24"/>
        </w:rPr>
        <w:t xml:space="preserve">, </w:t>
      </w:r>
      <w:r w:rsidRPr="00844B08">
        <w:rPr>
          <w:rFonts w:ascii="Calibri" w:hAnsi="Calibri" w:cs="Times New Roman"/>
          <w:i/>
          <w:iCs/>
          <w:noProof/>
          <w:sz w:val="24"/>
          <w:szCs w:val="24"/>
        </w:rPr>
        <w:t>5</w:t>
      </w:r>
      <w:r w:rsidRPr="00844B08">
        <w:rPr>
          <w:rFonts w:ascii="Calibri" w:hAnsi="Calibri" w:cs="Times New Roman"/>
          <w:noProof/>
          <w:sz w:val="24"/>
          <w:szCs w:val="24"/>
        </w:rPr>
        <w:t>(2), 248–269. http://doi.org/10.1111/aphw.12009</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Maslach, C., Jackson, S. E., &amp; Leiter, M. P. (1996). </w:t>
      </w:r>
      <w:r w:rsidRPr="00844B08">
        <w:rPr>
          <w:rFonts w:ascii="Calibri" w:hAnsi="Calibri" w:cs="Times New Roman"/>
          <w:i/>
          <w:iCs/>
          <w:noProof/>
          <w:sz w:val="24"/>
          <w:szCs w:val="24"/>
        </w:rPr>
        <w:t>Evaluating Stress: A Book of Resources</w:t>
      </w:r>
      <w:r w:rsidRPr="00844B08">
        <w:rPr>
          <w:rFonts w:ascii="Calibri" w:hAnsi="Calibri" w:cs="Times New Roman"/>
          <w:noProof/>
          <w:sz w:val="24"/>
          <w:szCs w:val="24"/>
        </w:rPr>
        <w:t>.</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Mauss, I. B., Bunge, S. A., &amp; Gross, J. J. (2007). </w:t>
      </w:r>
      <w:r w:rsidRPr="00844B08">
        <w:rPr>
          <w:rFonts w:ascii="Calibri" w:hAnsi="Calibri" w:cs="Times New Roman"/>
          <w:noProof/>
          <w:sz w:val="24"/>
          <w:szCs w:val="24"/>
        </w:rPr>
        <w:t xml:space="preserve">Automatic Emotion Regulation. </w:t>
      </w:r>
      <w:r w:rsidRPr="00844B08">
        <w:rPr>
          <w:rFonts w:ascii="Calibri" w:hAnsi="Calibri" w:cs="Times New Roman"/>
          <w:i/>
          <w:iCs/>
          <w:noProof/>
          <w:sz w:val="24"/>
          <w:szCs w:val="24"/>
        </w:rPr>
        <w:t>Social and Personality Psychology Compass</w:t>
      </w:r>
      <w:r w:rsidRPr="00844B08">
        <w:rPr>
          <w:rFonts w:ascii="Calibri" w:hAnsi="Calibri" w:cs="Times New Roman"/>
          <w:noProof/>
          <w:sz w:val="24"/>
          <w:szCs w:val="24"/>
        </w:rPr>
        <w:t xml:space="preserve">, </w:t>
      </w:r>
      <w:r w:rsidRPr="00844B08">
        <w:rPr>
          <w:rFonts w:ascii="Calibri" w:hAnsi="Calibri" w:cs="Times New Roman"/>
          <w:i/>
          <w:iCs/>
          <w:noProof/>
          <w:sz w:val="24"/>
          <w:szCs w:val="24"/>
        </w:rPr>
        <w:t>1</w:t>
      </w:r>
      <w:r w:rsidRPr="00844B08">
        <w:rPr>
          <w:rFonts w:ascii="Calibri" w:hAnsi="Calibri" w:cs="Times New Roman"/>
          <w:noProof/>
          <w:sz w:val="24"/>
          <w:szCs w:val="24"/>
        </w:rPr>
        <w:t>(10), 146–167. http://doi.org/10.1111/j.1751-9004.2007.00005.x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Mauss, I. B., Cook, C. L., &amp; Gross, J. J. (2007). Automatic emotion regulation during anger </w:t>
      </w:r>
      <w:r w:rsidRPr="00844B08">
        <w:rPr>
          <w:rFonts w:ascii="Calibri" w:hAnsi="Calibri" w:cs="Times New Roman"/>
          <w:noProof/>
          <w:sz w:val="24"/>
          <w:szCs w:val="24"/>
        </w:rPr>
        <w:lastRenderedPageBreak/>
        <w:t xml:space="preserve">provocation. </w:t>
      </w:r>
      <w:r w:rsidRPr="00844B08">
        <w:rPr>
          <w:rFonts w:ascii="Calibri" w:hAnsi="Calibri" w:cs="Times New Roman"/>
          <w:i/>
          <w:iCs/>
          <w:noProof/>
          <w:sz w:val="24"/>
          <w:szCs w:val="24"/>
        </w:rPr>
        <w:t>Journal of Experimental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43</w:t>
      </w:r>
      <w:r w:rsidRPr="00844B08">
        <w:rPr>
          <w:rFonts w:ascii="Calibri" w:hAnsi="Calibri" w:cs="Times New Roman"/>
          <w:noProof/>
          <w:sz w:val="24"/>
          <w:szCs w:val="24"/>
        </w:rPr>
        <w:t>(5), 698–711. http://doi.org/10.1016/j.jesp.2006.07.003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Mauss, I. B., Evers, C., Wilhelm,  frank h., &amp; Gross, J. J. (2006). How to bite your tongue without blowing your top: implicit evaluation of emotion regulation predicts affective responding to anger provocation. </w:t>
      </w:r>
      <w:r w:rsidRPr="00844B08">
        <w:rPr>
          <w:rFonts w:ascii="Calibri" w:hAnsi="Calibri" w:cs="Times New Roman"/>
          <w:i/>
          <w:iCs/>
          <w:noProof/>
          <w:sz w:val="24"/>
          <w:szCs w:val="24"/>
        </w:rPr>
        <w:t>Personality &amp; Social Psychology Bulletin</w:t>
      </w:r>
      <w:r w:rsidRPr="00844B08">
        <w:rPr>
          <w:rFonts w:ascii="Calibri" w:hAnsi="Calibri" w:cs="Times New Roman"/>
          <w:noProof/>
          <w:sz w:val="24"/>
          <w:szCs w:val="24"/>
        </w:rPr>
        <w:t xml:space="preserve">, </w:t>
      </w:r>
      <w:r w:rsidRPr="00844B08">
        <w:rPr>
          <w:rFonts w:ascii="Calibri" w:hAnsi="Calibri" w:cs="Times New Roman"/>
          <w:i/>
          <w:iCs/>
          <w:noProof/>
          <w:sz w:val="24"/>
          <w:szCs w:val="24"/>
        </w:rPr>
        <w:t>32</w:t>
      </w:r>
      <w:r w:rsidRPr="00844B08">
        <w:rPr>
          <w:rFonts w:ascii="Calibri" w:hAnsi="Calibri" w:cs="Times New Roman"/>
          <w:noProof/>
          <w:sz w:val="24"/>
          <w:szCs w:val="24"/>
        </w:rPr>
        <w:t>(5), 589–602. http://doi.org/10.1177/0146167205283841</w:t>
      </w:r>
    </w:p>
    <w:p w:rsid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McMahon, A. J., &amp; Scheel, M. H. (2010). Glucose promotes controlled processing: Matching, maximizing, and root beer. </w:t>
      </w:r>
      <w:r w:rsidRPr="00844B08">
        <w:rPr>
          <w:rFonts w:ascii="Calibri" w:hAnsi="Calibri" w:cs="Times New Roman"/>
          <w:i/>
          <w:iCs/>
          <w:noProof/>
          <w:sz w:val="24"/>
          <w:szCs w:val="24"/>
        </w:rPr>
        <w:t>Judgment and Decision Making</w:t>
      </w:r>
      <w:r w:rsidRPr="00844B08">
        <w:rPr>
          <w:rFonts w:ascii="Calibri" w:hAnsi="Calibri" w:cs="Times New Roman"/>
          <w:noProof/>
          <w:sz w:val="24"/>
          <w:szCs w:val="24"/>
        </w:rPr>
        <w:t xml:space="preserve">, </w:t>
      </w:r>
      <w:r w:rsidRPr="00844B08">
        <w:rPr>
          <w:rFonts w:ascii="Calibri" w:hAnsi="Calibri" w:cs="Times New Roman"/>
          <w:i/>
          <w:iCs/>
          <w:noProof/>
          <w:sz w:val="24"/>
          <w:szCs w:val="24"/>
        </w:rPr>
        <w:t>5</w:t>
      </w:r>
      <w:r w:rsidRPr="00844B08">
        <w:rPr>
          <w:rFonts w:ascii="Calibri" w:hAnsi="Calibri" w:cs="Times New Roman"/>
          <w:noProof/>
          <w:sz w:val="24"/>
          <w:szCs w:val="24"/>
        </w:rPr>
        <w:t>(6), 450–457.</w:t>
      </w:r>
    </w:p>
    <w:p w:rsidR="00297E06" w:rsidRPr="00297E06" w:rsidRDefault="00297E06" w:rsidP="00844B08">
      <w:pPr>
        <w:widowControl w:val="0"/>
        <w:autoSpaceDE w:val="0"/>
        <w:autoSpaceDN w:val="0"/>
        <w:adjustRightInd w:val="0"/>
        <w:spacing w:line="480" w:lineRule="auto"/>
        <w:ind w:left="480" w:hanging="480"/>
        <w:rPr>
          <w:rFonts w:ascii="Calibri" w:hAnsi="Calibri" w:cs="Times New Roman"/>
          <w:noProof/>
          <w:sz w:val="24"/>
          <w:szCs w:val="24"/>
        </w:rPr>
      </w:pPr>
      <w:r w:rsidRPr="00297E06">
        <w:rPr>
          <w:rFonts w:ascii="Calibri" w:hAnsi="Calibri" w:cs="Times New Roman"/>
          <w:noProof/>
          <w:sz w:val="24"/>
          <w:szCs w:val="24"/>
        </w:rPr>
        <w:t>Minas, R. K., Poor, M., Dennis</w:t>
      </w:r>
      <w:r>
        <w:rPr>
          <w:rFonts w:ascii="Calibri" w:hAnsi="Calibri" w:cs="Times New Roman"/>
          <w:noProof/>
          <w:sz w:val="24"/>
          <w:szCs w:val="24"/>
        </w:rPr>
        <w:t xml:space="preserve">, A. R., &amp; Bartlet, V. L. (2016). A prime a day keeps calories away. The effects of supraliminal priming on food consumption and the moderating role of gender and eating restraint. </w:t>
      </w:r>
      <w:r>
        <w:rPr>
          <w:rFonts w:ascii="Calibri" w:hAnsi="Calibri" w:cs="Times New Roman"/>
          <w:i/>
          <w:noProof/>
          <w:sz w:val="24"/>
          <w:szCs w:val="24"/>
        </w:rPr>
        <w:t xml:space="preserve">Apetite, 105, </w:t>
      </w:r>
      <w:r>
        <w:rPr>
          <w:rFonts w:ascii="Calibri" w:hAnsi="Calibri" w:cs="Times New Roman"/>
          <w:noProof/>
          <w:sz w:val="24"/>
          <w:szCs w:val="24"/>
        </w:rPr>
        <w:t>494-499.</w:t>
      </w:r>
    </w:p>
    <w:p w:rsidR="00844B08" w:rsidRPr="00991890" w:rsidRDefault="00844B08" w:rsidP="00844B08">
      <w:pPr>
        <w:widowControl w:val="0"/>
        <w:autoSpaceDE w:val="0"/>
        <w:autoSpaceDN w:val="0"/>
        <w:adjustRightInd w:val="0"/>
        <w:spacing w:line="480" w:lineRule="auto"/>
        <w:ind w:left="480" w:hanging="480"/>
        <w:rPr>
          <w:rFonts w:ascii="Calibri" w:hAnsi="Calibri" w:cs="Times New Roman"/>
          <w:noProof/>
          <w:sz w:val="24"/>
          <w:szCs w:val="24"/>
          <w:lang w:val="de-DE"/>
        </w:rPr>
      </w:pPr>
      <w:r w:rsidRPr="00844B08">
        <w:rPr>
          <w:rFonts w:ascii="Calibri" w:hAnsi="Calibri" w:cs="Times New Roman"/>
          <w:noProof/>
          <w:sz w:val="24"/>
          <w:szCs w:val="24"/>
        </w:rPr>
        <w:t xml:space="preserve">Moore, S. G., Ferguson, M. J., &amp; Chartrand, T. L. (2011). Affect in the aftermath: how goal pursuit influences implicit evaluations. </w:t>
      </w:r>
      <w:r w:rsidRPr="00991890">
        <w:rPr>
          <w:rFonts w:ascii="Calibri" w:hAnsi="Calibri" w:cs="Times New Roman"/>
          <w:i/>
          <w:iCs/>
          <w:noProof/>
          <w:sz w:val="24"/>
          <w:szCs w:val="24"/>
          <w:lang w:val="de-DE"/>
        </w:rPr>
        <w:t>Cognition &amp; Emotion</w:t>
      </w:r>
      <w:r w:rsidRPr="00991890">
        <w:rPr>
          <w:rFonts w:ascii="Calibri" w:hAnsi="Calibri" w:cs="Times New Roman"/>
          <w:noProof/>
          <w:sz w:val="24"/>
          <w:szCs w:val="24"/>
          <w:lang w:val="de-DE"/>
        </w:rPr>
        <w:t xml:space="preserve">, </w:t>
      </w:r>
      <w:r w:rsidRPr="00991890">
        <w:rPr>
          <w:rFonts w:ascii="Calibri" w:hAnsi="Calibri" w:cs="Times New Roman"/>
          <w:i/>
          <w:iCs/>
          <w:noProof/>
          <w:sz w:val="24"/>
          <w:szCs w:val="24"/>
          <w:lang w:val="de-DE"/>
        </w:rPr>
        <w:t>25</w:t>
      </w:r>
      <w:r w:rsidRPr="00991890">
        <w:rPr>
          <w:rFonts w:ascii="Calibri" w:hAnsi="Calibri" w:cs="Times New Roman"/>
          <w:noProof/>
          <w:sz w:val="24"/>
          <w:szCs w:val="24"/>
          <w:lang w:val="de-DE"/>
        </w:rPr>
        <w:t>(3), 453–465. http://doi.org/10.1080/02699931.2010.538598</w:t>
      </w:r>
    </w:p>
    <w:p w:rsidR="00D66293" w:rsidRPr="00844B08" w:rsidRDefault="00D66293" w:rsidP="00844B08">
      <w:pPr>
        <w:widowControl w:val="0"/>
        <w:autoSpaceDE w:val="0"/>
        <w:autoSpaceDN w:val="0"/>
        <w:adjustRightInd w:val="0"/>
        <w:spacing w:line="480" w:lineRule="auto"/>
        <w:ind w:left="480" w:hanging="480"/>
        <w:rPr>
          <w:rFonts w:ascii="Calibri" w:hAnsi="Calibri" w:cs="Times New Roman"/>
          <w:noProof/>
          <w:sz w:val="24"/>
          <w:szCs w:val="24"/>
        </w:rPr>
      </w:pPr>
      <w:r w:rsidRPr="00991890">
        <w:rPr>
          <w:rFonts w:ascii="Calibri" w:hAnsi="Calibri" w:cs="Times New Roman"/>
          <w:noProof/>
          <w:sz w:val="24"/>
          <w:szCs w:val="24"/>
          <w:lang w:val="de-DE"/>
        </w:rPr>
        <w:t xml:space="preserve">Moore, S., Leung, C., Karnilowicz, W. &amp; Lung, C.L. (2012). </w:t>
      </w:r>
      <w:r w:rsidRPr="00D66293">
        <w:rPr>
          <w:rFonts w:ascii="Calibri" w:hAnsi="Calibri" w:cs="Times New Roman"/>
          <w:noProof/>
          <w:sz w:val="24"/>
          <w:szCs w:val="24"/>
        </w:rPr>
        <w:t>Characteristics and predictors of romantic relationships in late adolescence and young adulthood in Hong Kong and Australia. Australian Psychologist, 47(2), 108–117. dating violence: A closer look at adolescent romantic relationships. National Institute of Justice Journal, No. 261, pp.34–40. Available via www.nij.gov/journals/261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Moors, A. (2010). Automatic Constructive Appraisal as a Candidate Cause of Emotion. </w:t>
      </w:r>
      <w:r w:rsidRPr="00844B08">
        <w:rPr>
          <w:rFonts w:ascii="Calibri" w:hAnsi="Calibri" w:cs="Times New Roman"/>
          <w:i/>
          <w:iCs/>
          <w:noProof/>
          <w:sz w:val="24"/>
          <w:szCs w:val="24"/>
        </w:rPr>
        <w:t>Emotion Review</w:t>
      </w:r>
      <w:r w:rsidRPr="00844B08">
        <w:rPr>
          <w:rFonts w:ascii="Calibri" w:hAnsi="Calibri" w:cs="Times New Roman"/>
          <w:noProof/>
          <w:sz w:val="24"/>
          <w:szCs w:val="24"/>
        </w:rPr>
        <w:t xml:space="preserve">, </w:t>
      </w:r>
      <w:r w:rsidRPr="00844B08">
        <w:rPr>
          <w:rFonts w:ascii="Calibri" w:hAnsi="Calibri" w:cs="Times New Roman"/>
          <w:i/>
          <w:iCs/>
          <w:noProof/>
          <w:sz w:val="24"/>
          <w:szCs w:val="24"/>
        </w:rPr>
        <w:t>2</w:t>
      </w:r>
      <w:r w:rsidRPr="00844B08">
        <w:rPr>
          <w:rFonts w:ascii="Calibri" w:hAnsi="Calibri" w:cs="Times New Roman"/>
          <w:noProof/>
          <w:sz w:val="24"/>
          <w:szCs w:val="24"/>
        </w:rPr>
        <w:t>(2), 139–156. http://doi.org/10.1177/1754073909351755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lastRenderedPageBreak/>
        <w:t xml:space="preserve">Moors, A., &amp; De Houwer, J. (2006). Automaticity: A Theoretical and Conceptual Analysis. </w:t>
      </w:r>
      <w:r w:rsidRPr="00844B08">
        <w:rPr>
          <w:rFonts w:ascii="Calibri" w:hAnsi="Calibri" w:cs="Times New Roman"/>
          <w:i/>
          <w:iCs/>
          <w:noProof/>
          <w:sz w:val="24"/>
          <w:szCs w:val="24"/>
        </w:rPr>
        <w:t>Psychological Bulletin</w:t>
      </w:r>
      <w:r w:rsidRPr="00844B08">
        <w:rPr>
          <w:rFonts w:ascii="Calibri" w:hAnsi="Calibri" w:cs="Times New Roman"/>
          <w:noProof/>
          <w:sz w:val="24"/>
          <w:szCs w:val="24"/>
        </w:rPr>
        <w:t xml:space="preserve">, </w:t>
      </w:r>
      <w:r w:rsidRPr="00844B08">
        <w:rPr>
          <w:rFonts w:ascii="Calibri" w:hAnsi="Calibri" w:cs="Times New Roman"/>
          <w:i/>
          <w:iCs/>
          <w:noProof/>
          <w:sz w:val="24"/>
          <w:szCs w:val="24"/>
        </w:rPr>
        <w:t>132</w:t>
      </w:r>
      <w:r w:rsidRPr="00844B08">
        <w:rPr>
          <w:rFonts w:ascii="Calibri" w:hAnsi="Calibri" w:cs="Times New Roman"/>
          <w:noProof/>
          <w:sz w:val="24"/>
          <w:szCs w:val="24"/>
        </w:rPr>
        <w:t>(2), 297–326. http://doi.org/10.1037/0033-2909.132.2.297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Muraven, M., Baumeister, R. F., &amp; Tice, D. M. (1999). Longitudinal Improvement of Self-Regulation Through Practice: Building Self-Control Strength Through Repeated Exercise. </w:t>
      </w:r>
      <w:r w:rsidRPr="00844B08">
        <w:rPr>
          <w:rFonts w:ascii="Calibri" w:hAnsi="Calibri" w:cs="Times New Roman"/>
          <w:i/>
          <w:iCs/>
          <w:noProof/>
          <w:sz w:val="24"/>
          <w:szCs w:val="24"/>
        </w:rPr>
        <w:t>The Journal of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139</w:t>
      </w:r>
      <w:r w:rsidRPr="00844B08">
        <w:rPr>
          <w:rFonts w:ascii="Calibri" w:hAnsi="Calibri" w:cs="Times New Roman"/>
          <w:noProof/>
          <w:sz w:val="24"/>
          <w:szCs w:val="24"/>
        </w:rPr>
        <w:t>(4), 446–457. http://doi.org/10.1086/250095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Muraven, M., Shmueli, D., &amp; Burkley, E. (2006). Conserving self-control strength.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91</w:t>
      </w:r>
      <w:r w:rsidRPr="00844B08">
        <w:rPr>
          <w:rFonts w:ascii="Calibri" w:hAnsi="Calibri" w:cs="Times New Roman"/>
          <w:noProof/>
          <w:sz w:val="24"/>
          <w:szCs w:val="24"/>
        </w:rPr>
        <w:t>(3), 524–537. http://doi.org/10.1037/0022-3514.91.3.524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Muraven, M., &amp; Slessareva, E. (2003). Mechanisms of Self-Control Failure: Motivation and Limited Resources. </w:t>
      </w:r>
      <w:r w:rsidRPr="00844B08">
        <w:rPr>
          <w:rFonts w:ascii="Calibri" w:hAnsi="Calibri" w:cs="Times New Roman"/>
          <w:i/>
          <w:iCs/>
          <w:noProof/>
          <w:sz w:val="24"/>
          <w:szCs w:val="24"/>
        </w:rPr>
        <w:t>Personality and Social Psychology Bulletin</w:t>
      </w:r>
      <w:r w:rsidRPr="00844B08">
        <w:rPr>
          <w:rFonts w:ascii="Calibri" w:hAnsi="Calibri" w:cs="Times New Roman"/>
          <w:noProof/>
          <w:sz w:val="24"/>
          <w:szCs w:val="24"/>
        </w:rPr>
        <w:t xml:space="preserve">, </w:t>
      </w:r>
      <w:r w:rsidRPr="00844B08">
        <w:rPr>
          <w:rFonts w:ascii="Calibri" w:hAnsi="Calibri" w:cs="Times New Roman"/>
          <w:i/>
          <w:iCs/>
          <w:noProof/>
          <w:sz w:val="24"/>
          <w:szCs w:val="24"/>
        </w:rPr>
        <w:t>29</w:t>
      </w:r>
      <w:r w:rsidRPr="00844B08">
        <w:rPr>
          <w:rFonts w:ascii="Calibri" w:hAnsi="Calibri" w:cs="Times New Roman"/>
          <w:noProof/>
          <w:sz w:val="24"/>
          <w:szCs w:val="24"/>
        </w:rPr>
        <w:t>(7), 894–906. http://doi.org/10.1177/0146167203253209</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Muraven, M., Tice, D. M., &amp; Baumeister, R. F. (1998). Self-Control as Limited Resource: Regulatory Depletion Patterns.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74</w:t>
      </w:r>
      <w:r w:rsidRPr="00844B08">
        <w:rPr>
          <w:rFonts w:ascii="Calibri" w:hAnsi="Calibri" w:cs="Times New Roman"/>
          <w:noProof/>
          <w:sz w:val="24"/>
          <w:szCs w:val="24"/>
        </w:rPr>
        <w:t>(3), 774–789.</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Musch, J., &amp; Klauer, K. C. (2003). The Psychology of Evaluation: Affective Processes in Cognition and Emotion. </w:t>
      </w:r>
      <w:r w:rsidRPr="00844B08">
        <w:rPr>
          <w:rFonts w:ascii="Calibri" w:hAnsi="Calibri" w:cs="Times New Roman"/>
          <w:i/>
          <w:iCs/>
          <w:noProof/>
          <w:sz w:val="24"/>
          <w:szCs w:val="24"/>
        </w:rPr>
        <w:t>Booksgooglecom</w:t>
      </w:r>
      <w:r w:rsidRPr="00844B08">
        <w:rPr>
          <w:rFonts w:ascii="Calibri" w:hAnsi="Calibri" w:cs="Times New Roman"/>
          <w:noProof/>
          <w:sz w:val="24"/>
          <w:szCs w:val="24"/>
        </w:rPr>
        <w:t>. Lawrence Erlbaum Associates. http://doi.org/10.1016/j.beproc.2006.12.001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Neal, D. T., Wood, W., Labrecque, J. S., &amp; Lally, P. (2012). How do habits guide behavior? Perceived and actual triggers of habits in daily life. </w:t>
      </w:r>
      <w:r w:rsidRPr="00844B08">
        <w:rPr>
          <w:rFonts w:ascii="Calibri" w:hAnsi="Calibri" w:cs="Times New Roman"/>
          <w:i/>
          <w:iCs/>
          <w:noProof/>
          <w:sz w:val="24"/>
          <w:szCs w:val="24"/>
        </w:rPr>
        <w:t>Journal of Experimental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48</w:t>
      </w:r>
      <w:r w:rsidRPr="00844B08">
        <w:rPr>
          <w:rFonts w:ascii="Calibri" w:hAnsi="Calibri" w:cs="Times New Roman"/>
          <w:noProof/>
          <w:sz w:val="24"/>
          <w:szCs w:val="24"/>
        </w:rPr>
        <w:t>(2), 492–498. http://doi.org/10.1016/j.jesp.2011.10.011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lastRenderedPageBreak/>
        <w:t xml:space="preserve">Neuman, J. H., &amp; Baron, R. A. (1998). Workplace Violence and Workplace Aggression: Evidence Concerning Specific Forms, Potential Causes, and Preferred Targets. </w:t>
      </w:r>
      <w:r w:rsidRPr="00844B08">
        <w:rPr>
          <w:rFonts w:ascii="Calibri" w:hAnsi="Calibri" w:cs="Times New Roman"/>
          <w:i/>
          <w:iCs/>
          <w:noProof/>
          <w:sz w:val="24"/>
          <w:szCs w:val="24"/>
        </w:rPr>
        <w:t>Journal of Management</w:t>
      </w:r>
      <w:r w:rsidRPr="00844B08">
        <w:rPr>
          <w:rFonts w:ascii="Calibri" w:hAnsi="Calibri" w:cs="Times New Roman"/>
          <w:noProof/>
          <w:sz w:val="24"/>
          <w:szCs w:val="24"/>
        </w:rPr>
        <w:t xml:space="preserve">, </w:t>
      </w:r>
      <w:r w:rsidRPr="00844B08">
        <w:rPr>
          <w:rFonts w:ascii="Calibri" w:hAnsi="Calibri" w:cs="Times New Roman"/>
          <w:i/>
          <w:iCs/>
          <w:noProof/>
          <w:sz w:val="24"/>
          <w:szCs w:val="24"/>
        </w:rPr>
        <w:t>24</w:t>
      </w:r>
      <w:r w:rsidRPr="00844B08">
        <w:rPr>
          <w:rFonts w:ascii="Calibri" w:hAnsi="Calibri" w:cs="Times New Roman"/>
          <w:noProof/>
          <w:sz w:val="24"/>
          <w:szCs w:val="24"/>
        </w:rPr>
        <w:t>(3), 391–419. http://doi.org/10.1177/014920639802400305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Neumann, R., &amp; Strack, F. (2000). “ Mood Contagion ”: The Automatic Transfer of Mood Between Persons.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79</w:t>
      </w:r>
      <w:r w:rsidRPr="00844B08">
        <w:rPr>
          <w:rFonts w:ascii="Calibri" w:hAnsi="Calibri" w:cs="Times New Roman"/>
          <w:noProof/>
          <w:sz w:val="24"/>
          <w:szCs w:val="24"/>
        </w:rPr>
        <w:t>(2), 211–223. http://doi.org/10.1037//0022-3514.79.2.211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Niven, K., Macdonald, I., &amp; Holman, D. (2012). You spin me right round: Cross-relationship variability in interpersonal emotion regulation. </w:t>
      </w:r>
      <w:r w:rsidRPr="00844B08">
        <w:rPr>
          <w:rFonts w:ascii="Calibri" w:hAnsi="Calibri" w:cs="Times New Roman"/>
          <w:i/>
          <w:iCs/>
          <w:noProof/>
          <w:sz w:val="24"/>
          <w:szCs w:val="24"/>
        </w:rPr>
        <w:t>Frontiers in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3</w:t>
      </w:r>
      <w:r w:rsidRPr="00844B08">
        <w:rPr>
          <w:rFonts w:ascii="Calibri" w:hAnsi="Calibri" w:cs="Times New Roman"/>
          <w:noProof/>
          <w:sz w:val="24"/>
          <w:szCs w:val="24"/>
        </w:rPr>
        <w:t>(OCT). http://doi.org/10.3389/fpsyg.2012.00394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Niven, K., Sprigg, C. A., &amp; Armitage, C. J. (2013). Does emotion regulation protect employees from the negative effects of workplace aggression? </w:t>
      </w:r>
      <w:r w:rsidRPr="00844B08">
        <w:rPr>
          <w:rFonts w:ascii="Calibri" w:hAnsi="Calibri" w:cs="Times New Roman"/>
          <w:i/>
          <w:iCs/>
          <w:noProof/>
          <w:sz w:val="24"/>
          <w:szCs w:val="24"/>
        </w:rPr>
        <w:t>European Journal of Work and Organizational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22</w:t>
      </w:r>
      <w:r w:rsidRPr="00844B08">
        <w:rPr>
          <w:rFonts w:ascii="Calibri" w:hAnsi="Calibri" w:cs="Times New Roman"/>
          <w:noProof/>
          <w:sz w:val="24"/>
          <w:szCs w:val="24"/>
        </w:rPr>
        <w:t>(1), 88–106. http://doi.org/10.1080/1359432X.2011.626200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Niven, K., Totterdell, P., &amp; Holman, D. (2007). Changing moods and influencing people: The use and effects of emotional influence behaviours at HMP Grendon. </w:t>
      </w:r>
      <w:r w:rsidRPr="00844B08">
        <w:rPr>
          <w:rFonts w:ascii="Calibri" w:hAnsi="Calibri" w:cs="Times New Roman"/>
          <w:i/>
          <w:iCs/>
          <w:noProof/>
          <w:sz w:val="24"/>
          <w:szCs w:val="24"/>
        </w:rPr>
        <w:t>Prison Service Journal</w:t>
      </w:r>
      <w:r w:rsidRPr="00844B08">
        <w:rPr>
          <w:rFonts w:ascii="Calibri" w:hAnsi="Calibri" w:cs="Times New Roman"/>
          <w:noProof/>
          <w:sz w:val="24"/>
          <w:szCs w:val="24"/>
        </w:rPr>
        <w:t xml:space="preserve">, </w:t>
      </w:r>
      <w:r w:rsidRPr="00844B08">
        <w:rPr>
          <w:rFonts w:ascii="Calibri" w:hAnsi="Calibri" w:cs="Times New Roman"/>
          <w:i/>
          <w:iCs/>
          <w:noProof/>
          <w:sz w:val="24"/>
          <w:szCs w:val="24"/>
        </w:rPr>
        <w:t>173</w:t>
      </w:r>
      <w:r w:rsidRPr="00844B08">
        <w:rPr>
          <w:rFonts w:ascii="Calibri" w:hAnsi="Calibri" w:cs="Times New Roman"/>
          <w:noProof/>
          <w:sz w:val="24"/>
          <w:szCs w:val="24"/>
        </w:rPr>
        <w:t>, 39–45.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Niven, K., Totterdell, P., &amp; Holman, D. (2009). A classification of controlled interpersonal affect regulation strategies. </w:t>
      </w:r>
      <w:r w:rsidRPr="00844B08">
        <w:rPr>
          <w:rFonts w:ascii="Calibri" w:hAnsi="Calibri" w:cs="Times New Roman"/>
          <w:i/>
          <w:iCs/>
          <w:noProof/>
          <w:sz w:val="24"/>
          <w:szCs w:val="24"/>
        </w:rPr>
        <w:t>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9</w:t>
      </w:r>
      <w:r w:rsidRPr="00844B08">
        <w:rPr>
          <w:rFonts w:ascii="Calibri" w:hAnsi="Calibri" w:cs="Times New Roman"/>
          <w:noProof/>
          <w:sz w:val="24"/>
          <w:szCs w:val="24"/>
        </w:rPr>
        <w:t>(4), 498–509. http://doi.org/10.1037/a0015962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Niven, K., Totterdell, P., Holman, D., &amp; Headley, T. (2012). Does Regulating Others’ Feelings Influence People’s Own Affective Well-Being? </w:t>
      </w:r>
      <w:r w:rsidRPr="00844B08">
        <w:rPr>
          <w:rFonts w:ascii="Calibri" w:hAnsi="Calibri" w:cs="Times New Roman"/>
          <w:i/>
          <w:iCs/>
          <w:noProof/>
          <w:sz w:val="24"/>
          <w:szCs w:val="24"/>
        </w:rPr>
        <w:t xml:space="preserve">The Journal of Social </w:t>
      </w:r>
      <w:r w:rsidRPr="00844B08">
        <w:rPr>
          <w:rFonts w:ascii="Calibri" w:hAnsi="Calibri" w:cs="Times New Roman"/>
          <w:i/>
          <w:iCs/>
          <w:noProof/>
          <w:sz w:val="24"/>
          <w:szCs w:val="24"/>
        </w:rPr>
        <w:lastRenderedPageBreak/>
        <w:t>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152</w:t>
      </w:r>
      <w:r w:rsidRPr="00844B08">
        <w:rPr>
          <w:rFonts w:ascii="Calibri" w:hAnsi="Calibri" w:cs="Times New Roman"/>
          <w:noProof/>
          <w:sz w:val="24"/>
          <w:szCs w:val="24"/>
        </w:rPr>
        <w:t>(2), 246–260. http://doi.org/10.1080/00224545.2011.599823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Niven, K., Totterdell, P., Miles, E., Webb, T. L., &amp; Sheeran, P. (2013). Achieving the same for less: improving mood depletes blood glucose for people with poor (but not good) emotion control. </w:t>
      </w:r>
      <w:r w:rsidRPr="00844B08">
        <w:rPr>
          <w:rFonts w:ascii="Calibri" w:hAnsi="Calibri" w:cs="Times New Roman"/>
          <w:i/>
          <w:iCs/>
          <w:noProof/>
          <w:sz w:val="24"/>
          <w:szCs w:val="24"/>
        </w:rPr>
        <w:t>Cognition &amp; 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27</w:t>
      </w:r>
      <w:r w:rsidRPr="00844B08">
        <w:rPr>
          <w:rFonts w:ascii="Calibri" w:hAnsi="Calibri" w:cs="Times New Roman"/>
          <w:noProof/>
          <w:sz w:val="24"/>
          <w:szCs w:val="24"/>
        </w:rPr>
        <w:t>(1), 133–40. http://doi.org/10.1080/02699931.2012.679916</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Niven, K., Totterdell, P., Stride, C. B., &amp; Holman, D. (2011). Emotion Regulation of Others and Self (EROS): The Development and Validation of a New Individual Difference Measure. </w:t>
      </w:r>
      <w:r w:rsidRPr="00844B08">
        <w:rPr>
          <w:rFonts w:ascii="Calibri" w:hAnsi="Calibri" w:cs="Times New Roman"/>
          <w:i/>
          <w:iCs/>
          <w:noProof/>
          <w:sz w:val="24"/>
          <w:szCs w:val="24"/>
        </w:rPr>
        <w:t>Current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30</w:t>
      </w:r>
      <w:r w:rsidRPr="00844B08">
        <w:rPr>
          <w:rFonts w:ascii="Calibri" w:hAnsi="Calibri" w:cs="Times New Roman"/>
          <w:noProof/>
          <w:sz w:val="24"/>
          <w:szCs w:val="24"/>
        </w:rPr>
        <w:t>(1), 53–73. http://doi.org/10.1007/s12144-011-9099-9</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Nolen-Hoeksema, S. (2000). The role of rumination in depressive disorders and mixed anxiety/depressive symptoms. </w:t>
      </w:r>
      <w:r w:rsidRPr="00844B08">
        <w:rPr>
          <w:rFonts w:ascii="Calibri" w:hAnsi="Calibri" w:cs="Times New Roman"/>
          <w:i/>
          <w:iCs/>
          <w:noProof/>
          <w:sz w:val="24"/>
          <w:szCs w:val="24"/>
        </w:rPr>
        <w:t>Journal of Abnormal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109</w:t>
      </w:r>
      <w:r w:rsidRPr="00844B08">
        <w:rPr>
          <w:rFonts w:ascii="Calibri" w:hAnsi="Calibri" w:cs="Times New Roman"/>
          <w:noProof/>
          <w:sz w:val="24"/>
          <w:szCs w:val="24"/>
        </w:rPr>
        <w:t>(3), 504–11. http://doi.org/10.1037/0021-843X.109.3.504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Nolen-Hoeksema, S., Wisco, B. E., &amp; Lyubomirsky, S. (2008). Rethinking Rumination. </w:t>
      </w:r>
      <w:r w:rsidRPr="00844B08">
        <w:rPr>
          <w:rFonts w:ascii="Calibri" w:hAnsi="Calibri" w:cs="Times New Roman"/>
          <w:i/>
          <w:iCs/>
          <w:noProof/>
          <w:sz w:val="24"/>
          <w:szCs w:val="24"/>
        </w:rPr>
        <w:t>Perspectives on Psychological Science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3</w:t>
      </w:r>
      <w:r w:rsidRPr="00844B08">
        <w:rPr>
          <w:rFonts w:ascii="Calibri" w:hAnsi="Calibri" w:cs="Times New Roman"/>
          <w:noProof/>
          <w:sz w:val="24"/>
          <w:szCs w:val="24"/>
        </w:rPr>
        <w:t>(5), 400–424. http://doi.org/10.1111/j.1745-6924.2008.00088.x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Nosek, B. a. (2007). Implicit – Explicit Relations. </w:t>
      </w:r>
      <w:r w:rsidRPr="00844B08">
        <w:rPr>
          <w:rFonts w:ascii="Calibri" w:hAnsi="Calibri" w:cs="Times New Roman"/>
          <w:i/>
          <w:iCs/>
          <w:noProof/>
          <w:sz w:val="24"/>
          <w:szCs w:val="24"/>
        </w:rPr>
        <w:t>Current Directions in Psychological Science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16</w:t>
      </w:r>
      <w:r w:rsidRPr="00844B08">
        <w:rPr>
          <w:rFonts w:ascii="Calibri" w:hAnsi="Calibri" w:cs="Times New Roman"/>
          <w:noProof/>
          <w:sz w:val="24"/>
          <w:szCs w:val="24"/>
        </w:rPr>
        <w:t>(2), 65–69. http://doi.org/10.1111/j.1467-8721.2007.00477.x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Oaten, M., Williams, K. D., Jones, A., &amp; Zadro, L. (2008). The Effects of Ostracism on Self–Regulation in the Socially Anxious. </w:t>
      </w:r>
      <w:r w:rsidRPr="00844B08">
        <w:rPr>
          <w:rFonts w:ascii="Calibri" w:hAnsi="Calibri" w:cs="Times New Roman"/>
          <w:i/>
          <w:iCs/>
          <w:noProof/>
          <w:sz w:val="24"/>
          <w:szCs w:val="24"/>
        </w:rPr>
        <w:t>Journal of Social and Clinical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27</w:t>
      </w:r>
      <w:r w:rsidRPr="00844B08">
        <w:rPr>
          <w:rFonts w:ascii="Calibri" w:hAnsi="Calibri" w:cs="Times New Roman"/>
          <w:noProof/>
          <w:sz w:val="24"/>
          <w:szCs w:val="24"/>
        </w:rPr>
        <w:t>(5), 471–504. http://doi.org/10.1521/jscp.2008.27.5.471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Ochsner, K. N., Bunge, S. A., Gross, J. J., &amp; Gabrieli, J. D. E. (2002). </w:t>
      </w:r>
      <w:r w:rsidRPr="00844B08">
        <w:rPr>
          <w:rFonts w:ascii="Calibri" w:hAnsi="Calibri" w:cs="Times New Roman"/>
          <w:noProof/>
          <w:sz w:val="24"/>
          <w:szCs w:val="24"/>
        </w:rPr>
        <w:t xml:space="preserve">Rethinking feelings: an </w:t>
      </w:r>
      <w:r w:rsidRPr="00844B08">
        <w:rPr>
          <w:rFonts w:ascii="Calibri" w:hAnsi="Calibri" w:cs="Times New Roman"/>
          <w:noProof/>
          <w:sz w:val="24"/>
          <w:szCs w:val="24"/>
        </w:rPr>
        <w:lastRenderedPageBreak/>
        <w:t xml:space="preserve">FMRI study of the cognitive regulation of emotion. </w:t>
      </w:r>
      <w:r w:rsidRPr="00844B08">
        <w:rPr>
          <w:rFonts w:ascii="Calibri" w:hAnsi="Calibri" w:cs="Times New Roman"/>
          <w:i/>
          <w:iCs/>
          <w:noProof/>
          <w:sz w:val="24"/>
          <w:szCs w:val="24"/>
        </w:rPr>
        <w:t>Journal of Cognitive Neuroscience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14</w:t>
      </w:r>
      <w:r w:rsidRPr="00844B08">
        <w:rPr>
          <w:rFonts w:ascii="Calibri" w:hAnsi="Calibri" w:cs="Times New Roman"/>
          <w:noProof/>
          <w:sz w:val="24"/>
          <w:szCs w:val="24"/>
        </w:rPr>
        <w:t>(8), 1215–1229. http://doi.org/10.1162/089892902760807212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Ortony, A., &amp; Turner, T. J. (1990). What ’ s Basic About Basic Emotions ? </w:t>
      </w:r>
      <w:r w:rsidRPr="00844B08">
        <w:rPr>
          <w:rFonts w:ascii="Calibri" w:hAnsi="Calibri" w:cs="Times New Roman"/>
          <w:i/>
          <w:iCs/>
          <w:noProof/>
          <w:sz w:val="24"/>
          <w:szCs w:val="24"/>
        </w:rPr>
        <w:t>Psychological Review</w:t>
      </w:r>
      <w:r w:rsidRPr="00844B08">
        <w:rPr>
          <w:rFonts w:ascii="Calibri" w:hAnsi="Calibri" w:cs="Times New Roman"/>
          <w:noProof/>
          <w:sz w:val="24"/>
          <w:szCs w:val="24"/>
        </w:rPr>
        <w:t xml:space="preserve">, </w:t>
      </w:r>
      <w:r w:rsidRPr="00844B08">
        <w:rPr>
          <w:rFonts w:ascii="Calibri" w:hAnsi="Calibri" w:cs="Times New Roman"/>
          <w:i/>
          <w:iCs/>
          <w:noProof/>
          <w:sz w:val="24"/>
          <w:szCs w:val="24"/>
        </w:rPr>
        <w:t>97</w:t>
      </w:r>
      <w:r w:rsidRPr="00844B08">
        <w:rPr>
          <w:rFonts w:ascii="Calibri" w:hAnsi="Calibri" w:cs="Times New Roman"/>
          <w:noProof/>
          <w:sz w:val="24"/>
          <w:szCs w:val="24"/>
        </w:rPr>
        <w:t>(3), 315–331. http://doi.org/10.1037/0033-295X.97.3.315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Ostafin, B. D., Marlatt, G. A., &amp; Greenwald, A. G. (2008). Drinking without thinking: An implicit measure of alcohol motivation predicts failure to control alcohol use. </w:t>
      </w:r>
      <w:r w:rsidRPr="00844B08">
        <w:rPr>
          <w:rFonts w:ascii="Calibri" w:hAnsi="Calibri" w:cs="Times New Roman"/>
          <w:i/>
          <w:iCs/>
          <w:noProof/>
          <w:sz w:val="24"/>
          <w:szCs w:val="24"/>
        </w:rPr>
        <w:t>Behaviour Research and Therapy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46</w:t>
      </w:r>
      <w:r w:rsidRPr="00844B08">
        <w:rPr>
          <w:rFonts w:ascii="Calibri" w:hAnsi="Calibri" w:cs="Times New Roman"/>
          <w:noProof/>
          <w:sz w:val="24"/>
          <w:szCs w:val="24"/>
        </w:rPr>
        <w:t>(11), 1210–1219. http://doi.org/10.1016/j.brat.2008.08.003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Ouellette, J. A., Wood, W., Bushman, B., Johnson, B., Pool, G., Prislin, R., &amp; Ouellette, A. (1998). Habit and Intention in Everyday Life: The Multiple Processes by Which Past Behavior Predicts Future Behavior. </w:t>
      </w:r>
      <w:r w:rsidRPr="00844B08">
        <w:rPr>
          <w:rFonts w:ascii="Calibri" w:hAnsi="Calibri" w:cs="Times New Roman"/>
          <w:i/>
          <w:iCs/>
          <w:noProof/>
          <w:sz w:val="24"/>
          <w:szCs w:val="24"/>
        </w:rPr>
        <w:t>Psychological Bulletin</w:t>
      </w:r>
      <w:r w:rsidRPr="00844B08">
        <w:rPr>
          <w:rFonts w:ascii="Calibri" w:hAnsi="Calibri" w:cs="Times New Roman"/>
          <w:noProof/>
          <w:sz w:val="24"/>
          <w:szCs w:val="24"/>
        </w:rPr>
        <w:t xml:space="preserve">, </w:t>
      </w:r>
      <w:r w:rsidRPr="00844B08">
        <w:rPr>
          <w:rFonts w:ascii="Calibri" w:hAnsi="Calibri" w:cs="Times New Roman"/>
          <w:i/>
          <w:iCs/>
          <w:noProof/>
          <w:sz w:val="24"/>
          <w:szCs w:val="24"/>
        </w:rPr>
        <w:t>124</w:t>
      </w:r>
      <w:r w:rsidRPr="00844B08">
        <w:rPr>
          <w:rFonts w:ascii="Calibri" w:hAnsi="Calibri" w:cs="Times New Roman"/>
          <w:noProof/>
          <w:sz w:val="24"/>
          <w:szCs w:val="24"/>
        </w:rPr>
        <w:t>(1), 124–54. http://doi.org/10.1037/0033-2909.124.1.54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Parkinson, B. (1996). Emotions are social. </w:t>
      </w:r>
      <w:r w:rsidRPr="00844B08">
        <w:rPr>
          <w:rFonts w:ascii="Calibri" w:hAnsi="Calibri" w:cs="Times New Roman"/>
          <w:i/>
          <w:iCs/>
          <w:noProof/>
          <w:sz w:val="24"/>
          <w:szCs w:val="24"/>
        </w:rPr>
        <w:t>British Journal of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87</w:t>
      </w:r>
      <w:r w:rsidRPr="00844B08">
        <w:rPr>
          <w:rFonts w:ascii="Calibri" w:hAnsi="Calibri" w:cs="Times New Roman"/>
          <w:noProof/>
          <w:sz w:val="24"/>
          <w:szCs w:val="24"/>
        </w:rPr>
        <w:t>(DECEMBER 1996), 663–683. http://doi.org/10.1631/jzus.2005.AS0128</w:t>
      </w:r>
    </w:p>
    <w:p w:rsid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Parkinson, B. (2011). How social is the social psychology of emotion? </w:t>
      </w:r>
      <w:r w:rsidRPr="00844B08">
        <w:rPr>
          <w:rFonts w:ascii="Calibri" w:hAnsi="Calibri" w:cs="Times New Roman"/>
          <w:i/>
          <w:iCs/>
          <w:noProof/>
          <w:sz w:val="24"/>
          <w:szCs w:val="24"/>
        </w:rPr>
        <w:t>British Journal of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50</w:t>
      </w:r>
      <w:r w:rsidRPr="00844B08">
        <w:rPr>
          <w:rFonts w:ascii="Calibri" w:hAnsi="Calibri" w:cs="Times New Roman"/>
          <w:noProof/>
          <w:sz w:val="24"/>
          <w:szCs w:val="24"/>
        </w:rPr>
        <w:t>(3), 405–413. http://doi.org/10.1111/j.2044-8309.2011.02034.x</w:t>
      </w:r>
    </w:p>
    <w:p w:rsidR="00356949" w:rsidRDefault="00356949" w:rsidP="00844B08">
      <w:pPr>
        <w:widowControl w:val="0"/>
        <w:autoSpaceDE w:val="0"/>
        <w:autoSpaceDN w:val="0"/>
        <w:adjustRightInd w:val="0"/>
        <w:spacing w:line="480" w:lineRule="auto"/>
        <w:ind w:left="480" w:hanging="480"/>
        <w:rPr>
          <w:rFonts w:ascii="Calibri" w:hAnsi="Calibri" w:cs="Times New Roman"/>
          <w:noProof/>
          <w:sz w:val="24"/>
          <w:szCs w:val="24"/>
        </w:rPr>
      </w:pPr>
      <w:r>
        <w:rPr>
          <w:rFonts w:ascii="Calibri" w:hAnsi="Calibri" w:cs="Times New Roman"/>
          <w:noProof/>
          <w:sz w:val="24"/>
          <w:szCs w:val="24"/>
        </w:rPr>
        <w:t xml:space="preserve">Parkinson, B., &amp; Simons, G. (2012). Worry spreads: interpersonal transfer of problem-related anxiety. </w:t>
      </w:r>
      <w:r>
        <w:rPr>
          <w:rFonts w:ascii="Calibri" w:hAnsi="Calibri" w:cs="Times New Roman"/>
          <w:i/>
          <w:noProof/>
          <w:sz w:val="24"/>
          <w:szCs w:val="24"/>
        </w:rPr>
        <w:t>Cognition and Emotion, 26</w:t>
      </w:r>
      <w:r>
        <w:rPr>
          <w:rFonts w:ascii="Calibri" w:hAnsi="Calibri" w:cs="Times New Roman"/>
          <w:noProof/>
          <w:sz w:val="24"/>
          <w:szCs w:val="24"/>
        </w:rPr>
        <w:t>(3), 462-479.</w:t>
      </w:r>
    </w:p>
    <w:p w:rsidR="00394D8A" w:rsidRPr="00394D8A" w:rsidRDefault="00394D8A" w:rsidP="00844B08">
      <w:pPr>
        <w:widowControl w:val="0"/>
        <w:autoSpaceDE w:val="0"/>
        <w:autoSpaceDN w:val="0"/>
        <w:adjustRightInd w:val="0"/>
        <w:spacing w:line="480" w:lineRule="auto"/>
        <w:ind w:left="480" w:hanging="480"/>
        <w:rPr>
          <w:rFonts w:ascii="Calibri" w:hAnsi="Calibri" w:cs="Times New Roman"/>
          <w:noProof/>
          <w:sz w:val="24"/>
          <w:szCs w:val="24"/>
        </w:rPr>
      </w:pPr>
      <w:r>
        <w:rPr>
          <w:rFonts w:ascii="Calibri" w:hAnsi="Calibri" w:cs="Times New Roman"/>
          <w:noProof/>
          <w:sz w:val="24"/>
          <w:szCs w:val="24"/>
        </w:rPr>
        <w:t xml:space="preserve">Parkinson, B., Simons, G., &amp; Niven, K. (2016). Sharing concerns: interpersonal worry regulation in romantic couples. </w:t>
      </w:r>
      <w:r>
        <w:rPr>
          <w:rFonts w:ascii="Calibri" w:hAnsi="Calibri" w:cs="Times New Roman"/>
          <w:i/>
          <w:noProof/>
          <w:sz w:val="24"/>
          <w:szCs w:val="24"/>
        </w:rPr>
        <w:t>Emotion, 16</w:t>
      </w:r>
      <w:r>
        <w:rPr>
          <w:rFonts w:ascii="Calibri" w:hAnsi="Calibri" w:cs="Times New Roman"/>
          <w:noProof/>
          <w:sz w:val="24"/>
          <w:szCs w:val="24"/>
        </w:rPr>
        <w:t xml:space="preserve">(4), 449-458. </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lastRenderedPageBreak/>
        <w:t xml:space="preserve">Parkinson, B., &amp; Totterdell, P. (1999a). Classifying Affect-regulation Strategies. </w:t>
      </w:r>
      <w:r w:rsidRPr="00844B08">
        <w:rPr>
          <w:rFonts w:ascii="Calibri" w:hAnsi="Calibri" w:cs="Times New Roman"/>
          <w:i/>
          <w:iCs/>
          <w:noProof/>
          <w:sz w:val="24"/>
          <w:szCs w:val="24"/>
        </w:rPr>
        <w:t>Cognition &amp; 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13</w:t>
      </w:r>
      <w:r w:rsidRPr="00844B08">
        <w:rPr>
          <w:rFonts w:ascii="Calibri" w:hAnsi="Calibri" w:cs="Times New Roman"/>
          <w:noProof/>
          <w:sz w:val="24"/>
          <w:szCs w:val="24"/>
        </w:rPr>
        <w:t>(3), 277–303. http://doi.org/10.1080/026999399379285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Parkinson, B., &amp; Totterdell, P. (1999b). Classifying Affect-regulation Strategies. </w:t>
      </w:r>
      <w:r w:rsidRPr="00844B08">
        <w:rPr>
          <w:rFonts w:ascii="Calibri" w:hAnsi="Calibri" w:cs="Times New Roman"/>
          <w:i/>
          <w:iCs/>
          <w:noProof/>
          <w:sz w:val="24"/>
          <w:szCs w:val="24"/>
        </w:rPr>
        <w:t>Cognition &amp; Emotion</w:t>
      </w:r>
      <w:r w:rsidRPr="00844B08">
        <w:rPr>
          <w:rFonts w:ascii="Calibri" w:hAnsi="Calibri" w:cs="Times New Roman"/>
          <w:noProof/>
          <w:sz w:val="24"/>
          <w:szCs w:val="24"/>
        </w:rPr>
        <w:t>. http://doi.org/10.1080/026999399379285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Patton, J. H., Stanford, M. S., &amp; Barratt, E. S. (1995). The factor structure of the Barratt Impulsiveness Scale. </w:t>
      </w:r>
      <w:r w:rsidRPr="00844B08">
        <w:rPr>
          <w:rFonts w:ascii="Calibri" w:hAnsi="Calibri" w:cs="Times New Roman"/>
          <w:i/>
          <w:iCs/>
          <w:noProof/>
          <w:sz w:val="24"/>
          <w:szCs w:val="24"/>
        </w:rPr>
        <w:t>Journal of Clinical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51</w:t>
      </w:r>
      <w:r w:rsidRPr="00844B08">
        <w:rPr>
          <w:rFonts w:ascii="Calibri" w:hAnsi="Calibri" w:cs="Times New Roman"/>
          <w:noProof/>
          <w:sz w:val="24"/>
          <w:szCs w:val="24"/>
        </w:rPr>
        <w:t>(6), 768–774.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Posner, J., Russell, J. A., &amp; Peterson, B. S. (2005). The circumplex model of affect: An integrative approach to affective neuroscience, cognitive development, and psychopathology. </w:t>
      </w:r>
      <w:r w:rsidRPr="00844B08">
        <w:rPr>
          <w:rFonts w:ascii="Calibri" w:hAnsi="Calibri" w:cs="Times New Roman"/>
          <w:i/>
          <w:iCs/>
          <w:noProof/>
          <w:sz w:val="24"/>
          <w:szCs w:val="24"/>
        </w:rPr>
        <w:t>Development and Psychopathology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17</w:t>
      </w:r>
      <w:r w:rsidRPr="00844B08">
        <w:rPr>
          <w:rFonts w:ascii="Calibri" w:hAnsi="Calibri" w:cs="Times New Roman"/>
          <w:noProof/>
          <w:sz w:val="24"/>
          <w:szCs w:val="24"/>
        </w:rPr>
        <w:t>(3), 715–734. http://doi.org/10.1017/S0954579405050340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Ray, J. J. (1984). The Reliability of Short Social Desirability Scales. </w:t>
      </w:r>
      <w:r w:rsidRPr="00844B08">
        <w:rPr>
          <w:rFonts w:ascii="Calibri" w:hAnsi="Calibri" w:cs="Times New Roman"/>
          <w:i/>
          <w:iCs/>
          <w:noProof/>
          <w:sz w:val="24"/>
          <w:szCs w:val="24"/>
        </w:rPr>
        <w:t>The Journal of Social Psychology</w:t>
      </w:r>
      <w:r w:rsidRPr="00844B08">
        <w:rPr>
          <w:rFonts w:ascii="Calibri" w:hAnsi="Calibri" w:cs="Times New Roman"/>
          <w:noProof/>
          <w:sz w:val="24"/>
          <w:szCs w:val="24"/>
        </w:rPr>
        <w:t>. http://doi.org/10.1080/00224545.1984.9924522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Reis, H. T., Collins, W. A., &amp; Berscheid, E. (2000). The relationship context of human behavior and development. </w:t>
      </w:r>
      <w:r w:rsidRPr="00844B08">
        <w:rPr>
          <w:rFonts w:ascii="Calibri" w:hAnsi="Calibri" w:cs="Times New Roman"/>
          <w:i/>
          <w:iCs/>
          <w:noProof/>
          <w:sz w:val="24"/>
          <w:szCs w:val="24"/>
        </w:rPr>
        <w:t>Psychological Bulletin</w:t>
      </w:r>
      <w:r w:rsidRPr="00844B08">
        <w:rPr>
          <w:rFonts w:ascii="Calibri" w:hAnsi="Calibri" w:cs="Times New Roman"/>
          <w:noProof/>
          <w:sz w:val="24"/>
          <w:szCs w:val="24"/>
        </w:rPr>
        <w:t xml:space="preserve">, </w:t>
      </w:r>
      <w:r w:rsidRPr="00844B08">
        <w:rPr>
          <w:rFonts w:ascii="Calibri" w:hAnsi="Calibri" w:cs="Times New Roman"/>
          <w:i/>
          <w:iCs/>
          <w:noProof/>
          <w:sz w:val="24"/>
          <w:szCs w:val="24"/>
        </w:rPr>
        <w:t>126</w:t>
      </w:r>
      <w:r w:rsidRPr="00844B08">
        <w:rPr>
          <w:rFonts w:ascii="Calibri" w:hAnsi="Calibri" w:cs="Times New Roman"/>
          <w:noProof/>
          <w:sz w:val="24"/>
          <w:szCs w:val="24"/>
        </w:rPr>
        <w:t>(6), 844–872. http://doi.org/10.1037//0033-2909.126.6.844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Richards, J. M., Butler, E. A., &amp; Gross, J. J. (2003). Emotion Regulation in Romantic Relationships: The Cognitive Consequences of Concealing Feelings. </w:t>
      </w:r>
      <w:r w:rsidRPr="00844B08">
        <w:rPr>
          <w:rFonts w:ascii="Calibri" w:hAnsi="Calibri" w:cs="Times New Roman"/>
          <w:i/>
          <w:iCs/>
          <w:noProof/>
          <w:sz w:val="24"/>
          <w:szCs w:val="24"/>
        </w:rPr>
        <w:t>Journal of Social and Personal Relationships</w:t>
      </w:r>
      <w:r w:rsidRPr="00844B08">
        <w:rPr>
          <w:rFonts w:ascii="Calibri" w:hAnsi="Calibri" w:cs="Times New Roman"/>
          <w:noProof/>
          <w:sz w:val="24"/>
          <w:szCs w:val="24"/>
        </w:rPr>
        <w:t xml:space="preserve">, </w:t>
      </w:r>
      <w:r w:rsidRPr="00844B08">
        <w:rPr>
          <w:rFonts w:ascii="Calibri" w:hAnsi="Calibri" w:cs="Times New Roman"/>
          <w:i/>
          <w:iCs/>
          <w:noProof/>
          <w:sz w:val="24"/>
          <w:szCs w:val="24"/>
        </w:rPr>
        <w:t>20</w:t>
      </w:r>
      <w:r w:rsidRPr="00844B08">
        <w:rPr>
          <w:rFonts w:ascii="Calibri" w:hAnsi="Calibri" w:cs="Times New Roman"/>
          <w:noProof/>
          <w:sz w:val="24"/>
          <w:szCs w:val="24"/>
        </w:rPr>
        <w:t>(5), 599–620. http://doi.org/10.1177/02654075030205002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Richards, J. M., &amp; Gross, J. J. (2000). Emotion regulation and memory: the cognitive costs of keeping one’s cool.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79</w:t>
      </w:r>
      <w:r w:rsidRPr="00844B08">
        <w:rPr>
          <w:rFonts w:ascii="Calibri" w:hAnsi="Calibri" w:cs="Times New Roman"/>
          <w:noProof/>
          <w:sz w:val="24"/>
          <w:szCs w:val="24"/>
        </w:rPr>
        <w:t xml:space="preserve">(3), 410–424. </w:t>
      </w:r>
      <w:r w:rsidRPr="00844B08">
        <w:rPr>
          <w:rFonts w:ascii="Calibri" w:hAnsi="Calibri" w:cs="Times New Roman"/>
          <w:noProof/>
          <w:sz w:val="24"/>
          <w:szCs w:val="24"/>
        </w:rPr>
        <w:lastRenderedPageBreak/>
        <w:t>http://doi.org/10.1037/0022-3514.79.3.410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Righetti, F., Finkenauer, C., &amp; Finkel, E. J. (2013). Low self-control promotes the willingness to sacrifice in close relationships. </w:t>
      </w:r>
      <w:r w:rsidRPr="00844B08">
        <w:rPr>
          <w:rFonts w:ascii="Calibri" w:hAnsi="Calibri" w:cs="Times New Roman"/>
          <w:i/>
          <w:iCs/>
          <w:noProof/>
          <w:sz w:val="24"/>
          <w:szCs w:val="24"/>
        </w:rPr>
        <w:t>Psychological Science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24</w:t>
      </w:r>
      <w:r w:rsidRPr="00844B08">
        <w:rPr>
          <w:rFonts w:ascii="Calibri" w:hAnsi="Calibri" w:cs="Times New Roman"/>
          <w:noProof/>
          <w:sz w:val="24"/>
          <w:szCs w:val="24"/>
        </w:rPr>
        <w:t>(8), 1533–40. http://doi.org/10.1177/0956797613475457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Rothman, A. J., Sheeran, P., &amp; Wood, W. (2009, December 29). Reflective and automatic processes in the initiation and maintenance of dietary change. </w:t>
      </w:r>
      <w:r w:rsidRPr="00844B08">
        <w:rPr>
          <w:rFonts w:ascii="Calibri" w:hAnsi="Calibri" w:cs="Times New Roman"/>
          <w:i/>
          <w:iCs/>
          <w:noProof/>
          <w:sz w:val="24"/>
          <w:szCs w:val="24"/>
        </w:rPr>
        <w:t>Annals of Behavioral Medicine</w:t>
      </w:r>
      <w:r w:rsidRPr="00844B08">
        <w:rPr>
          <w:rFonts w:ascii="Calibri" w:hAnsi="Calibri" w:cs="Times New Roman"/>
          <w:noProof/>
          <w:sz w:val="24"/>
          <w:szCs w:val="24"/>
        </w:rPr>
        <w:t>. http://doi.org/10.1007/s12160-009-9118-3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Russell, J. A. (1980). A circumplex model of affect.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39</w:t>
      </w:r>
      <w:r w:rsidRPr="00844B08">
        <w:rPr>
          <w:rFonts w:ascii="Calibri" w:hAnsi="Calibri" w:cs="Times New Roman"/>
          <w:noProof/>
          <w:sz w:val="24"/>
          <w:szCs w:val="24"/>
        </w:rPr>
        <w:t>(6), 1161–1178. http://doi.org/10.1037/h0077714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Russell, J. A. (2003). Core affect and the psychological construction of emotion. </w:t>
      </w:r>
      <w:r w:rsidRPr="00844B08">
        <w:rPr>
          <w:rFonts w:ascii="Calibri" w:hAnsi="Calibri" w:cs="Times New Roman"/>
          <w:i/>
          <w:iCs/>
          <w:noProof/>
          <w:sz w:val="24"/>
          <w:szCs w:val="24"/>
        </w:rPr>
        <w:t>Psychological Review</w:t>
      </w:r>
      <w:r w:rsidRPr="00844B08">
        <w:rPr>
          <w:rFonts w:ascii="Calibri" w:hAnsi="Calibri" w:cs="Times New Roman"/>
          <w:noProof/>
          <w:sz w:val="24"/>
          <w:szCs w:val="24"/>
        </w:rPr>
        <w:t xml:space="preserve">, </w:t>
      </w:r>
      <w:r w:rsidRPr="00844B08">
        <w:rPr>
          <w:rFonts w:ascii="Calibri" w:hAnsi="Calibri" w:cs="Times New Roman"/>
          <w:i/>
          <w:iCs/>
          <w:noProof/>
          <w:sz w:val="24"/>
          <w:szCs w:val="24"/>
        </w:rPr>
        <w:t>110</w:t>
      </w:r>
      <w:r w:rsidRPr="00844B08">
        <w:rPr>
          <w:rFonts w:ascii="Calibri" w:hAnsi="Calibri" w:cs="Times New Roman"/>
          <w:noProof/>
          <w:sz w:val="24"/>
          <w:szCs w:val="24"/>
        </w:rPr>
        <w:t>(1), 145–72. http://doi.org/10.1037/0033-295X.110.1.145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Rusting, C. L., &amp; Nolen-Hoeksema, S. (1998). Regulating responses to anger: effects of rumination and distraction on angry mood.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74</w:t>
      </w:r>
      <w:r w:rsidRPr="00844B08">
        <w:rPr>
          <w:rFonts w:ascii="Calibri" w:hAnsi="Calibri" w:cs="Times New Roman"/>
          <w:noProof/>
          <w:sz w:val="24"/>
          <w:szCs w:val="24"/>
        </w:rPr>
        <w:t>(3), 790–803. http://doi.org/10.1037/0022-3514.74.3.790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Sbarra, D. A., &amp; Ferrer, E. (2006). The structure and process of emotional experience following nonmarital relationship dissolution: dynamic factor analyses of love, anger, and sadness. </w:t>
      </w:r>
      <w:r w:rsidRPr="00844B08">
        <w:rPr>
          <w:rFonts w:ascii="Calibri" w:hAnsi="Calibri" w:cs="Times New Roman"/>
          <w:i/>
          <w:iCs/>
          <w:noProof/>
          <w:sz w:val="24"/>
          <w:szCs w:val="24"/>
        </w:rPr>
        <w:t>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6</w:t>
      </w:r>
      <w:r w:rsidRPr="00844B08">
        <w:rPr>
          <w:rFonts w:ascii="Calibri" w:hAnsi="Calibri" w:cs="Times New Roman"/>
          <w:noProof/>
          <w:sz w:val="24"/>
          <w:szCs w:val="24"/>
        </w:rPr>
        <w:t>(2), 224–38. http://doi.org/10.1037/1528-3542.6.2.224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Sbarra, D. A., &amp; Hazan, C. (2008). Coregulation, dysregulation, self-regulation: an integrative analysis and empirical agenda for understanding adult attachment, separation, loss, and recovery. </w:t>
      </w:r>
      <w:r w:rsidRPr="00844B08">
        <w:rPr>
          <w:rFonts w:ascii="Calibri" w:hAnsi="Calibri" w:cs="Times New Roman"/>
          <w:i/>
          <w:iCs/>
          <w:noProof/>
          <w:sz w:val="24"/>
          <w:szCs w:val="24"/>
        </w:rPr>
        <w:t xml:space="preserve">Personality and Social Psychology Review : An </w:t>
      </w:r>
      <w:r w:rsidRPr="00844B08">
        <w:rPr>
          <w:rFonts w:ascii="Calibri" w:hAnsi="Calibri" w:cs="Times New Roman"/>
          <w:i/>
          <w:iCs/>
          <w:noProof/>
          <w:sz w:val="24"/>
          <w:szCs w:val="24"/>
        </w:rPr>
        <w:lastRenderedPageBreak/>
        <w:t>Official Journal of the Society for Personality and Social Psychology, Inc</w:t>
      </w:r>
      <w:r w:rsidRPr="00844B08">
        <w:rPr>
          <w:rFonts w:ascii="Calibri" w:hAnsi="Calibri" w:cs="Times New Roman"/>
          <w:noProof/>
          <w:sz w:val="24"/>
          <w:szCs w:val="24"/>
        </w:rPr>
        <w:t xml:space="preserve">, </w:t>
      </w:r>
      <w:r w:rsidRPr="00844B08">
        <w:rPr>
          <w:rFonts w:ascii="Calibri" w:hAnsi="Calibri" w:cs="Times New Roman"/>
          <w:i/>
          <w:iCs/>
          <w:noProof/>
          <w:sz w:val="24"/>
          <w:szCs w:val="24"/>
        </w:rPr>
        <w:t>12</w:t>
      </w:r>
      <w:r w:rsidRPr="00844B08">
        <w:rPr>
          <w:rFonts w:ascii="Calibri" w:hAnsi="Calibri" w:cs="Times New Roman"/>
          <w:noProof/>
          <w:sz w:val="24"/>
          <w:szCs w:val="24"/>
        </w:rPr>
        <w:t>(2), 141–167. http://doi.org/10.1177/1088868308315702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Schmeichel, B. J., &amp; Demaree, H. A. (2010). </w:t>
      </w:r>
      <w:r w:rsidRPr="00844B08">
        <w:rPr>
          <w:rFonts w:ascii="Calibri" w:hAnsi="Calibri" w:cs="Times New Roman"/>
          <w:noProof/>
          <w:sz w:val="24"/>
          <w:szCs w:val="24"/>
        </w:rPr>
        <w:t xml:space="preserve">Working memory capacity and spontaneous emotion regulation: high capacity predicts self-enhancement in response to negative feedback. </w:t>
      </w:r>
      <w:r w:rsidRPr="00844B08">
        <w:rPr>
          <w:rFonts w:ascii="Calibri" w:hAnsi="Calibri" w:cs="Times New Roman"/>
          <w:i/>
          <w:iCs/>
          <w:noProof/>
          <w:sz w:val="24"/>
          <w:szCs w:val="24"/>
        </w:rPr>
        <w:t>Emotion (Washington, D.C.)</w:t>
      </w:r>
      <w:r w:rsidRPr="00844B08">
        <w:rPr>
          <w:rFonts w:ascii="Calibri" w:hAnsi="Calibri" w:cs="Times New Roman"/>
          <w:noProof/>
          <w:sz w:val="24"/>
          <w:szCs w:val="24"/>
        </w:rPr>
        <w:t xml:space="preserve">, </w:t>
      </w:r>
      <w:r w:rsidRPr="00844B08">
        <w:rPr>
          <w:rFonts w:ascii="Calibri" w:hAnsi="Calibri" w:cs="Times New Roman"/>
          <w:i/>
          <w:iCs/>
          <w:noProof/>
          <w:sz w:val="24"/>
          <w:szCs w:val="24"/>
        </w:rPr>
        <w:t>10</w:t>
      </w:r>
      <w:r w:rsidRPr="00844B08">
        <w:rPr>
          <w:rFonts w:ascii="Calibri" w:hAnsi="Calibri" w:cs="Times New Roman"/>
          <w:noProof/>
          <w:sz w:val="24"/>
          <w:szCs w:val="24"/>
        </w:rPr>
        <w:t>(5), 739–44. http://doi.org/10.1037/a0019355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Schmeichel, B. J., Demaree, H. A., Robinson, J. L., &amp; Pu, J. (2006). Ego depletion by response exaggeration. </w:t>
      </w:r>
      <w:r w:rsidRPr="00844B08">
        <w:rPr>
          <w:rFonts w:ascii="Calibri" w:hAnsi="Calibri" w:cs="Times New Roman"/>
          <w:i/>
          <w:iCs/>
          <w:noProof/>
          <w:sz w:val="24"/>
          <w:szCs w:val="24"/>
        </w:rPr>
        <w:t>Journal of Experimental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42</w:t>
      </w:r>
      <w:r w:rsidRPr="00844B08">
        <w:rPr>
          <w:rFonts w:ascii="Calibri" w:hAnsi="Calibri" w:cs="Times New Roman"/>
          <w:noProof/>
          <w:sz w:val="24"/>
          <w:szCs w:val="24"/>
        </w:rPr>
        <w:t>(1), 95–102. http://doi.org/10.1016/j.jesp.2005.02.005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Schmeichel, B. J., &amp; Zell, A. (2007). Trait self-control predicts performance on behavioral tests of self-control. </w:t>
      </w:r>
      <w:r w:rsidRPr="00844B08">
        <w:rPr>
          <w:rFonts w:ascii="Calibri" w:hAnsi="Calibri" w:cs="Times New Roman"/>
          <w:i/>
          <w:iCs/>
          <w:noProof/>
          <w:sz w:val="24"/>
          <w:szCs w:val="24"/>
        </w:rPr>
        <w:t>Journal of Personality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75</w:t>
      </w:r>
      <w:r w:rsidRPr="00844B08">
        <w:rPr>
          <w:rFonts w:ascii="Calibri" w:hAnsi="Calibri" w:cs="Times New Roman"/>
          <w:noProof/>
          <w:sz w:val="24"/>
          <w:szCs w:val="24"/>
        </w:rPr>
        <w:t>(4), 743–756. http://doi.org/10.1111/j.1467-6494.2007.00455.x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Schoebi, D., &amp; Randall, A. K. (2015). Emotional Dynamics in Intimate Relationships. </w:t>
      </w:r>
      <w:r w:rsidRPr="00844B08">
        <w:rPr>
          <w:rFonts w:ascii="Calibri" w:hAnsi="Calibri" w:cs="Times New Roman"/>
          <w:i/>
          <w:iCs/>
          <w:noProof/>
          <w:sz w:val="24"/>
          <w:szCs w:val="24"/>
        </w:rPr>
        <w:t>Emotion Review</w:t>
      </w:r>
      <w:r w:rsidRPr="00844B08">
        <w:rPr>
          <w:rFonts w:ascii="Calibri" w:hAnsi="Calibri" w:cs="Times New Roman"/>
          <w:noProof/>
          <w:sz w:val="24"/>
          <w:szCs w:val="24"/>
        </w:rPr>
        <w:t xml:space="preserve">, </w:t>
      </w:r>
      <w:r w:rsidRPr="00844B08">
        <w:rPr>
          <w:rFonts w:ascii="Calibri" w:hAnsi="Calibri" w:cs="Times New Roman"/>
          <w:i/>
          <w:iCs/>
          <w:noProof/>
          <w:sz w:val="24"/>
          <w:szCs w:val="24"/>
        </w:rPr>
        <w:t>7</w:t>
      </w:r>
      <w:r w:rsidRPr="00844B08">
        <w:rPr>
          <w:rFonts w:ascii="Calibri" w:hAnsi="Calibri" w:cs="Times New Roman"/>
          <w:noProof/>
          <w:sz w:val="24"/>
          <w:szCs w:val="24"/>
        </w:rPr>
        <w:t>(4), 1–7. http://doi.org/10.1177/1754073915590620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Schreier, M. (2012). </w:t>
      </w:r>
      <w:r w:rsidRPr="00844B08">
        <w:rPr>
          <w:rFonts w:ascii="Calibri" w:hAnsi="Calibri" w:cs="Times New Roman"/>
          <w:i/>
          <w:iCs/>
          <w:noProof/>
          <w:sz w:val="24"/>
          <w:szCs w:val="24"/>
        </w:rPr>
        <w:t>Qualitative Content Analysis in Practice</w:t>
      </w:r>
      <w:r w:rsidRPr="00844B08">
        <w:rPr>
          <w:rFonts w:ascii="Calibri" w:hAnsi="Calibri" w:cs="Times New Roman"/>
          <w:noProof/>
          <w:sz w:val="24"/>
          <w:szCs w:val="24"/>
        </w:rPr>
        <w:t>. Sage Publications.</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Selterman, D. F., Apetroaia, A. I., Riela, S., &amp; Aron, A. (2013). Dreaming of You. </w:t>
      </w:r>
      <w:r w:rsidRPr="00844B08">
        <w:rPr>
          <w:rFonts w:ascii="Calibri" w:hAnsi="Calibri" w:cs="Times New Roman"/>
          <w:i/>
          <w:iCs/>
          <w:noProof/>
          <w:sz w:val="24"/>
          <w:szCs w:val="24"/>
        </w:rPr>
        <w:t>Social Psychological &amp; Personality Science</w:t>
      </w:r>
      <w:r w:rsidRPr="00844B08">
        <w:rPr>
          <w:rFonts w:ascii="Calibri" w:hAnsi="Calibri" w:cs="Times New Roman"/>
          <w:noProof/>
          <w:sz w:val="24"/>
          <w:szCs w:val="24"/>
        </w:rPr>
        <w:t>. http://doi.org/http://dx.doi.org/10.1177/1948550613486678</w:t>
      </w:r>
    </w:p>
    <w:p w:rsidR="00844B08" w:rsidRPr="00A41BE2" w:rsidRDefault="00844B08" w:rsidP="00844B08">
      <w:pPr>
        <w:widowControl w:val="0"/>
        <w:autoSpaceDE w:val="0"/>
        <w:autoSpaceDN w:val="0"/>
        <w:adjustRightInd w:val="0"/>
        <w:spacing w:line="480" w:lineRule="auto"/>
        <w:ind w:left="480" w:hanging="480"/>
        <w:rPr>
          <w:rFonts w:ascii="Calibri" w:hAnsi="Calibri" w:cs="Times New Roman"/>
          <w:noProof/>
          <w:sz w:val="24"/>
          <w:szCs w:val="24"/>
          <w:lang w:val="fr-FR"/>
        </w:rPr>
      </w:pPr>
      <w:r w:rsidRPr="00844B08">
        <w:rPr>
          <w:rFonts w:ascii="Calibri" w:hAnsi="Calibri" w:cs="Times New Roman"/>
          <w:noProof/>
          <w:sz w:val="24"/>
          <w:szCs w:val="24"/>
        </w:rPr>
        <w:t xml:space="preserve">Shah, J. Y. (2005). The automatic pursuit and management of goals. </w:t>
      </w:r>
      <w:r w:rsidRPr="00A41BE2">
        <w:rPr>
          <w:rFonts w:ascii="Calibri" w:hAnsi="Calibri" w:cs="Times New Roman"/>
          <w:i/>
          <w:iCs/>
          <w:noProof/>
          <w:sz w:val="24"/>
          <w:szCs w:val="24"/>
          <w:lang w:val="fr-FR"/>
        </w:rPr>
        <w:t>Current Directions in Psychological Science</w:t>
      </w:r>
      <w:r w:rsidRPr="00A41BE2">
        <w:rPr>
          <w:rFonts w:ascii="Calibri" w:hAnsi="Calibri" w:cs="Times New Roman"/>
          <w:noProof/>
          <w:sz w:val="24"/>
          <w:szCs w:val="24"/>
          <w:lang w:val="fr-FR"/>
        </w:rPr>
        <w:t>. http://doi.org/10.1111/j.0963-7214.2005.00325.x</w:t>
      </w:r>
    </w:p>
    <w:p w:rsidR="00844B08" w:rsidRPr="00A41BE2" w:rsidRDefault="00844B08" w:rsidP="00844B08">
      <w:pPr>
        <w:widowControl w:val="0"/>
        <w:autoSpaceDE w:val="0"/>
        <w:autoSpaceDN w:val="0"/>
        <w:adjustRightInd w:val="0"/>
        <w:spacing w:line="480" w:lineRule="auto"/>
        <w:ind w:left="480" w:hanging="480"/>
        <w:rPr>
          <w:rFonts w:ascii="Calibri" w:hAnsi="Calibri" w:cs="Times New Roman"/>
          <w:noProof/>
          <w:sz w:val="24"/>
          <w:szCs w:val="24"/>
          <w:lang w:val="fr-FR"/>
        </w:rPr>
      </w:pPr>
      <w:r w:rsidRPr="00A41BE2">
        <w:rPr>
          <w:rFonts w:ascii="Calibri" w:hAnsi="Calibri" w:cs="Times New Roman"/>
          <w:noProof/>
          <w:sz w:val="24"/>
          <w:szCs w:val="24"/>
          <w:lang w:val="fr-FR"/>
        </w:rPr>
        <w:t xml:space="preserve">Shariff, A. F., &amp; Norenzayan, A. (2007). </w:t>
      </w:r>
      <w:r w:rsidRPr="00844B08">
        <w:rPr>
          <w:rFonts w:ascii="Calibri" w:hAnsi="Calibri" w:cs="Times New Roman"/>
          <w:noProof/>
          <w:sz w:val="24"/>
          <w:szCs w:val="24"/>
        </w:rPr>
        <w:t xml:space="preserve">God is watching you: Priming God concepts </w:t>
      </w:r>
      <w:r w:rsidRPr="00844B08">
        <w:rPr>
          <w:rFonts w:ascii="Calibri" w:hAnsi="Calibri" w:cs="Times New Roman"/>
          <w:noProof/>
          <w:sz w:val="24"/>
          <w:szCs w:val="24"/>
        </w:rPr>
        <w:lastRenderedPageBreak/>
        <w:t xml:space="preserve">increases prosocial behavior in an anonymous economic game. </w:t>
      </w:r>
      <w:r w:rsidRPr="00A41BE2">
        <w:rPr>
          <w:rFonts w:ascii="Calibri" w:hAnsi="Calibri" w:cs="Times New Roman"/>
          <w:i/>
          <w:iCs/>
          <w:noProof/>
          <w:sz w:val="24"/>
          <w:szCs w:val="24"/>
          <w:lang w:val="fr-FR"/>
        </w:rPr>
        <w:t>Psychological Science</w:t>
      </w:r>
      <w:r w:rsidRPr="00A41BE2">
        <w:rPr>
          <w:rFonts w:ascii="Calibri" w:hAnsi="Calibri" w:cs="Times New Roman"/>
          <w:noProof/>
          <w:sz w:val="24"/>
          <w:szCs w:val="24"/>
          <w:lang w:val="fr-FR"/>
        </w:rPr>
        <w:t>. http://doi.org/10.1111/j.1467-9280.2007.01983.x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fr-FR"/>
        </w:rPr>
        <w:t xml:space="preserve">Shaver, P. R., &amp; Mikulincer, M. (2007). </w:t>
      </w:r>
      <w:r w:rsidRPr="00844B08">
        <w:rPr>
          <w:rFonts w:ascii="Calibri" w:hAnsi="Calibri" w:cs="Times New Roman"/>
          <w:noProof/>
          <w:sz w:val="24"/>
          <w:szCs w:val="24"/>
        </w:rPr>
        <w:t xml:space="preserve">Adult Attachment Strategies and the Regulation of Emotion. In J. J. Gross (Ed.), </w:t>
      </w:r>
      <w:r w:rsidRPr="00844B08">
        <w:rPr>
          <w:rFonts w:ascii="Calibri" w:hAnsi="Calibri" w:cs="Times New Roman"/>
          <w:i/>
          <w:iCs/>
          <w:noProof/>
          <w:sz w:val="24"/>
          <w:szCs w:val="24"/>
        </w:rPr>
        <w:t>Handbook of Emotion Regulation</w:t>
      </w:r>
      <w:r w:rsidRPr="00844B08">
        <w:rPr>
          <w:rFonts w:ascii="Calibri" w:hAnsi="Calibri" w:cs="Times New Roman"/>
          <w:noProof/>
          <w:sz w:val="24"/>
          <w:szCs w:val="24"/>
        </w:rPr>
        <w:t xml:space="preserve"> (pp. 446–465). New York, NY: The Guilford Press.</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Shedler, J., Mayman, M., &amp; Manis, M. (1993). The illusion of mental health. </w:t>
      </w:r>
      <w:r w:rsidRPr="00844B08">
        <w:rPr>
          <w:rFonts w:ascii="Calibri" w:hAnsi="Calibri" w:cs="Times New Roman"/>
          <w:i/>
          <w:iCs/>
          <w:noProof/>
          <w:sz w:val="24"/>
          <w:szCs w:val="24"/>
        </w:rPr>
        <w:t>The American Psychologist</w:t>
      </w:r>
      <w:r w:rsidRPr="00844B08">
        <w:rPr>
          <w:rFonts w:ascii="Calibri" w:hAnsi="Calibri" w:cs="Times New Roman"/>
          <w:noProof/>
          <w:sz w:val="24"/>
          <w:szCs w:val="24"/>
        </w:rPr>
        <w:t xml:space="preserve">, </w:t>
      </w:r>
      <w:r w:rsidRPr="00844B08">
        <w:rPr>
          <w:rFonts w:ascii="Calibri" w:hAnsi="Calibri" w:cs="Times New Roman"/>
          <w:i/>
          <w:iCs/>
          <w:noProof/>
          <w:sz w:val="24"/>
          <w:szCs w:val="24"/>
        </w:rPr>
        <w:t>48</w:t>
      </w:r>
      <w:r w:rsidRPr="00844B08">
        <w:rPr>
          <w:rFonts w:ascii="Calibri" w:hAnsi="Calibri" w:cs="Times New Roman"/>
          <w:noProof/>
          <w:sz w:val="24"/>
          <w:szCs w:val="24"/>
        </w:rPr>
        <w:t>(11), 1117–1131. http://doi.org/10.1037/0003-066X.48.11.1117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Sheppes, G., Catran, E., &amp; Meiran, N. (2009). Reappraisal (but not distraction) is going to make you sweat: Physiological evidence for self-control effort. </w:t>
      </w:r>
      <w:r w:rsidRPr="00844B08">
        <w:rPr>
          <w:rFonts w:ascii="Calibri" w:hAnsi="Calibri" w:cs="Times New Roman"/>
          <w:i/>
          <w:iCs/>
          <w:noProof/>
          <w:sz w:val="24"/>
          <w:szCs w:val="24"/>
        </w:rPr>
        <w:t>International Journal of Psychophysiology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71</w:t>
      </w:r>
      <w:r w:rsidRPr="00844B08">
        <w:rPr>
          <w:rFonts w:ascii="Calibri" w:hAnsi="Calibri" w:cs="Times New Roman"/>
          <w:noProof/>
          <w:sz w:val="24"/>
          <w:szCs w:val="24"/>
        </w:rPr>
        <w:t>(2), 91–96. http://doi.org/10.1016/j.ijpsycho.2008.06.006</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Shuntich, R. J., &amp; Shapiro, R. M. (1991). Explorations of verbal affection and aggression. </w:t>
      </w:r>
      <w:r w:rsidRPr="00844B08">
        <w:rPr>
          <w:rFonts w:ascii="Calibri" w:hAnsi="Calibri" w:cs="Times New Roman"/>
          <w:i/>
          <w:iCs/>
          <w:noProof/>
          <w:sz w:val="24"/>
          <w:szCs w:val="24"/>
        </w:rPr>
        <w:t>Journal of Social Behavior and Personality</w:t>
      </w:r>
      <w:r w:rsidRPr="00844B08">
        <w:rPr>
          <w:rFonts w:ascii="Calibri" w:hAnsi="Calibri" w:cs="Times New Roman"/>
          <w:noProof/>
          <w:sz w:val="24"/>
          <w:szCs w:val="24"/>
        </w:rPr>
        <w:t xml:space="preserve">, </w:t>
      </w:r>
      <w:r w:rsidRPr="00844B08">
        <w:rPr>
          <w:rFonts w:ascii="Calibri" w:hAnsi="Calibri" w:cs="Times New Roman"/>
          <w:i/>
          <w:iCs/>
          <w:noProof/>
          <w:sz w:val="24"/>
          <w:szCs w:val="24"/>
        </w:rPr>
        <w:t>6</w:t>
      </w:r>
      <w:r w:rsidRPr="00844B08">
        <w:rPr>
          <w:rFonts w:ascii="Calibri" w:hAnsi="Calibri" w:cs="Times New Roman"/>
          <w:noProof/>
          <w:sz w:val="24"/>
          <w:szCs w:val="24"/>
        </w:rPr>
        <w:t>(2), 283–300.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Silvia, P. J., Phillips, A. G., Baumgaertner, M. K., &amp; Maschauer, E. L. (2006). Emotion concepts and self-focused attention: Exploring parallel effects of emotional states and emotional knowledge. </w:t>
      </w:r>
      <w:r w:rsidRPr="00844B08">
        <w:rPr>
          <w:rFonts w:ascii="Calibri" w:hAnsi="Calibri" w:cs="Times New Roman"/>
          <w:i/>
          <w:iCs/>
          <w:noProof/>
          <w:sz w:val="24"/>
          <w:szCs w:val="24"/>
        </w:rPr>
        <w:t>Motivation and 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30</w:t>
      </w:r>
      <w:r w:rsidRPr="00844B08">
        <w:rPr>
          <w:rFonts w:ascii="Calibri" w:hAnsi="Calibri" w:cs="Times New Roman"/>
          <w:noProof/>
          <w:sz w:val="24"/>
          <w:szCs w:val="24"/>
        </w:rPr>
        <w:t>(3), 225–231. http://doi.org/10.1007/s11031-006-9033-x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Smeesters, D., Wheeler, S. C., &amp; Kay, A. C. (2010). Chapter Five: Indirect prime-to-behavior effects: The role of perceptions of the self, others, and situations in connecting primed constructs to social behavior. </w:t>
      </w:r>
      <w:r w:rsidRPr="00844B08">
        <w:rPr>
          <w:rFonts w:ascii="Calibri" w:hAnsi="Calibri" w:cs="Times New Roman"/>
          <w:i/>
          <w:iCs/>
          <w:noProof/>
          <w:sz w:val="24"/>
          <w:szCs w:val="24"/>
        </w:rPr>
        <w:t>Advances in Experimental Social Psychology</w:t>
      </w:r>
      <w:r w:rsidRPr="00844B08">
        <w:rPr>
          <w:rFonts w:ascii="Calibri" w:hAnsi="Calibri" w:cs="Times New Roman"/>
          <w:noProof/>
          <w:sz w:val="24"/>
          <w:szCs w:val="24"/>
        </w:rPr>
        <w:t>. http://doi.org/10.1016/S0065-2601(10)42005-5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lastRenderedPageBreak/>
        <w:t xml:space="preserve">Srull, T. K., &amp; Wyer, R. S. (1979). The role of category accessibility in the interpretation of information about persons: Some determinants and implications.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37</w:t>
      </w:r>
      <w:r w:rsidRPr="00844B08">
        <w:rPr>
          <w:rFonts w:ascii="Calibri" w:hAnsi="Calibri" w:cs="Times New Roman"/>
          <w:noProof/>
          <w:sz w:val="24"/>
          <w:szCs w:val="24"/>
        </w:rPr>
        <w:t>(10), 1660–1672. http://doi.org/10.1037/0022-3514.37.10.1660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Staub, E., &amp; Sherk, L. (1970). Need for Approval, Children’s Sharing Behavior, and Reciprocity in Sharing. </w:t>
      </w:r>
      <w:r w:rsidRPr="00844B08">
        <w:rPr>
          <w:rFonts w:ascii="Calibri" w:hAnsi="Calibri" w:cs="Times New Roman"/>
          <w:i/>
          <w:iCs/>
          <w:noProof/>
          <w:sz w:val="24"/>
          <w:szCs w:val="24"/>
        </w:rPr>
        <w:t>Source: Child Development</w:t>
      </w:r>
      <w:r w:rsidRPr="00844B08">
        <w:rPr>
          <w:rFonts w:ascii="Calibri" w:hAnsi="Calibri" w:cs="Times New Roman"/>
          <w:noProof/>
          <w:sz w:val="24"/>
          <w:szCs w:val="24"/>
        </w:rPr>
        <w:t xml:space="preserve">, </w:t>
      </w:r>
      <w:r w:rsidRPr="00844B08">
        <w:rPr>
          <w:rFonts w:ascii="Calibri" w:hAnsi="Calibri" w:cs="Times New Roman"/>
          <w:i/>
          <w:iCs/>
          <w:noProof/>
          <w:sz w:val="24"/>
          <w:szCs w:val="24"/>
        </w:rPr>
        <w:t>41</w:t>
      </w:r>
      <w:r w:rsidRPr="00844B08">
        <w:rPr>
          <w:rFonts w:ascii="Calibri" w:hAnsi="Calibri" w:cs="Times New Roman"/>
          <w:noProof/>
          <w:sz w:val="24"/>
          <w:szCs w:val="24"/>
        </w:rPr>
        <w:t>(1), 243–252. http://doi.org/10.2307/1127403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Steer, R. A., Cavalieri, T. A., Leonard, D. M., &amp; Beck, A. T. (1999). Use of the beck depression inventory for primary care to screen for major depression disorders. </w:t>
      </w:r>
      <w:r w:rsidRPr="00844B08">
        <w:rPr>
          <w:rFonts w:ascii="Calibri" w:hAnsi="Calibri" w:cs="Times New Roman"/>
          <w:i/>
          <w:iCs/>
          <w:noProof/>
          <w:sz w:val="24"/>
          <w:szCs w:val="24"/>
        </w:rPr>
        <w:t>General Hospital Psychiatry</w:t>
      </w:r>
      <w:r w:rsidRPr="00844B08">
        <w:rPr>
          <w:rFonts w:ascii="Calibri" w:hAnsi="Calibri" w:cs="Times New Roman"/>
          <w:noProof/>
          <w:sz w:val="24"/>
          <w:szCs w:val="24"/>
        </w:rPr>
        <w:t xml:space="preserve">, </w:t>
      </w:r>
      <w:r w:rsidRPr="00844B08">
        <w:rPr>
          <w:rFonts w:ascii="Calibri" w:hAnsi="Calibri" w:cs="Times New Roman"/>
          <w:i/>
          <w:iCs/>
          <w:noProof/>
          <w:sz w:val="24"/>
          <w:szCs w:val="24"/>
        </w:rPr>
        <w:t>21</w:t>
      </w:r>
      <w:r w:rsidRPr="00844B08">
        <w:rPr>
          <w:rFonts w:ascii="Calibri" w:hAnsi="Calibri" w:cs="Times New Roman"/>
          <w:noProof/>
          <w:sz w:val="24"/>
          <w:szCs w:val="24"/>
        </w:rPr>
        <w:t>(2), 106–111. http://doi.org/10.1016/S0163-8343(98)00070-X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Storbeck, J., &amp; Clore, G. L. (2008). The Affective Regulation of Cognitive Priming. </w:t>
      </w:r>
      <w:r w:rsidRPr="00844B08">
        <w:rPr>
          <w:rFonts w:ascii="Calibri" w:hAnsi="Calibri" w:cs="Times New Roman"/>
          <w:i/>
          <w:iCs/>
          <w:noProof/>
          <w:sz w:val="24"/>
          <w:szCs w:val="24"/>
        </w:rPr>
        <w:t>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8</w:t>
      </w:r>
      <w:r w:rsidRPr="00844B08">
        <w:rPr>
          <w:rFonts w:ascii="Calibri" w:hAnsi="Calibri" w:cs="Times New Roman"/>
          <w:noProof/>
          <w:sz w:val="24"/>
          <w:szCs w:val="24"/>
        </w:rPr>
        <w:t>(2), 208–215.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Strack, F., &amp; Deutsch, R. (2004). Reflective and impulsive determinants of social behavior. </w:t>
      </w:r>
      <w:r w:rsidRPr="00844B08">
        <w:rPr>
          <w:rFonts w:ascii="Calibri" w:hAnsi="Calibri" w:cs="Times New Roman"/>
          <w:i/>
          <w:iCs/>
          <w:noProof/>
          <w:sz w:val="24"/>
          <w:szCs w:val="24"/>
        </w:rPr>
        <w:t>Personality and Social Psychology Review : An Official Journal of the Society for Personality and Social Psychology, Inc</w:t>
      </w:r>
      <w:r w:rsidRPr="00844B08">
        <w:rPr>
          <w:rFonts w:ascii="Calibri" w:hAnsi="Calibri" w:cs="Times New Roman"/>
          <w:noProof/>
          <w:sz w:val="24"/>
          <w:szCs w:val="24"/>
        </w:rPr>
        <w:t xml:space="preserve">, </w:t>
      </w:r>
      <w:r w:rsidRPr="00844B08">
        <w:rPr>
          <w:rFonts w:ascii="Calibri" w:hAnsi="Calibri" w:cs="Times New Roman"/>
          <w:i/>
          <w:iCs/>
          <w:noProof/>
          <w:sz w:val="24"/>
          <w:szCs w:val="24"/>
        </w:rPr>
        <w:t>8</w:t>
      </w:r>
      <w:r w:rsidRPr="00844B08">
        <w:rPr>
          <w:rFonts w:ascii="Calibri" w:hAnsi="Calibri" w:cs="Times New Roman"/>
          <w:noProof/>
          <w:sz w:val="24"/>
          <w:szCs w:val="24"/>
        </w:rPr>
        <w:t>(3), 220–247. http://doi.org/10.1207/s15327957pspr0803_1</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Stroop, J. R. (1935). Studies of interference in serial verbal reactions. </w:t>
      </w:r>
      <w:r w:rsidRPr="00844B08">
        <w:rPr>
          <w:rFonts w:ascii="Calibri" w:hAnsi="Calibri" w:cs="Times New Roman"/>
          <w:i/>
          <w:iCs/>
          <w:noProof/>
          <w:sz w:val="24"/>
          <w:szCs w:val="24"/>
        </w:rPr>
        <w:t>Journal of Experimental P1sychology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18</w:t>
      </w:r>
      <w:r w:rsidRPr="00844B08">
        <w:rPr>
          <w:rFonts w:ascii="Calibri" w:hAnsi="Calibri" w:cs="Times New Roman"/>
          <w:noProof/>
          <w:sz w:val="24"/>
          <w:szCs w:val="24"/>
        </w:rPr>
        <w:t>(6), 643–662.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Talarico, J. M., &amp; Rubin, D. C. (2009). </w:t>
      </w:r>
      <w:r w:rsidRPr="00844B08">
        <w:rPr>
          <w:rFonts w:ascii="Calibri" w:hAnsi="Calibri" w:cs="Times New Roman"/>
          <w:i/>
          <w:iCs/>
          <w:noProof/>
          <w:sz w:val="24"/>
          <w:szCs w:val="24"/>
        </w:rPr>
        <w:t>Flashbulb memories result from ordinary memory processes and extraordinary event characteristics</w:t>
      </w:r>
      <w:r w:rsidRPr="00844B08">
        <w:rPr>
          <w:rFonts w:ascii="Calibri" w:hAnsi="Calibri" w:cs="Times New Roman"/>
          <w:noProof/>
          <w:sz w:val="24"/>
          <w:szCs w:val="24"/>
        </w:rPr>
        <w:t xml:space="preserve">. </w:t>
      </w:r>
      <w:r w:rsidRPr="00844B08">
        <w:rPr>
          <w:rFonts w:ascii="Calibri" w:hAnsi="Calibri" w:cs="Times New Roman"/>
          <w:i/>
          <w:iCs/>
          <w:noProof/>
          <w:sz w:val="24"/>
          <w:szCs w:val="24"/>
        </w:rPr>
        <w:t>Flashbulb Memories: New Issues and New Perspectives</w:t>
      </w:r>
      <w:r w:rsidRPr="00844B08">
        <w:rPr>
          <w:rFonts w:ascii="Calibri" w:hAnsi="Calibri" w:cs="Times New Roman"/>
          <w:noProof/>
          <w:sz w:val="24"/>
          <w:szCs w:val="24"/>
        </w:rPr>
        <w:t>. http://doi.org/10.4324/9780203889930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lastRenderedPageBreak/>
        <w:t xml:space="preserve">Tamir, M. (2009). What do people want to feel and why?: Pleasure and utility in emotion regulation. </w:t>
      </w:r>
      <w:r w:rsidRPr="00844B08">
        <w:rPr>
          <w:rFonts w:ascii="Calibri" w:hAnsi="Calibri" w:cs="Times New Roman"/>
          <w:i/>
          <w:iCs/>
          <w:noProof/>
          <w:sz w:val="24"/>
          <w:szCs w:val="24"/>
        </w:rPr>
        <w:t>Current Directions in Psychological Science</w:t>
      </w:r>
      <w:r w:rsidRPr="00844B08">
        <w:rPr>
          <w:rFonts w:ascii="Calibri" w:hAnsi="Calibri" w:cs="Times New Roman"/>
          <w:noProof/>
          <w:sz w:val="24"/>
          <w:szCs w:val="24"/>
        </w:rPr>
        <w:t>. http://doi.org/10.1111/j.1467-8721.2009.01617.x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Tamir, M., &amp; Ford, B. Q. (2012). Should people pursue feelings that feel good or feelings that do good? Emotional preferences and well-being. </w:t>
      </w:r>
      <w:r w:rsidRPr="00844B08">
        <w:rPr>
          <w:rFonts w:ascii="Calibri" w:hAnsi="Calibri" w:cs="Times New Roman"/>
          <w:i/>
          <w:iCs/>
          <w:noProof/>
          <w:sz w:val="24"/>
          <w:szCs w:val="24"/>
        </w:rPr>
        <w:t>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12</w:t>
      </w:r>
      <w:r w:rsidRPr="00844B08">
        <w:rPr>
          <w:rFonts w:ascii="Calibri" w:hAnsi="Calibri" w:cs="Times New Roman"/>
          <w:noProof/>
          <w:sz w:val="24"/>
          <w:szCs w:val="24"/>
        </w:rPr>
        <w:t>(5), 1061–1070. http://doi.org/10.1037/a0027223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Tamir, M., Ford, B. Q., &amp; Ryan, E. (2013). Nonconscious goals can shape what people want to feel. </w:t>
      </w:r>
      <w:r w:rsidRPr="00844B08">
        <w:rPr>
          <w:rFonts w:ascii="Calibri" w:hAnsi="Calibri" w:cs="Times New Roman"/>
          <w:i/>
          <w:iCs/>
          <w:noProof/>
          <w:sz w:val="24"/>
          <w:szCs w:val="24"/>
        </w:rPr>
        <w:t>Journal of Experimental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49</w:t>
      </w:r>
      <w:r w:rsidRPr="00844B08">
        <w:rPr>
          <w:rFonts w:ascii="Calibri" w:hAnsi="Calibri" w:cs="Times New Roman"/>
          <w:noProof/>
          <w:sz w:val="24"/>
          <w:szCs w:val="24"/>
        </w:rPr>
        <w:t>(2), 292–297. http://doi.org/10.1016/j.jesp.2012.11.009</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Tangney, J. P., Baumeister, R. F., &amp; Boone, A. L. (2004). High self-control predicts good adjustment, less pathology, better grades, and interpersonal success. </w:t>
      </w:r>
      <w:r w:rsidRPr="00844B08">
        <w:rPr>
          <w:rFonts w:ascii="Calibri" w:hAnsi="Calibri" w:cs="Times New Roman"/>
          <w:i/>
          <w:iCs/>
          <w:noProof/>
          <w:sz w:val="24"/>
          <w:szCs w:val="24"/>
        </w:rPr>
        <w:t>Journal of Personality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72</w:t>
      </w:r>
      <w:r w:rsidRPr="00844B08">
        <w:rPr>
          <w:rFonts w:ascii="Calibri" w:hAnsi="Calibri" w:cs="Times New Roman"/>
          <w:noProof/>
          <w:sz w:val="24"/>
          <w:szCs w:val="24"/>
        </w:rPr>
        <w:t>(2), 271–324. http://doi.org/10.1111/j.0022-3506.2004.00263.x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Thoits, P. A. (1996). Managing the Emotions of Others. </w:t>
      </w:r>
      <w:r w:rsidRPr="00844B08">
        <w:rPr>
          <w:rFonts w:ascii="Calibri" w:hAnsi="Calibri" w:cs="Times New Roman"/>
          <w:i/>
          <w:iCs/>
          <w:noProof/>
          <w:sz w:val="24"/>
          <w:szCs w:val="24"/>
        </w:rPr>
        <w:t>Symbolic Interaction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19</w:t>
      </w:r>
      <w:r w:rsidRPr="00844B08">
        <w:rPr>
          <w:rFonts w:ascii="Calibri" w:hAnsi="Calibri" w:cs="Times New Roman"/>
          <w:noProof/>
          <w:sz w:val="24"/>
          <w:szCs w:val="24"/>
        </w:rPr>
        <w:t>(2), 85–109. http://doi.org/10.1525/si.1996.19.2.85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Thompson, R. A. (1994). Emotion Regulation: A Theme in Search of Definition. </w:t>
      </w:r>
      <w:r w:rsidRPr="00844B08">
        <w:rPr>
          <w:rFonts w:ascii="Calibri" w:hAnsi="Calibri" w:cs="Times New Roman"/>
          <w:i/>
          <w:iCs/>
          <w:noProof/>
          <w:sz w:val="24"/>
          <w:szCs w:val="24"/>
        </w:rPr>
        <w:t>Monographs of the Society for Research in Child Development</w:t>
      </w:r>
      <w:r w:rsidRPr="00844B08">
        <w:rPr>
          <w:rFonts w:ascii="Calibri" w:hAnsi="Calibri" w:cs="Times New Roman"/>
          <w:noProof/>
          <w:sz w:val="24"/>
          <w:szCs w:val="24"/>
        </w:rPr>
        <w:t xml:space="preserve">, </w:t>
      </w:r>
      <w:r w:rsidRPr="00844B08">
        <w:rPr>
          <w:rFonts w:ascii="Calibri" w:hAnsi="Calibri" w:cs="Times New Roman"/>
          <w:i/>
          <w:iCs/>
          <w:noProof/>
          <w:sz w:val="24"/>
          <w:szCs w:val="24"/>
        </w:rPr>
        <w:t>59</w:t>
      </w:r>
      <w:r w:rsidRPr="00844B08">
        <w:rPr>
          <w:rFonts w:ascii="Calibri" w:hAnsi="Calibri" w:cs="Times New Roman"/>
          <w:noProof/>
          <w:sz w:val="24"/>
          <w:szCs w:val="24"/>
        </w:rPr>
        <w:t>(2–3), 25–52. http://doi.org/10.1111/j.1540-5834.1994.tb01276.x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Tice, D. M., &amp; Bratslavsky, E. (2000). Giving in to Feel Good: The Place of Emotion Regulation in the Context of General Self-Control. </w:t>
      </w:r>
      <w:r w:rsidRPr="00844B08">
        <w:rPr>
          <w:rFonts w:ascii="Calibri" w:hAnsi="Calibri" w:cs="Times New Roman"/>
          <w:i/>
          <w:iCs/>
          <w:noProof/>
          <w:sz w:val="24"/>
          <w:szCs w:val="24"/>
        </w:rPr>
        <w:t>Psychological Inquiry</w:t>
      </w:r>
      <w:r w:rsidRPr="00844B08">
        <w:rPr>
          <w:rFonts w:ascii="Calibri" w:hAnsi="Calibri" w:cs="Times New Roman"/>
          <w:noProof/>
          <w:sz w:val="24"/>
          <w:szCs w:val="24"/>
        </w:rPr>
        <w:t xml:space="preserve">, </w:t>
      </w:r>
      <w:r w:rsidRPr="00844B08">
        <w:rPr>
          <w:rFonts w:ascii="Calibri" w:hAnsi="Calibri" w:cs="Times New Roman"/>
          <w:i/>
          <w:iCs/>
          <w:noProof/>
          <w:sz w:val="24"/>
          <w:szCs w:val="24"/>
        </w:rPr>
        <w:t>11</w:t>
      </w:r>
      <w:r w:rsidRPr="00844B08">
        <w:rPr>
          <w:rFonts w:ascii="Calibri" w:hAnsi="Calibri" w:cs="Times New Roman"/>
          <w:noProof/>
          <w:sz w:val="24"/>
          <w:szCs w:val="24"/>
        </w:rPr>
        <w:t>(3), 149–159. http://doi.org/10.1207/S15327965PLI1103_03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Tice, D. M., Bratslavsky, E., &amp; Baumeister, R. F. (2001). Emotional distress regulation </w:t>
      </w:r>
      <w:r w:rsidRPr="00844B08">
        <w:rPr>
          <w:rFonts w:ascii="Calibri" w:hAnsi="Calibri" w:cs="Times New Roman"/>
          <w:noProof/>
          <w:sz w:val="24"/>
          <w:szCs w:val="24"/>
        </w:rPr>
        <w:lastRenderedPageBreak/>
        <w:t xml:space="preserve">takes precedence over impulse control: if you feel bad, do it!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80</w:t>
      </w:r>
      <w:r w:rsidRPr="00844B08">
        <w:rPr>
          <w:rFonts w:ascii="Calibri" w:hAnsi="Calibri" w:cs="Times New Roman"/>
          <w:noProof/>
          <w:sz w:val="24"/>
          <w:szCs w:val="24"/>
        </w:rPr>
        <w:t>(1), 53–67.</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Totterdell, P., Hershcovis, M. S., Niven, K., Reich, T. C., &amp; Stride, C. (2012). Can employees be emotionally drained by witnessing unpleasant interactions between coworkers? A diary study of induced emotion regulation. </w:t>
      </w:r>
      <w:r w:rsidRPr="00844B08">
        <w:rPr>
          <w:rFonts w:ascii="Calibri" w:hAnsi="Calibri" w:cs="Times New Roman"/>
          <w:i/>
          <w:iCs/>
          <w:noProof/>
          <w:sz w:val="24"/>
          <w:szCs w:val="24"/>
        </w:rPr>
        <w:t>Work &amp; Stress</w:t>
      </w:r>
      <w:r w:rsidRPr="00844B08">
        <w:rPr>
          <w:rFonts w:ascii="Calibri" w:hAnsi="Calibri" w:cs="Times New Roman"/>
          <w:noProof/>
          <w:sz w:val="24"/>
          <w:szCs w:val="24"/>
        </w:rPr>
        <w:t xml:space="preserve">, </w:t>
      </w:r>
      <w:r w:rsidRPr="00844B08">
        <w:rPr>
          <w:rFonts w:ascii="Calibri" w:hAnsi="Calibri" w:cs="Times New Roman"/>
          <w:i/>
          <w:iCs/>
          <w:noProof/>
          <w:sz w:val="24"/>
          <w:szCs w:val="24"/>
        </w:rPr>
        <w:t>26</w:t>
      </w:r>
      <w:r w:rsidRPr="00844B08">
        <w:rPr>
          <w:rFonts w:ascii="Calibri" w:hAnsi="Calibri" w:cs="Times New Roman"/>
          <w:noProof/>
          <w:sz w:val="24"/>
          <w:szCs w:val="24"/>
        </w:rPr>
        <w:t>(2), 112–129. http://doi.org/10.1080/02678373.2012.681153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Urry, H. L. (2010). Seeing, thinking, and feeling: emotion-regulating effects of gaze-directed cognitive reappraisal. </w:t>
      </w:r>
      <w:r w:rsidRPr="00844B08">
        <w:rPr>
          <w:rFonts w:ascii="Calibri" w:hAnsi="Calibri" w:cs="Times New Roman"/>
          <w:i/>
          <w:iCs/>
          <w:noProof/>
          <w:sz w:val="24"/>
          <w:szCs w:val="24"/>
        </w:rPr>
        <w:t>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10</w:t>
      </w:r>
      <w:r w:rsidRPr="00844B08">
        <w:rPr>
          <w:rFonts w:ascii="Calibri" w:hAnsi="Calibri" w:cs="Times New Roman"/>
          <w:noProof/>
          <w:sz w:val="24"/>
          <w:szCs w:val="24"/>
        </w:rPr>
        <w:t>(1), 125–35. http://doi.org/10.1037/a0017434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van Bree, R. J. H., van Stralen, M. M., Mudde, A. N., Bolman, C., de Vries, H., &amp; Lechner, L. (2015). Habit as mediator of the relationship between prior and later physical activity: A longitudinal study in older adults. </w:t>
      </w:r>
      <w:r w:rsidRPr="00844B08">
        <w:rPr>
          <w:rFonts w:ascii="Calibri" w:hAnsi="Calibri" w:cs="Times New Roman"/>
          <w:i/>
          <w:iCs/>
          <w:noProof/>
          <w:sz w:val="24"/>
          <w:szCs w:val="24"/>
        </w:rPr>
        <w:t>Psychology of Sport and Exercise</w:t>
      </w:r>
      <w:r w:rsidRPr="00844B08">
        <w:rPr>
          <w:rFonts w:ascii="Calibri" w:hAnsi="Calibri" w:cs="Times New Roman"/>
          <w:noProof/>
          <w:sz w:val="24"/>
          <w:szCs w:val="24"/>
        </w:rPr>
        <w:t xml:space="preserve">, </w:t>
      </w:r>
      <w:r w:rsidRPr="00844B08">
        <w:rPr>
          <w:rFonts w:ascii="Calibri" w:hAnsi="Calibri" w:cs="Times New Roman"/>
          <w:i/>
          <w:iCs/>
          <w:noProof/>
          <w:sz w:val="24"/>
          <w:szCs w:val="24"/>
        </w:rPr>
        <w:t>19</w:t>
      </w:r>
      <w:r w:rsidRPr="00844B08">
        <w:rPr>
          <w:rFonts w:ascii="Calibri" w:hAnsi="Calibri" w:cs="Times New Roman"/>
          <w:noProof/>
          <w:sz w:val="24"/>
          <w:szCs w:val="24"/>
        </w:rPr>
        <w:t>, 95–102. http://doi.org/10.1016/j.psychsport.2015.03.006</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Vangelisti, A. L., Daly, J. A., &amp; Rudnick, J. (1991). </w:t>
      </w:r>
      <w:r w:rsidRPr="00844B08">
        <w:rPr>
          <w:rFonts w:ascii="Calibri" w:hAnsi="Calibri" w:cs="Times New Roman"/>
          <w:noProof/>
          <w:sz w:val="24"/>
          <w:szCs w:val="24"/>
        </w:rPr>
        <w:t xml:space="preserve">Making people feel guilty in conversations. </w:t>
      </w:r>
      <w:r w:rsidRPr="00844B08">
        <w:rPr>
          <w:rFonts w:ascii="Calibri" w:hAnsi="Calibri" w:cs="Times New Roman"/>
          <w:i/>
          <w:iCs/>
          <w:noProof/>
          <w:sz w:val="24"/>
          <w:szCs w:val="24"/>
        </w:rPr>
        <w:t>Human Communication Research</w:t>
      </w:r>
      <w:r w:rsidRPr="00844B08">
        <w:rPr>
          <w:rFonts w:ascii="Calibri" w:hAnsi="Calibri" w:cs="Times New Roman"/>
          <w:noProof/>
          <w:sz w:val="24"/>
          <w:szCs w:val="24"/>
        </w:rPr>
        <w:t xml:space="preserve">, </w:t>
      </w:r>
      <w:r w:rsidRPr="00844B08">
        <w:rPr>
          <w:rFonts w:ascii="Calibri" w:hAnsi="Calibri" w:cs="Times New Roman"/>
          <w:i/>
          <w:iCs/>
          <w:noProof/>
          <w:sz w:val="24"/>
          <w:szCs w:val="24"/>
        </w:rPr>
        <w:t>18</w:t>
      </w:r>
      <w:r w:rsidRPr="00844B08">
        <w:rPr>
          <w:rFonts w:ascii="Calibri" w:hAnsi="Calibri" w:cs="Times New Roman"/>
          <w:noProof/>
          <w:sz w:val="24"/>
          <w:szCs w:val="24"/>
        </w:rPr>
        <w:t>(1), 3–39. http://doi.org/10.1111/j.1468-2958.1991.tb00527.x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Verplanken, B. (2006). Beyond frequency: Habit as mental construct. </w:t>
      </w:r>
      <w:r w:rsidRPr="00844B08">
        <w:rPr>
          <w:rFonts w:ascii="Calibri" w:hAnsi="Calibri" w:cs="Times New Roman"/>
          <w:i/>
          <w:iCs/>
          <w:noProof/>
          <w:sz w:val="24"/>
          <w:szCs w:val="24"/>
        </w:rPr>
        <w:t>British Journal of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45</w:t>
      </w:r>
      <w:r w:rsidRPr="00844B08">
        <w:rPr>
          <w:rFonts w:ascii="Calibri" w:hAnsi="Calibri" w:cs="Times New Roman"/>
          <w:noProof/>
          <w:sz w:val="24"/>
          <w:szCs w:val="24"/>
        </w:rPr>
        <w:t>(3), 639–656. http://doi.org/10.1348/014466605X49122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Verplanken, B., Friborg, O., Wang, C. E., Trafimow, D., &amp; Woolf, K. (2007). Mental habits: metacognitive reflection on negative self-thinking.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92</w:t>
      </w:r>
      <w:r w:rsidRPr="00844B08">
        <w:rPr>
          <w:rFonts w:ascii="Calibri" w:hAnsi="Calibri" w:cs="Times New Roman"/>
          <w:noProof/>
          <w:sz w:val="24"/>
          <w:szCs w:val="24"/>
        </w:rPr>
        <w:t>(APRIL 2007), 526–541. http://doi.org/10.1037/0022-3514.92.3.526</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lastRenderedPageBreak/>
        <w:t xml:space="preserve">Verplanken, B., &amp; Melkevik, O. (2008). Predicting habit: The case of physical exercise. </w:t>
      </w:r>
      <w:r w:rsidRPr="00844B08">
        <w:rPr>
          <w:rFonts w:ascii="Calibri" w:hAnsi="Calibri" w:cs="Times New Roman"/>
          <w:i/>
          <w:iCs/>
          <w:noProof/>
          <w:sz w:val="24"/>
          <w:szCs w:val="24"/>
        </w:rPr>
        <w:t>Psychology of Sport and Exercise</w:t>
      </w:r>
      <w:r w:rsidRPr="00844B08">
        <w:rPr>
          <w:rFonts w:ascii="Calibri" w:hAnsi="Calibri" w:cs="Times New Roman"/>
          <w:noProof/>
          <w:sz w:val="24"/>
          <w:szCs w:val="24"/>
        </w:rPr>
        <w:t xml:space="preserve">, </w:t>
      </w:r>
      <w:r w:rsidRPr="00844B08">
        <w:rPr>
          <w:rFonts w:ascii="Calibri" w:hAnsi="Calibri" w:cs="Times New Roman"/>
          <w:i/>
          <w:iCs/>
          <w:noProof/>
          <w:sz w:val="24"/>
          <w:szCs w:val="24"/>
        </w:rPr>
        <w:t>9</w:t>
      </w:r>
      <w:r w:rsidRPr="00844B08">
        <w:rPr>
          <w:rFonts w:ascii="Calibri" w:hAnsi="Calibri" w:cs="Times New Roman"/>
          <w:noProof/>
          <w:sz w:val="24"/>
          <w:szCs w:val="24"/>
        </w:rPr>
        <w:t>(1), 15–26. http://doi.org/10.1016/j.psychsport.2007.01.002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Verplanken, B., Myrbakk, V., &amp; Rudi, E. (2005). </w:t>
      </w:r>
      <w:r w:rsidRPr="00844B08">
        <w:rPr>
          <w:rFonts w:ascii="Calibri" w:hAnsi="Calibri" w:cs="Times New Roman"/>
          <w:noProof/>
          <w:sz w:val="24"/>
          <w:szCs w:val="24"/>
        </w:rPr>
        <w:t xml:space="preserve">The Measurement of Habit. In </w:t>
      </w:r>
      <w:r w:rsidRPr="00844B08">
        <w:rPr>
          <w:rFonts w:ascii="Calibri" w:hAnsi="Calibri" w:cs="Times New Roman"/>
          <w:i/>
          <w:iCs/>
          <w:noProof/>
          <w:sz w:val="24"/>
          <w:szCs w:val="24"/>
        </w:rPr>
        <w:t>The routines of decision making</w:t>
      </w:r>
      <w:r w:rsidRPr="00844B08">
        <w:rPr>
          <w:rFonts w:ascii="Calibri" w:hAnsi="Calibri" w:cs="Times New Roman"/>
          <w:noProof/>
          <w:sz w:val="24"/>
          <w:szCs w:val="24"/>
        </w:rPr>
        <w:t xml:space="preserve"> (pp. 231–247). http://doi.org/10.4324/9781410611826</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Verplanken, B., &amp; Orbell, S. (2003). Reflections on past behavior: A self-report index of habit strength. </w:t>
      </w:r>
      <w:r w:rsidRPr="00844B08">
        <w:rPr>
          <w:rFonts w:ascii="Calibri" w:hAnsi="Calibri" w:cs="Times New Roman"/>
          <w:i/>
          <w:iCs/>
          <w:noProof/>
          <w:sz w:val="24"/>
          <w:szCs w:val="24"/>
        </w:rPr>
        <w:t>Journal of Applied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33</w:t>
      </w:r>
      <w:r w:rsidRPr="00844B08">
        <w:rPr>
          <w:rFonts w:ascii="Calibri" w:hAnsi="Calibri" w:cs="Times New Roman"/>
          <w:noProof/>
          <w:sz w:val="24"/>
          <w:szCs w:val="24"/>
        </w:rPr>
        <w:t>(1313), 1313–1330. http://doi.org/10.1111/j.1559-1816.2003.tb01951.x</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Vohs, K. D., Baumeister, R. F., Ramanthan, S., Mead, N. L., Schmeichel, B. J., &amp; Hofmann, W. (2014). </w:t>
      </w:r>
      <w:r w:rsidRPr="00844B08">
        <w:rPr>
          <w:rFonts w:ascii="Calibri" w:hAnsi="Calibri" w:cs="Times New Roman"/>
          <w:noProof/>
          <w:sz w:val="24"/>
          <w:szCs w:val="24"/>
        </w:rPr>
        <w:t xml:space="preserve">Depletion enhances urges and feelings. </w:t>
      </w:r>
      <w:r w:rsidRPr="00844B08">
        <w:rPr>
          <w:rFonts w:ascii="Calibri" w:hAnsi="Calibri" w:cs="Times New Roman"/>
          <w:i/>
          <w:iCs/>
          <w:noProof/>
          <w:sz w:val="24"/>
          <w:szCs w:val="24"/>
        </w:rPr>
        <w:t>Unpublished Manuscript</w:t>
      </w:r>
      <w:r w:rsidRPr="00844B08">
        <w:rPr>
          <w:rFonts w:ascii="Calibri" w:hAnsi="Calibri" w:cs="Times New Roman"/>
          <w:noProof/>
          <w:sz w:val="24"/>
          <w:szCs w:val="24"/>
        </w:rPr>
        <w:t>.</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Vohs, K. D., &amp; Faber, R. J. (2007). Spent resources: Self‐regulatory resource availability affects impulse buying. </w:t>
      </w:r>
      <w:r w:rsidRPr="00844B08">
        <w:rPr>
          <w:rFonts w:ascii="Calibri" w:hAnsi="Calibri" w:cs="Times New Roman"/>
          <w:i/>
          <w:iCs/>
          <w:noProof/>
          <w:sz w:val="24"/>
          <w:szCs w:val="24"/>
        </w:rPr>
        <w:t>Journal of Consumer Research</w:t>
      </w:r>
      <w:r w:rsidRPr="00844B08">
        <w:rPr>
          <w:rFonts w:ascii="Calibri" w:hAnsi="Calibri" w:cs="Times New Roman"/>
          <w:noProof/>
          <w:sz w:val="24"/>
          <w:szCs w:val="24"/>
        </w:rPr>
        <w:t xml:space="preserve">, </w:t>
      </w:r>
      <w:r w:rsidRPr="00844B08">
        <w:rPr>
          <w:rFonts w:ascii="Calibri" w:hAnsi="Calibri" w:cs="Times New Roman"/>
          <w:i/>
          <w:iCs/>
          <w:noProof/>
          <w:sz w:val="24"/>
          <w:szCs w:val="24"/>
        </w:rPr>
        <w:t>33</w:t>
      </w:r>
      <w:r w:rsidRPr="00844B08">
        <w:rPr>
          <w:rFonts w:ascii="Calibri" w:hAnsi="Calibri" w:cs="Times New Roman"/>
          <w:noProof/>
          <w:sz w:val="24"/>
          <w:szCs w:val="24"/>
        </w:rPr>
        <w:t>(4), 537–547. http://doi.org/10.1086/510228</w:t>
      </w:r>
    </w:p>
    <w:p w:rsidR="00844B08" w:rsidRPr="00A41BE2" w:rsidRDefault="00844B08" w:rsidP="00844B08">
      <w:pPr>
        <w:widowControl w:val="0"/>
        <w:autoSpaceDE w:val="0"/>
        <w:autoSpaceDN w:val="0"/>
        <w:adjustRightInd w:val="0"/>
        <w:spacing w:line="480" w:lineRule="auto"/>
        <w:ind w:left="480" w:hanging="480"/>
        <w:rPr>
          <w:rFonts w:ascii="Calibri" w:hAnsi="Calibri" w:cs="Times New Roman"/>
          <w:noProof/>
          <w:sz w:val="24"/>
          <w:szCs w:val="24"/>
          <w:lang w:val="fr-FR"/>
        </w:rPr>
      </w:pPr>
      <w:r w:rsidRPr="00844B08">
        <w:rPr>
          <w:rFonts w:ascii="Calibri" w:hAnsi="Calibri" w:cs="Times New Roman"/>
          <w:noProof/>
          <w:sz w:val="24"/>
          <w:szCs w:val="24"/>
        </w:rPr>
        <w:t xml:space="preserve">Vohs, K. D., &amp; Heatherton, T. F. (2000). Self-Regulatory Failure: A Resource-Depletion Approach. </w:t>
      </w:r>
      <w:r w:rsidRPr="00A41BE2">
        <w:rPr>
          <w:rFonts w:ascii="Calibri" w:hAnsi="Calibri" w:cs="Times New Roman"/>
          <w:i/>
          <w:iCs/>
          <w:noProof/>
          <w:sz w:val="24"/>
          <w:szCs w:val="24"/>
          <w:lang w:val="fr-FR"/>
        </w:rPr>
        <w:t>Psychological Science</w:t>
      </w:r>
      <w:r w:rsidRPr="00A41BE2">
        <w:rPr>
          <w:rFonts w:ascii="Calibri" w:hAnsi="Calibri" w:cs="Times New Roman"/>
          <w:noProof/>
          <w:sz w:val="24"/>
          <w:szCs w:val="24"/>
          <w:lang w:val="fr-FR"/>
        </w:rPr>
        <w:t xml:space="preserve">, </w:t>
      </w:r>
      <w:r w:rsidRPr="00A41BE2">
        <w:rPr>
          <w:rFonts w:ascii="Calibri" w:hAnsi="Calibri" w:cs="Times New Roman"/>
          <w:i/>
          <w:iCs/>
          <w:noProof/>
          <w:sz w:val="24"/>
          <w:szCs w:val="24"/>
          <w:lang w:val="fr-FR"/>
        </w:rPr>
        <w:t>11</w:t>
      </w:r>
      <w:r w:rsidRPr="00A41BE2">
        <w:rPr>
          <w:rFonts w:ascii="Calibri" w:hAnsi="Calibri" w:cs="Times New Roman"/>
          <w:noProof/>
          <w:sz w:val="24"/>
          <w:szCs w:val="24"/>
          <w:lang w:val="fr-FR"/>
        </w:rPr>
        <w:t>(3), 249–254. http://doi.org/10.1111/1467-9280.00250</w:t>
      </w:r>
    </w:p>
    <w:p w:rsidR="00844B08" w:rsidRPr="00A41BE2" w:rsidRDefault="00844B08" w:rsidP="00844B08">
      <w:pPr>
        <w:widowControl w:val="0"/>
        <w:autoSpaceDE w:val="0"/>
        <w:autoSpaceDN w:val="0"/>
        <w:adjustRightInd w:val="0"/>
        <w:spacing w:line="480" w:lineRule="auto"/>
        <w:ind w:left="480" w:hanging="480"/>
        <w:rPr>
          <w:rFonts w:ascii="Calibri" w:hAnsi="Calibri" w:cs="Times New Roman"/>
          <w:noProof/>
          <w:sz w:val="24"/>
          <w:szCs w:val="24"/>
          <w:lang w:val="fr-FR"/>
        </w:rPr>
      </w:pPr>
      <w:r w:rsidRPr="00A41BE2">
        <w:rPr>
          <w:rFonts w:ascii="Calibri" w:hAnsi="Calibri" w:cs="Times New Roman"/>
          <w:noProof/>
          <w:sz w:val="24"/>
          <w:szCs w:val="24"/>
          <w:lang w:val="fr-FR"/>
        </w:rPr>
        <w:t xml:space="preserve">Vohs, K. D., Sengupta, J., &amp; Dahl, D. W. (2014). </w:t>
      </w:r>
      <w:r w:rsidRPr="00844B08">
        <w:rPr>
          <w:rFonts w:ascii="Calibri" w:hAnsi="Calibri" w:cs="Times New Roman"/>
          <w:noProof/>
          <w:sz w:val="24"/>
          <w:szCs w:val="24"/>
        </w:rPr>
        <w:t xml:space="preserve">The Price Had Better Be Right: Women’s Reactions to Sexual Stimuli Vary With Market Factors. </w:t>
      </w:r>
      <w:r w:rsidRPr="00A41BE2">
        <w:rPr>
          <w:rFonts w:ascii="Calibri" w:hAnsi="Calibri" w:cs="Times New Roman"/>
          <w:i/>
          <w:iCs/>
          <w:noProof/>
          <w:sz w:val="24"/>
          <w:szCs w:val="24"/>
          <w:lang w:val="fr-FR"/>
        </w:rPr>
        <w:t>Psychological Science</w:t>
      </w:r>
      <w:r w:rsidRPr="00A41BE2">
        <w:rPr>
          <w:rFonts w:ascii="Calibri" w:hAnsi="Calibri" w:cs="Times New Roman"/>
          <w:noProof/>
          <w:sz w:val="24"/>
          <w:szCs w:val="24"/>
          <w:lang w:val="fr-FR"/>
        </w:rPr>
        <w:t xml:space="preserve">, </w:t>
      </w:r>
      <w:r w:rsidRPr="00A41BE2">
        <w:rPr>
          <w:rFonts w:ascii="Calibri" w:hAnsi="Calibri" w:cs="Times New Roman"/>
          <w:i/>
          <w:iCs/>
          <w:noProof/>
          <w:sz w:val="24"/>
          <w:szCs w:val="24"/>
          <w:lang w:val="fr-FR"/>
        </w:rPr>
        <w:t>25</w:t>
      </w:r>
      <w:r w:rsidRPr="00A41BE2">
        <w:rPr>
          <w:rFonts w:ascii="Calibri" w:hAnsi="Calibri" w:cs="Times New Roman"/>
          <w:noProof/>
          <w:sz w:val="24"/>
          <w:szCs w:val="24"/>
          <w:lang w:val="fr-FR"/>
        </w:rPr>
        <w:t>(1), 278–83. http://doi.org/10.1177/0956797613502732</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fr-FR"/>
        </w:rPr>
        <w:t xml:space="preserve">Wang, X. T., &amp; Dvorak, R. D. (2010). </w:t>
      </w:r>
      <w:r w:rsidRPr="00844B08">
        <w:rPr>
          <w:rFonts w:ascii="Calibri" w:hAnsi="Calibri" w:cs="Times New Roman"/>
          <w:noProof/>
          <w:sz w:val="24"/>
          <w:szCs w:val="24"/>
        </w:rPr>
        <w:t xml:space="preserve">Sweet future: Fluctuating blood glucose levels affect future discounting. </w:t>
      </w:r>
      <w:r w:rsidRPr="00844B08">
        <w:rPr>
          <w:rFonts w:ascii="Calibri" w:hAnsi="Calibri" w:cs="Times New Roman"/>
          <w:i/>
          <w:iCs/>
          <w:noProof/>
          <w:sz w:val="24"/>
          <w:szCs w:val="24"/>
        </w:rPr>
        <w:t>Psychological Science</w:t>
      </w:r>
      <w:r w:rsidRPr="00844B08">
        <w:rPr>
          <w:rFonts w:ascii="Calibri" w:hAnsi="Calibri" w:cs="Times New Roman"/>
          <w:noProof/>
          <w:sz w:val="24"/>
          <w:szCs w:val="24"/>
        </w:rPr>
        <w:t xml:space="preserve">, </w:t>
      </w:r>
      <w:r w:rsidRPr="00844B08">
        <w:rPr>
          <w:rFonts w:ascii="Calibri" w:hAnsi="Calibri" w:cs="Times New Roman"/>
          <w:i/>
          <w:iCs/>
          <w:noProof/>
          <w:sz w:val="24"/>
          <w:szCs w:val="24"/>
        </w:rPr>
        <w:t>21</w:t>
      </w:r>
      <w:r w:rsidRPr="00844B08">
        <w:rPr>
          <w:rFonts w:ascii="Calibri" w:hAnsi="Calibri" w:cs="Times New Roman"/>
          <w:noProof/>
          <w:sz w:val="24"/>
          <w:szCs w:val="24"/>
        </w:rPr>
        <w:t xml:space="preserve">(2), 183–188. </w:t>
      </w:r>
      <w:r w:rsidRPr="00844B08">
        <w:rPr>
          <w:rFonts w:ascii="Calibri" w:hAnsi="Calibri" w:cs="Times New Roman"/>
          <w:noProof/>
          <w:sz w:val="24"/>
          <w:szCs w:val="24"/>
        </w:rPr>
        <w:lastRenderedPageBreak/>
        <w:t>http://doi.org/10.1177/0956797609358096</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Ward, A., &amp; Mann, T. (2000). Don’t mind if I do: disinhibited eating under cognitive load. </w:t>
      </w:r>
      <w:r w:rsidRPr="00844B08">
        <w:rPr>
          <w:rFonts w:ascii="Calibri" w:hAnsi="Calibri" w:cs="Times New Roman"/>
          <w:i/>
          <w:iCs/>
          <w:noProof/>
          <w:sz w:val="24"/>
          <w:szCs w:val="24"/>
        </w:rPr>
        <w:t>Journal of Personality and Social Psychology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78</w:t>
      </w:r>
      <w:r w:rsidRPr="00844B08">
        <w:rPr>
          <w:rFonts w:ascii="Calibri" w:hAnsi="Calibri" w:cs="Times New Roman"/>
          <w:noProof/>
          <w:sz w:val="24"/>
          <w:szCs w:val="24"/>
        </w:rPr>
        <w:t>(4), 753–63. http://doi.org/10.1037/0022-3514.78.4.753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Ware, J., Kosinski, M., &amp; Keller, S. (2016). A 12-Item Short-Form Health Survey : Construction of Scales and Preliminary Tests of Reliability and Validity. </w:t>
      </w:r>
      <w:r w:rsidRPr="00844B08">
        <w:rPr>
          <w:rFonts w:ascii="Calibri" w:hAnsi="Calibri" w:cs="Times New Roman"/>
          <w:i/>
          <w:iCs/>
          <w:noProof/>
          <w:sz w:val="24"/>
          <w:szCs w:val="24"/>
        </w:rPr>
        <w:t>Medical Care</w:t>
      </w:r>
      <w:r w:rsidRPr="00844B08">
        <w:rPr>
          <w:rFonts w:ascii="Calibri" w:hAnsi="Calibri" w:cs="Times New Roman"/>
          <w:noProof/>
          <w:sz w:val="24"/>
          <w:szCs w:val="24"/>
        </w:rPr>
        <w:t xml:space="preserve">, </w:t>
      </w:r>
      <w:r w:rsidRPr="00844B08">
        <w:rPr>
          <w:rFonts w:ascii="Calibri" w:hAnsi="Calibri" w:cs="Times New Roman"/>
          <w:i/>
          <w:iCs/>
          <w:noProof/>
          <w:sz w:val="24"/>
          <w:szCs w:val="24"/>
        </w:rPr>
        <w:t>34</w:t>
      </w:r>
      <w:r w:rsidRPr="00844B08">
        <w:rPr>
          <w:rFonts w:ascii="Calibri" w:hAnsi="Calibri" w:cs="Times New Roman"/>
          <w:noProof/>
          <w:sz w:val="24"/>
          <w:szCs w:val="24"/>
        </w:rPr>
        <w:t>(3), 220–233.</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Webb, T. L., Miles, E., &amp; Sheeran, P. (2012). Dealing with feeling: a meta-analysis of the effectiveness of strategies derived from the process model of emotion regulation. </w:t>
      </w:r>
      <w:r w:rsidRPr="00844B08">
        <w:rPr>
          <w:rFonts w:ascii="Calibri" w:hAnsi="Calibri" w:cs="Times New Roman"/>
          <w:i/>
          <w:iCs/>
          <w:noProof/>
          <w:sz w:val="24"/>
          <w:szCs w:val="24"/>
        </w:rPr>
        <w:t>Psychological Bulletin</w:t>
      </w:r>
      <w:r w:rsidRPr="00844B08">
        <w:rPr>
          <w:rFonts w:ascii="Calibri" w:hAnsi="Calibri" w:cs="Times New Roman"/>
          <w:noProof/>
          <w:sz w:val="24"/>
          <w:szCs w:val="24"/>
        </w:rPr>
        <w:t xml:space="preserve">, </w:t>
      </w:r>
      <w:r w:rsidRPr="00844B08">
        <w:rPr>
          <w:rFonts w:ascii="Calibri" w:hAnsi="Calibri" w:cs="Times New Roman"/>
          <w:i/>
          <w:iCs/>
          <w:noProof/>
          <w:sz w:val="24"/>
          <w:szCs w:val="24"/>
        </w:rPr>
        <w:t>138</w:t>
      </w:r>
      <w:r w:rsidRPr="00844B08">
        <w:rPr>
          <w:rFonts w:ascii="Calibri" w:hAnsi="Calibri" w:cs="Times New Roman"/>
          <w:noProof/>
          <w:sz w:val="24"/>
          <w:szCs w:val="24"/>
        </w:rPr>
        <w:t>(4), 775–808. http://doi.org/10.1037/a0027600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Webb, T. L., &amp; Sheeran, P. (2003). Can implementation intentions help to overcome ego-depletion? </w:t>
      </w:r>
      <w:r w:rsidRPr="00844B08">
        <w:rPr>
          <w:rFonts w:ascii="Calibri" w:hAnsi="Calibri" w:cs="Times New Roman"/>
          <w:i/>
          <w:iCs/>
          <w:noProof/>
          <w:sz w:val="24"/>
          <w:szCs w:val="24"/>
        </w:rPr>
        <w:t>Journal of Experimental Social Psychology</w:t>
      </w:r>
      <w:r w:rsidRPr="00844B08">
        <w:rPr>
          <w:rFonts w:ascii="Calibri" w:hAnsi="Calibri" w:cs="Times New Roman"/>
          <w:noProof/>
          <w:sz w:val="24"/>
          <w:szCs w:val="24"/>
        </w:rPr>
        <w:t>. http://doi.org/10.1016/S0022-1031(02)00527-9</w:t>
      </w:r>
    </w:p>
    <w:p w:rsidR="00844B08" w:rsidRPr="00A41BE2" w:rsidRDefault="00844B08" w:rsidP="00844B08">
      <w:pPr>
        <w:widowControl w:val="0"/>
        <w:autoSpaceDE w:val="0"/>
        <w:autoSpaceDN w:val="0"/>
        <w:adjustRightInd w:val="0"/>
        <w:spacing w:line="480" w:lineRule="auto"/>
        <w:ind w:left="480" w:hanging="480"/>
        <w:rPr>
          <w:rFonts w:ascii="Calibri" w:hAnsi="Calibri" w:cs="Times New Roman"/>
          <w:noProof/>
          <w:sz w:val="24"/>
          <w:szCs w:val="24"/>
          <w:lang w:val="fr-FR"/>
        </w:rPr>
      </w:pPr>
      <w:r w:rsidRPr="00844B08">
        <w:rPr>
          <w:rFonts w:ascii="Calibri" w:hAnsi="Calibri" w:cs="Times New Roman"/>
          <w:noProof/>
          <w:sz w:val="24"/>
          <w:szCs w:val="24"/>
        </w:rPr>
        <w:t xml:space="preserve">Wegner, D. M. (1994). Ironic processes of mental control. </w:t>
      </w:r>
      <w:r w:rsidRPr="00A41BE2">
        <w:rPr>
          <w:rFonts w:ascii="Calibri" w:hAnsi="Calibri" w:cs="Times New Roman"/>
          <w:i/>
          <w:iCs/>
          <w:noProof/>
          <w:sz w:val="24"/>
          <w:szCs w:val="24"/>
          <w:lang w:val="fr-FR"/>
        </w:rPr>
        <w:t>Psychological Review</w:t>
      </w:r>
      <w:r w:rsidRPr="00A41BE2">
        <w:rPr>
          <w:rFonts w:ascii="Calibri" w:hAnsi="Calibri" w:cs="Times New Roman"/>
          <w:noProof/>
          <w:sz w:val="24"/>
          <w:szCs w:val="24"/>
          <w:lang w:val="fr-FR"/>
        </w:rPr>
        <w:t xml:space="preserve">, </w:t>
      </w:r>
      <w:r w:rsidRPr="00A41BE2">
        <w:rPr>
          <w:rFonts w:ascii="Calibri" w:hAnsi="Calibri" w:cs="Times New Roman"/>
          <w:i/>
          <w:iCs/>
          <w:noProof/>
          <w:sz w:val="24"/>
          <w:szCs w:val="24"/>
          <w:lang w:val="fr-FR"/>
        </w:rPr>
        <w:t>101</w:t>
      </w:r>
      <w:r w:rsidRPr="00A41BE2">
        <w:rPr>
          <w:rFonts w:ascii="Calibri" w:hAnsi="Calibri" w:cs="Times New Roman"/>
          <w:noProof/>
          <w:sz w:val="24"/>
          <w:szCs w:val="24"/>
          <w:lang w:val="fr-FR"/>
        </w:rPr>
        <w:t>(1), 34–52. http://doi.org/10.1037/0033-295X.101.1.34</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A41BE2">
        <w:rPr>
          <w:rFonts w:ascii="Calibri" w:hAnsi="Calibri" w:cs="Times New Roman"/>
          <w:noProof/>
          <w:sz w:val="24"/>
          <w:szCs w:val="24"/>
          <w:lang w:val="de-DE"/>
        </w:rPr>
        <w:t xml:space="preserve">Weingarten, E., Chen, Q., McAdams, M., Yi, J., Hepler, J., &amp; Albarracín, D. (2016). </w:t>
      </w:r>
      <w:r w:rsidRPr="00844B08">
        <w:rPr>
          <w:rFonts w:ascii="Calibri" w:hAnsi="Calibri" w:cs="Times New Roman"/>
          <w:noProof/>
          <w:sz w:val="24"/>
          <w:szCs w:val="24"/>
        </w:rPr>
        <w:t xml:space="preserve">From primed concepts to action: A meta-analysis of the behavioral effects of incidentally presented words. </w:t>
      </w:r>
      <w:r w:rsidRPr="00844B08">
        <w:rPr>
          <w:rFonts w:ascii="Calibri" w:hAnsi="Calibri" w:cs="Times New Roman"/>
          <w:i/>
          <w:iCs/>
          <w:noProof/>
          <w:sz w:val="24"/>
          <w:szCs w:val="24"/>
        </w:rPr>
        <w:t>Psychological Bulletin</w:t>
      </w:r>
      <w:r w:rsidRPr="00844B08">
        <w:rPr>
          <w:rFonts w:ascii="Calibri" w:hAnsi="Calibri" w:cs="Times New Roman"/>
          <w:noProof/>
          <w:sz w:val="24"/>
          <w:szCs w:val="24"/>
        </w:rPr>
        <w:t xml:space="preserve">, </w:t>
      </w:r>
      <w:r w:rsidRPr="00844B08">
        <w:rPr>
          <w:rFonts w:ascii="Calibri" w:hAnsi="Calibri" w:cs="Times New Roman"/>
          <w:i/>
          <w:iCs/>
          <w:noProof/>
          <w:sz w:val="24"/>
          <w:szCs w:val="24"/>
        </w:rPr>
        <w:t>142</w:t>
      </w:r>
      <w:r w:rsidRPr="00844B08">
        <w:rPr>
          <w:rFonts w:ascii="Calibri" w:hAnsi="Calibri" w:cs="Times New Roman"/>
          <w:noProof/>
          <w:sz w:val="24"/>
          <w:szCs w:val="24"/>
        </w:rPr>
        <w:t>(5), 472–497. http://doi.org/10.1037/bul0000030</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Williams, L. E., Bargh, J. A., Nocera, C. C., &amp; Gray, J. R. (2009). The unconscious regulation of emotion: Nonconscious reappraisal goals modulate emotional reactivity. </w:t>
      </w:r>
      <w:r w:rsidRPr="00844B08">
        <w:rPr>
          <w:rFonts w:ascii="Calibri" w:hAnsi="Calibri" w:cs="Times New Roman"/>
          <w:i/>
          <w:iCs/>
          <w:noProof/>
          <w:sz w:val="24"/>
          <w:szCs w:val="24"/>
        </w:rPr>
        <w:lastRenderedPageBreak/>
        <w:t>Emotion</w:t>
      </w:r>
      <w:r w:rsidRPr="00844B08">
        <w:rPr>
          <w:rFonts w:ascii="Calibri" w:hAnsi="Calibri" w:cs="Times New Roman"/>
          <w:noProof/>
          <w:sz w:val="24"/>
          <w:szCs w:val="24"/>
        </w:rPr>
        <w:t xml:space="preserve">, </w:t>
      </w:r>
      <w:r w:rsidRPr="00844B08">
        <w:rPr>
          <w:rFonts w:ascii="Calibri" w:hAnsi="Calibri" w:cs="Times New Roman"/>
          <w:i/>
          <w:iCs/>
          <w:noProof/>
          <w:sz w:val="24"/>
          <w:szCs w:val="24"/>
        </w:rPr>
        <w:t>9</w:t>
      </w:r>
      <w:r w:rsidRPr="00844B08">
        <w:rPr>
          <w:rFonts w:ascii="Calibri" w:hAnsi="Calibri" w:cs="Times New Roman"/>
          <w:noProof/>
          <w:sz w:val="24"/>
          <w:szCs w:val="24"/>
        </w:rPr>
        <w:t>(6), 847–854. http://doi.org/10.1037/a0017745</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Wood, C., Magnello, M. E., &amp; Jewell, T. (1990). Measuring vitality. </w:t>
      </w:r>
      <w:r w:rsidRPr="00844B08">
        <w:rPr>
          <w:rFonts w:ascii="Calibri" w:hAnsi="Calibri" w:cs="Times New Roman"/>
          <w:i/>
          <w:iCs/>
          <w:noProof/>
          <w:sz w:val="24"/>
          <w:szCs w:val="24"/>
        </w:rPr>
        <w:t>Journal of the Royal Society of Medicine</w:t>
      </w:r>
      <w:r w:rsidRPr="00844B08">
        <w:rPr>
          <w:rFonts w:ascii="Calibri" w:hAnsi="Calibri" w:cs="Times New Roman"/>
          <w:noProof/>
          <w:sz w:val="24"/>
          <w:szCs w:val="24"/>
        </w:rPr>
        <w:t xml:space="preserve">, </w:t>
      </w:r>
      <w:r w:rsidRPr="00844B08">
        <w:rPr>
          <w:rFonts w:ascii="Calibri" w:hAnsi="Calibri" w:cs="Times New Roman"/>
          <w:i/>
          <w:iCs/>
          <w:noProof/>
          <w:sz w:val="24"/>
          <w:szCs w:val="24"/>
        </w:rPr>
        <w:t>83</w:t>
      </w:r>
      <w:r w:rsidRPr="00844B08">
        <w:rPr>
          <w:rFonts w:ascii="Calibri" w:hAnsi="Calibri" w:cs="Times New Roman"/>
          <w:noProof/>
          <w:sz w:val="24"/>
          <w:szCs w:val="24"/>
        </w:rPr>
        <w:t>(8), 486–489.</w:t>
      </w:r>
    </w:p>
    <w:p w:rsidR="00844B08" w:rsidRPr="00844B08" w:rsidRDefault="00844B08" w:rsidP="00844B08">
      <w:pPr>
        <w:widowControl w:val="0"/>
        <w:autoSpaceDE w:val="0"/>
        <w:autoSpaceDN w:val="0"/>
        <w:adjustRightInd w:val="0"/>
        <w:spacing w:line="480" w:lineRule="auto"/>
        <w:ind w:left="480" w:hanging="480"/>
        <w:rPr>
          <w:rFonts w:ascii="Calibri" w:hAnsi="Calibri" w:cs="Times New Roman"/>
          <w:noProof/>
          <w:sz w:val="24"/>
          <w:szCs w:val="24"/>
        </w:rPr>
      </w:pPr>
      <w:r w:rsidRPr="00844B08">
        <w:rPr>
          <w:rFonts w:ascii="Calibri" w:hAnsi="Calibri" w:cs="Times New Roman"/>
          <w:noProof/>
          <w:sz w:val="24"/>
          <w:szCs w:val="24"/>
        </w:rPr>
        <w:t xml:space="preserve">Wright, R. A., Stewart, C. C., &amp; Barnett, B. R. (2008). Mental fatigue influence on effort-related cardiovascular response: Extension across the regulatory (inhibitory)/non-regulatory performance dimension. </w:t>
      </w:r>
      <w:r w:rsidRPr="00844B08">
        <w:rPr>
          <w:rFonts w:ascii="Calibri" w:hAnsi="Calibri" w:cs="Times New Roman"/>
          <w:i/>
          <w:iCs/>
          <w:noProof/>
          <w:sz w:val="24"/>
          <w:szCs w:val="24"/>
        </w:rPr>
        <w:t>International Journal of Psychophysiology</w:t>
      </w:r>
      <w:r w:rsidRPr="00844B08">
        <w:rPr>
          <w:rFonts w:ascii="Calibri" w:hAnsi="Calibri" w:cs="Times New Roman"/>
          <w:noProof/>
          <w:sz w:val="24"/>
          <w:szCs w:val="24"/>
        </w:rPr>
        <w:t xml:space="preserve">, </w:t>
      </w:r>
      <w:r w:rsidRPr="00844B08">
        <w:rPr>
          <w:rFonts w:ascii="Calibri" w:hAnsi="Calibri" w:cs="Times New Roman"/>
          <w:i/>
          <w:iCs/>
          <w:noProof/>
          <w:sz w:val="24"/>
          <w:szCs w:val="24"/>
        </w:rPr>
        <w:t>69</w:t>
      </w:r>
      <w:r w:rsidRPr="00844B08">
        <w:rPr>
          <w:rFonts w:ascii="Calibri" w:hAnsi="Calibri" w:cs="Times New Roman"/>
          <w:noProof/>
          <w:sz w:val="24"/>
          <w:szCs w:val="24"/>
        </w:rPr>
        <w:t>(2), 127–133. http://doi.org/10.1016/j.ijpsycho.2008.04.002</w:t>
      </w:r>
    </w:p>
    <w:p w:rsidR="00844B08" w:rsidRPr="00844B08" w:rsidRDefault="00844B08" w:rsidP="00844B08">
      <w:pPr>
        <w:widowControl w:val="0"/>
        <w:autoSpaceDE w:val="0"/>
        <w:autoSpaceDN w:val="0"/>
        <w:adjustRightInd w:val="0"/>
        <w:spacing w:line="480" w:lineRule="auto"/>
        <w:ind w:left="480" w:hanging="480"/>
        <w:rPr>
          <w:rFonts w:ascii="Calibri" w:hAnsi="Calibri"/>
          <w:noProof/>
          <w:sz w:val="24"/>
        </w:rPr>
      </w:pPr>
      <w:r w:rsidRPr="00844B08">
        <w:rPr>
          <w:rFonts w:ascii="Calibri" w:hAnsi="Calibri" w:cs="Times New Roman"/>
          <w:noProof/>
          <w:sz w:val="24"/>
          <w:szCs w:val="24"/>
        </w:rPr>
        <w:t xml:space="preserve">Zaki, J., &amp; Williams, W. C. (2013). Interpersonal emotion regulation. </w:t>
      </w:r>
      <w:r w:rsidRPr="00844B08">
        <w:rPr>
          <w:rFonts w:ascii="Calibri" w:hAnsi="Calibri" w:cs="Times New Roman"/>
          <w:i/>
          <w:iCs/>
          <w:noProof/>
          <w:sz w:val="24"/>
          <w:szCs w:val="24"/>
        </w:rPr>
        <w:t>Emotion (Washington, D.C.)</w:t>
      </w:r>
      <w:r w:rsidRPr="00844B08">
        <w:rPr>
          <w:rFonts w:ascii="Calibri" w:hAnsi="Calibri" w:cs="Times New Roman"/>
          <w:noProof/>
          <w:sz w:val="24"/>
          <w:szCs w:val="24"/>
        </w:rPr>
        <w:t xml:space="preserve">, </w:t>
      </w:r>
      <w:r w:rsidRPr="00844B08">
        <w:rPr>
          <w:rFonts w:ascii="Calibri" w:hAnsi="Calibri" w:cs="Times New Roman"/>
          <w:i/>
          <w:iCs/>
          <w:noProof/>
          <w:sz w:val="24"/>
          <w:szCs w:val="24"/>
        </w:rPr>
        <w:t>13</w:t>
      </w:r>
      <w:r w:rsidRPr="00844B08">
        <w:rPr>
          <w:rFonts w:ascii="Calibri" w:hAnsi="Calibri" w:cs="Times New Roman"/>
          <w:noProof/>
          <w:sz w:val="24"/>
          <w:szCs w:val="24"/>
        </w:rPr>
        <w:t>(5), 803–10. http://doi.org/10.1037/a0033839</w:t>
      </w:r>
    </w:p>
    <w:p w:rsidR="00FB1389" w:rsidRPr="00D05EBD" w:rsidRDefault="00B06E70" w:rsidP="00844B08">
      <w:pPr>
        <w:widowControl w:val="0"/>
        <w:autoSpaceDE w:val="0"/>
        <w:autoSpaceDN w:val="0"/>
        <w:adjustRightInd w:val="0"/>
        <w:spacing w:line="480" w:lineRule="auto"/>
        <w:ind w:left="480" w:hanging="480"/>
        <w:rPr>
          <w:b/>
          <w:sz w:val="24"/>
          <w:szCs w:val="24"/>
        </w:rPr>
      </w:pPr>
      <w:r>
        <w:rPr>
          <w:b/>
          <w:sz w:val="24"/>
          <w:szCs w:val="24"/>
        </w:rPr>
        <w:fldChar w:fldCharType="end"/>
      </w:r>
    </w:p>
    <w:p w:rsidR="008C197E" w:rsidRPr="004772B2" w:rsidRDefault="008C197E" w:rsidP="004772B2">
      <w:pPr>
        <w:spacing w:line="480" w:lineRule="auto"/>
        <w:rPr>
          <w:b/>
          <w:sz w:val="24"/>
          <w:szCs w:val="24"/>
        </w:rPr>
      </w:pPr>
      <w:r w:rsidRPr="004772B2">
        <w:rPr>
          <w:sz w:val="24"/>
          <w:szCs w:val="24"/>
        </w:rPr>
        <w:t xml:space="preserve">The </w:t>
      </w:r>
      <w:r w:rsidRPr="004772B2">
        <w:rPr>
          <w:rFonts w:cs="Courier New"/>
          <w:bCs/>
          <w:color w:val="000000"/>
          <w:sz w:val="24"/>
          <w:szCs w:val="24"/>
        </w:rPr>
        <w:t xml:space="preserve">MRC Psycholinguistic Database </w:t>
      </w:r>
      <w:hyperlink r:id="rId18" w:anchor="K-F" w:history="1">
        <w:r w:rsidRPr="004772B2">
          <w:rPr>
            <w:rStyle w:val="Hipervnculo"/>
            <w:bCs/>
            <w:sz w:val="24"/>
            <w:szCs w:val="24"/>
          </w:rPr>
          <w:t>http://websites.psychology.uwa.edu.au/school/MRCDatabase/mrc2.html#K-F</w:t>
        </w:r>
      </w:hyperlink>
    </w:p>
    <w:p w:rsidR="00FB1389" w:rsidRPr="004772B2" w:rsidRDefault="008C197E" w:rsidP="004772B2">
      <w:pPr>
        <w:spacing w:line="480" w:lineRule="auto"/>
        <w:rPr>
          <w:sz w:val="24"/>
          <w:szCs w:val="24"/>
        </w:rPr>
      </w:pPr>
      <w:r w:rsidRPr="004772B2">
        <w:rPr>
          <w:sz w:val="24"/>
          <w:szCs w:val="24"/>
        </w:rPr>
        <w:t>Social desirability Short</w:t>
      </w:r>
      <w:r w:rsidRPr="004772B2">
        <w:rPr>
          <w:b/>
          <w:sz w:val="24"/>
          <w:szCs w:val="24"/>
        </w:rPr>
        <w:t xml:space="preserve"> </w:t>
      </w:r>
      <w:r w:rsidRPr="004772B2">
        <w:rPr>
          <w:sz w:val="24"/>
          <w:szCs w:val="24"/>
        </w:rPr>
        <w:t>scale</w:t>
      </w:r>
      <w:r w:rsidR="004772B2">
        <w:rPr>
          <w:sz w:val="24"/>
          <w:szCs w:val="24"/>
        </w:rPr>
        <w:t xml:space="preserve"> </w:t>
      </w:r>
      <w:r w:rsidRPr="004772B2">
        <w:rPr>
          <w:sz w:val="24"/>
          <w:szCs w:val="24"/>
        </w:rPr>
        <w:t xml:space="preserve"> </w:t>
      </w:r>
      <w:hyperlink r:id="rId19" w:history="1">
        <w:r w:rsidR="009A1572" w:rsidRPr="004772B2">
          <w:rPr>
            <w:rStyle w:val="Hipervnculo"/>
            <w:sz w:val="24"/>
            <w:szCs w:val="24"/>
          </w:rPr>
          <w:t>http://jonjayray.comuv.com/shortsd.html</w:t>
        </w:r>
      </w:hyperlink>
    </w:p>
    <w:p w:rsidR="009A1572" w:rsidRDefault="009A1572" w:rsidP="008C197E">
      <w:pPr>
        <w:spacing w:line="480" w:lineRule="auto"/>
        <w:jc w:val="both"/>
      </w:pPr>
    </w:p>
    <w:p w:rsidR="009A1572" w:rsidRDefault="009A1572" w:rsidP="008C197E">
      <w:pPr>
        <w:spacing w:line="480" w:lineRule="auto"/>
        <w:jc w:val="both"/>
      </w:pPr>
    </w:p>
    <w:p w:rsidR="009A1572" w:rsidRDefault="009A1572" w:rsidP="008C197E">
      <w:pPr>
        <w:spacing w:line="480" w:lineRule="auto"/>
        <w:jc w:val="both"/>
      </w:pPr>
    </w:p>
    <w:p w:rsidR="0031622B" w:rsidRDefault="0031622B" w:rsidP="009A1572">
      <w:pPr>
        <w:spacing w:line="480" w:lineRule="auto"/>
        <w:jc w:val="both"/>
        <w:rPr>
          <w:rFonts w:cs="Times New Roman"/>
          <w:b/>
          <w:sz w:val="24"/>
          <w:szCs w:val="24"/>
        </w:rPr>
      </w:pPr>
    </w:p>
    <w:p w:rsidR="0031622B" w:rsidRDefault="0031622B" w:rsidP="009A1572">
      <w:pPr>
        <w:spacing w:line="480" w:lineRule="auto"/>
        <w:jc w:val="both"/>
        <w:rPr>
          <w:rFonts w:cs="Times New Roman"/>
          <w:b/>
          <w:sz w:val="24"/>
          <w:szCs w:val="24"/>
        </w:rPr>
      </w:pPr>
    </w:p>
    <w:p w:rsidR="0031622B" w:rsidRDefault="0031622B" w:rsidP="009A1572">
      <w:pPr>
        <w:spacing w:line="480" w:lineRule="auto"/>
        <w:jc w:val="both"/>
        <w:rPr>
          <w:rFonts w:cs="Times New Roman"/>
          <w:b/>
          <w:sz w:val="24"/>
          <w:szCs w:val="24"/>
        </w:rPr>
      </w:pPr>
    </w:p>
    <w:p w:rsidR="0031622B" w:rsidRDefault="0031622B" w:rsidP="009A1572">
      <w:pPr>
        <w:spacing w:line="480" w:lineRule="auto"/>
        <w:jc w:val="both"/>
        <w:rPr>
          <w:rFonts w:cs="Times New Roman"/>
          <w:b/>
          <w:sz w:val="24"/>
          <w:szCs w:val="24"/>
        </w:rPr>
      </w:pPr>
    </w:p>
    <w:p w:rsidR="009A1572" w:rsidRPr="00D05EBD" w:rsidRDefault="009A1572" w:rsidP="009A1572">
      <w:pPr>
        <w:spacing w:line="480" w:lineRule="auto"/>
        <w:jc w:val="both"/>
        <w:rPr>
          <w:rFonts w:cs="Times New Roman"/>
          <w:b/>
          <w:sz w:val="24"/>
          <w:szCs w:val="24"/>
        </w:rPr>
      </w:pPr>
      <w:r>
        <w:rPr>
          <w:rFonts w:cs="Times New Roman"/>
          <w:b/>
          <w:sz w:val="24"/>
          <w:szCs w:val="24"/>
        </w:rPr>
        <w:lastRenderedPageBreak/>
        <w:t>APPENDIC</w:t>
      </w:r>
      <w:r w:rsidRPr="00D05EBD">
        <w:rPr>
          <w:rFonts w:cs="Times New Roman"/>
          <w:b/>
          <w:sz w:val="24"/>
          <w:szCs w:val="24"/>
        </w:rPr>
        <w:t>ES</w:t>
      </w:r>
    </w:p>
    <w:p w:rsidR="009A1572" w:rsidRDefault="00A206A3" w:rsidP="009A1572">
      <w:pPr>
        <w:spacing w:line="480" w:lineRule="auto"/>
        <w:jc w:val="both"/>
        <w:rPr>
          <w:rFonts w:cs="Times New Roman"/>
          <w:b/>
          <w:sz w:val="24"/>
          <w:szCs w:val="24"/>
        </w:rPr>
      </w:pPr>
      <w:r>
        <w:rPr>
          <w:rFonts w:cs="Times New Roman"/>
          <w:b/>
          <w:sz w:val="24"/>
          <w:szCs w:val="24"/>
        </w:rPr>
        <w:t>CHAPTER</w:t>
      </w:r>
      <w:r w:rsidR="009A1572">
        <w:rPr>
          <w:rFonts w:cs="Times New Roman"/>
          <w:b/>
          <w:sz w:val="24"/>
          <w:szCs w:val="24"/>
        </w:rPr>
        <w:t xml:space="preserve"> 2</w:t>
      </w:r>
    </w:p>
    <w:p w:rsidR="009A1572" w:rsidRPr="00D05EBD" w:rsidRDefault="009A1572" w:rsidP="009A1572">
      <w:pPr>
        <w:spacing w:line="480" w:lineRule="auto"/>
        <w:jc w:val="both"/>
        <w:rPr>
          <w:rFonts w:cs="Times New Roman"/>
          <w:b/>
          <w:color w:val="000000"/>
          <w:sz w:val="24"/>
          <w:szCs w:val="24"/>
        </w:rPr>
      </w:pPr>
      <w:r w:rsidRPr="00D05EBD">
        <w:rPr>
          <w:rFonts w:cs="Times New Roman"/>
          <w:b/>
          <w:color w:val="000000"/>
          <w:sz w:val="24"/>
          <w:szCs w:val="24"/>
        </w:rPr>
        <w:t>AERO questionnaire</w:t>
      </w:r>
    </w:p>
    <w:p w:rsidR="009A1572" w:rsidRDefault="009A1572" w:rsidP="009A1572">
      <w:pPr>
        <w:spacing w:line="480" w:lineRule="auto"/>
        <w:jc w:val="both"/>
        <w:rPr>
          <w:sz w:val="24"/>
          <w:szCs w:val="24"/>
        </w:rPr>
      </w:pPr>
      <w:r>
        <w:rPr>
          <w:noProof/>
          <w:sz w:val="24"/>
          <w:szCs w:val="24"/>
          <w:lang w:eastAsia="en-GB"/>
        </w:rPr>
        <w:drawing>
          <wp:inline distT="0" distB="0" distL="0" distR="0">
            <wp:extent cx="5159006" cy="7296863"/>
            <wp:effectExtent l="19050" t="19050" r="22594" b="18337"/>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60802" cy="7299403"/>
                    </a:xfrm>
                    <a:prstGeom prst="rect">
                      <a:avLst/>
                    </a:prstGeom>
                    <a:ln>
                      <a:solidFill>
                        <a:schemeClr val="accent1"/>
                      </a:solidFill>
                    </a:ln>
                  </pic:spPr>
                </pic:pic>
              </a:graphicData>
            </a:graphic>
          </wp:inline>
        </w:drawing>
      </w:r>
    </w:p>
    <w:p w:rsidR="009A1572" w:rsidRDefault="009A1572" w:rsidP="009A1572">
      <w:pPr>
        <w:spacing w:line="480" w:lineRule="auto"/>
        <w:jc w:val="both"/>
        <w:rPr>
          <w:sz w:val="24"/>
          <w:szCs w:val="24"/>
        </w:rPr>
      </w:pPr>
    </w:p>
    <w:p w:rsidR="009A1572" w:rsidRDefault="009A1572" w:rsidP="009A1572">
      <w:pPr>
        <w:spacing w:line="480" w:lineRule="auto"/>
        <w:jc w:val="both"/>
        <w:rPr>
          <w:sz w:val="24"/>
          <w:szCs w:val="24"/>
        </w:rPr>
      </w:pPr>
      <w:r>
        <w:rPr>
          <w:noProof/>
          <w:sz w:val="24"/>
          <w:szCs w:val="24"/>
          <w:lang w:eastAsia="en-GB"/>
        </w:rPr>
        <w:drawing>
          <wp:inline distT="0" distB="0" distL="0" distR="0">
            <wp:extent cx="5400040" cy="7637780"/>
            <wp:effectExtent l="19050" t="19050" r="0" b="127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7780"/>
                    </a:xfrm>
                    <a:prstGeom prst="rect">
                      <a:avLst/>
                    </a:prstGeom>
                    <a:ln>
                      <a:solidFill>
                        <a:schemeClr val="accent1"/>
                      </a:solidFill>
                    </a:ln>
                  </pic:spPr>
                </pic:pic>
              </a:graphicData>
            </a:graphic>
          </wp:inline>
        </w:drawing>
      </w:r>
    </w:p>
    <w:p w:rsidR="009A1572" w:rsidRDefault="009A1572" w:rsidP="009A1572">
      <w:pPr>
        <w:spacing w:line="480" w:lineRule="auto"/>
        <w:jc w:val="both"/>
        <w:rPr>
          <w:sz w:val="24"/>
          <w:szCs w:val="24"/>
        </w:rPr>
      </w:pPr>
    </w:p>
    <w:p w:rsidR="009A1572" w:rsidRDefault="009A1572" w:rsidP="009A1572">
      <w:pPr>
        <w:spacing w:line="480" w:lineRule="auto"/>
        <w:jc w:val="both"/>
        <w:rPr>
          <w:sz w:val="24"/>
          <w:szCs w:val="24"/>
        </w:rPr>
      </w:pPr>
    </w:p>
    <w:p w:rsidR="009A1572" w:rsidRDefault="009A1572" w:rsidP="009A1572">
      <w:pPr>
        <w:spacing w:line="480" w:lineRule="auto"/>
        <w:jc w:val="both"/>
        <w:rPr>
          <w:sz w:val="24"/>
          <w:szCs w:val="24"/>
        </w:rPr>
      </w:pPr>
      <w:r>
        <w:rPr>
          <w:noProof/>
          <w:sz w:val="24"/>
          <w:szCs w:val="24"/>
          <w:lang w:eastAsia="en-GB"/>
        </w:rPr>
        <w:drawing>
          <wp:inline distT="0" distB="0" distL="0" distR="0">
            <wp:extent cx="5400040" cy="7637780"/>
            <wp:effectExtent l="19050" t="19050" r="0" b="12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7780"/>
                    </a:xfrm>
                    <a:prstGeom prst="rect">
                      <a:avLst/>
                    </a:prstGeom>
                    <a:ln>
                      <a:solidFill>
                        <a:schemeClr val="accent1"/>
                      </a:solidFill>
                    </a:ln>
                  </pic:spPr>
                </pic:pic>
              </a:graphicData>
            </a:graphic>
          </wp:inline>
        </w:drawing>
      </w:r>
    </w:p>
    <w:p w:rsidR="009A1572" w:rsidRDefault="009A1572" w:rsidP="009A1572">
      <w:pPr>
        <w:spacing w:line="480" w:lineRule="auto"/>
        <w:jc w:val="both"/>
        <w:rPr>
          <w:sz w:val="24"/>
          <w:szCs w:val="24"/>
        </w:rPr>
      </w:pPr>
      <w:r>
        <w:rPr>
          <w:noProof/>
          <w:sz w:val="24"/>
          <w:szCs w:val="24"/>
          <w:lang w:eastAsia="en-GB"/>
        </w:rPr>
        <w:lastRenderedPageBreak/>
        <w:drawing>
          <wp:inline distT="0" distB="0" distL="0" distR="0">
            <wp:extent cx="5400040" cy="7637780"/>
            <wp:effectExtent l="19050" t="19050" r="0" b="127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7780"/>
                    </a:xfrm>
                    <a:prstGeom prst="rect">
                      <a:avLst/>
                    </a:prstGeom>
                    <a:ln>
                      <a:solidFill>
                        <a:schemeClr val="accent1"/>
                      </a:solidFill>
                    </a:ln>
                  </pic:spPr>
                </pic:pic>
              </a:graphicData>
            </a:graphic>
          </wp:inline>
        </w:drawing>
      </w:r>
    </w:p>
    <w:p w:rsidR="009A1572" w:rsidRDefault="009A1572" w:rsidP="009A1572">
      <w:pPr>
        <w:spacing w:line="480" w:lineRule="auto"/>
        <w:jc w:val="both"/>
        <w:rPr>
          <w:sz w:val="24"/>
          <w:szCs w:val="24"/>
        </w:rPr>
      </w:pPr>
      <w:r>
        <w:rPr>
          <w:noProof/>
          <w:sz w:val="24"/>
          <w:szCs w:val="24"/>
          <w:lang w:eastAsia="en-GB"/>
        </w:rPr>
        <w:lastRenderedPageBreak/>
        <w:drawing>
          <wp:inline distT="0" distB="0" distL="0" distR="0">
            <wp:extent cx="5400040" cy="7637780"/>
            <wp:effectExtent l="19050" t="19050" r="0" b="127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7780"/>
                    </a:xfrm>
                    <a:prstGeom prst="rect">
                      <a:avLst/>
                    </a:prstGeom>
                    <a:ln>
                      <a:solidFill>
                        <a:schemeClr val="accent1"/>
                      </a:solidFill>
                    </a:ln>
                  </pic:spPr>
                </pic:pic>
              </a:graphicData>
            </a:graphic>
          </wp:inline>
        </w:drawing>
      </w:r>
    </w:p>
    <w:p w:rsidR="009A1572" w:rsidRDefault="009A1572" w:rsidP="009A1572">
      <w:pPr>
        <w:spacing w:line="480" w:lineRule="auto"/>
        <w:jc w:val="both"/>
        <w:rPr>
          <w:sz w:val="24"/>
          <w:szCs w:val="24"/>
        </w:rPr>
      </w:pPr>
      <w:r>
        <w:rPr>
          <w:noProof/>
          <w:sz w:val="24"/>
          <w:szCs w:val="24"/>
          <w:lang w:eastAsia="en-GB"/>
        </w:rPr>
        <w:lastRenderedPageBreak/>
        <w:drawing>
          <wp:inline distT="0" distB="0" distL="0" distR="0">
            <wp:extent cx="5400040" cy="7637780"/>
            <wp:effectExtent l="19050" t="19050" r="0" b="127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7780"/>
                    </a:xfrm>
                    <a:prstGeom prst="rect">
                      <a:avLst/>
                    </a:prstGeom>
                    <a:ln>
                      <a:solidFill>
                        <a:schemeClr val="accent1"/>
                      </a:solidFill>
                    </a:ln>
                  </pic:spPr>
                </pic:pic>
              </a:graphicData>
            </a:graphic>
          </wp:inline>
        </w:drawing>
      </w:r>
    </w:p>
    <w:p w:rsidR="009A1572" w:rsidRDefault="009A1572" w:rsidP="009A1572">
      <w:pPr>
        <w:spacing w:line="480" w:lineRule="auto"/>
        <w:jc w:val="both"/>
        <w:rPr>
          <w:sz w:val="24"/>
          <w:szCs w:val="24"/>
        </w:rPr>
      </w:pPr>
      <w:r>
        <w:rPr>
          <w:noProof/>
          <w:sz w:val="24"/>
          <w:szCs w:val="24"/>
          <w:lang w:eastAsia="en-GB"/>
        </w:rPr>
        <w:lastRenderedPageBreak/>
        <w:drawing>
          <wp:inline distT="0" distB="0" distL="0" distR="0">
            <wp:extent cx="5400040" cy="7637780"/>
            <wp:effectExtent l="19050" t="19050" r="0" b="127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7780"/>
                    </a:xfrm>
                    <a:prstGeom prst="rect">
                      <a:avLst/>
                    </a:prstGeom>
                    <a:ln>
                      <a:solidFill>
                        <a:schemeClr val="accent1"/>
                      </a:solidFill>
                    </a:ln>
                  </pic:spPr>
                </pic:pic>
              </a:graphicData>
            </a:graphic>
          </wp:inline>
        </w:drawing>
      </w:r>
    </w:p>
    <w:p w:rsidR="009A1572" w:rsidRDefault="009A1572" w:rsidP="009A1572">
      <w:pPr>
        <w:spacing w:line="480" w:lineRule="auto"/>
        <w:jc w:val="both"/>
        <w:rPr>
          <w:sz w:val="24"/>
          <w:szCs w:val="24"/>
        </w:rPr>
      </w:pPr>
      <w:r>
        <w:rPr>
          <w:noProof/>
          <w:sz w:val="24"/>
          <w:szCs w:val="24"/>
          <w:lang w:eastAsia="en-GB"/>
        </w:rPr>
        <w:lastRenderedPageBreak/>
        <w:drawing>
          <wp:inline distT="0" distB="0" distL="0" distR="0">
            <wp:extent cx="5400040" cy="7637780"/>
            <wp:effectExtent l="19050" t="19050" r="0" b="127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7780"/>
                    </a:xfrm>
                    <a:prstGeom prst="rect">
                      <a:avLst/>
                    </a:prstGeom>
                    <a:ln>
                      <a:solidFill>
                        <a:schemeClr val="accent1"/>
                      </a:solidFill>
                    </a:ln>
                  </pic:spPr>
                </pic:pic>
              </a:graphicData>
            </a:graphic>
          </wp:inline>
        </w:drawing>
      </w:r>
    </w:p>
    <w:p w:rsidR="009A1572" w:rsidRDefault="009A1572" w:rsidP="009A1572">
      <w:pPr>
        <w:spacing w:line="480" w:lineRule="auto"/>
        <w:jc w:val="both"/>
        <w:rPr>
          <w:sz w:val="24"/>
          <w:szCs w:val="24"/>
        </w:rPr>
      </w:pPr>
      <w:r>
        <w:rPr>
          <w:noProof/>
          <w:sz w:val="24"/>
          <w:szCs w:val="24"/>
          <w:lang w:eastAsia="en-GB"/>
        </w:rPr>
        <w:lastRenderedPageBreak/>
        <w:drawing>
          <wp:inline distT="0" distB="0" distL="0" distR="0">
            <wp:extent cx="5400040" cy="7637780"/>
            <wp:effectExtent l="19050" t="19050" r="0" b="127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7780"/>
                    </a:xfrm>
                    <a:prstGeom prst="rect">
                      <a:avLst/>
                    </a:prstGeom>
                    <a:ln>
                      <a:solidFill>
                        <a:schemeClr val="accent1"/>
                      </a:solidFill>
                    </a:ln>
                  </pic:spPr>
                </pic:pic>
              </a:graphicData>
            </a:graphic>
          </wp:inline>
        </w:drawing>
      </w:r>
    </w:p>
    <w:p w:rsidR="009A1572" w:rsidRDefault="009A1572" w:rsidP="009A1572">
      <w:pPr>
        <w:spacing w:line="480" w:lineRule="auto"/>
        <w:jc w:val="both"/>
        <w:rPr>
          <w:sz w:val="24"/>
          <w:szCs w:val="24"/>
        </w:rPr>
      </w:pPr>
    </w:p>
    <w:p w:rsidR="009A1572" w:rsidRDefault="009A1572" w:rsidP="009A1572">
      <w:pPr>
        <w:spacing w:line="480" w:lineRule="auto"/>
        <w:jc w:val="both"/>
        <w:rPr>
          <w:sz w:val="24"/>
          <w:szCs w:val="24"/>
        </w:rPr>
      </w:pPr>
    </w:p>
    <w:p w:rsidR="009A1572" w:rsidRDefault="009A1572" w:rsidP="009A1572">
      <w:pPr>
        <w:spacing w:line="480" w:lineRule="auto"/>
        <w:jc w:val="both"/>
        <w:rPr>
          <w:rFonts w:cs="Times New Roman"/>
          <w:b/>
          <w:sz w:val="24"/>
          <w:szCs w:val="24"/>
        </w:rPr>
      </w:pPr>
      <w:r>
        <w:rPr>
          <w:rFonts w:cs="Times New Roman"/>
          <w:b/>
          <w:sz w:val="24"/>
          <w:szCs w:val="24"/>
        </w:rPr>
        <w:lastRenderedPageBreak/>
        <w:t>C</w:t>
      </w:r>
      <w:r w:rsidR="00A206A3">
        <w:rPr>
          <w:rFonts w:cs="Times New Roman"/>
          <w:b/>
          <w:sz w:val="24"/>
          <w:szCs w:val="24"/>
        </w:rPr>
        <w:t>HAPTER</w:t>
      </w:r>
      <w:r>
        <w:rPr>
          <w:rFonts w:cs="Times New Roman"/>
          <w:b/>
          <w:sz w:val="24"/>
          <w:szCs w:val="24"/>
        </w:rPr>
        <w:t xml:space="preserve"> 3</w:t>
      </w:r>
    </w:p>
    <w:p w:rsidR="009A1572" w:rsidRPr="009A1572" w:rsidRDefault="009A1572" w:rsidP="009A1572">
      <w:pPr>
        <w:spacing w:line="480" w:lineRule="auto"/>
        <w:jc w:val="both"/>
        <w:rPr>
          <w:rFonts w:cs="Times New Roman"/>
          <w:b/>
          <w:sz w:val="24"/>
          <w:szCs w:val="24"/>
        </w:rPr>
      </w:pPr>
      <w:r w:rsidRPr="00D05EBD">
        <w:rPr>
          <w:rFonts w:cs="Times New Roman"/>
          <w:b/>
          <w:sz w:val="24"/>
          <w:szCs w:val="24"/>
        </w:rPr>
        <w:t>Information sheet for study 2a</w:t>
      </w:r>
      <w:r w:rsidR="001175CB">
        <w:rPr>
          <w:rFonts w:cs="Times New Roman"/>
          <w:b/>
          <w:sz w:val="24"/>
          <w:szCs w:val="24"/>
        </w:rPr>
        <w:t xml:space="preserve"> and 2b</w:t>
      </w:r>
    </w:p>
    <w:p w:rsidR="009A1572" w:rsidRPr="00D05EBD" w:rsidRDefault="009A1572" w:rsidP="009A1572">
      <w:pPr>
        <w:spacing w:line="360" w:lineRule="auto"/>
        <w:jc w:val="both"/>
        <w:rPr>
          <w:rFonts w:cs="Times New Roman"/>
          <w:b/>
          <w:color w:val="000000"/>
          <w:sz w:val="24"/>
          <w:szCs w:val="24"/>
        </w:rPr>
      </w:pPr>
      <w:r w:rsidRPr="00D05EBD">
        <w:rPr>
          <w:rFonts w:cs="Times New Roman"/>
          <w:b/>
          <w:color w:val="000000"/>
          <w:sz w:val="24"/>
          <w:szCs w:val="24"/>
        </w:rPr>
        <w:t>Use of written English language on native English speakers</w:t>
      </w:r>
    </w:p>
    <w:p w:rsidR="009A1572" w:rsidRPr="00D05EBD" w:rsidRDefault="009A1572" w:rsidP="009A1572">
      <w:pPr>
        <w:spacing w:line="360" w:lineRule="auto"/>
        <w:jc w:val="both"/>
        <w:rPr>
          <w:rFonts w:cs="Times New Roman"/>
          <w:color w:val="000000"/>
          <w:sz w:val="24"/>
          <w:szCs w:val="24"/>
        </w:rPr>
      </w:pPr>
      <w:r w:rsidRPr="00D05EBD">
        <w:rPr>
          <w:rFonts w:cs="Times New Roman"/>
          <w:color w:val="000000"/>
          <w:sz w:val="24"/>
          <w:szCs w:val="24"/>
        </w:rPr>
        <w:t>The aim of the present research is to explore the use of written English language by native English speakers. For this purpose, you will be asked to engage in two short tasks and also to answer a few questions about your personality at the end of the study. The first task consists of building grammatically correct sentences. The second task consists of writing an imaginary script between two characters from which you have to play the part of one.</w:t>
      </w:r>
    </w:p>
    <w:p w:rsidR="009A1572" w:rsidRPr="00D05EBD" w:rsidRDefault="009A1572" w:rsidP="009A1572">
      <w:pPr>
        <w:spacing w:line="360" w:lineRule="auto"/>
        <w:jc w:val="both"/>
        <w:rPr>
          <w:rFonts w:cs="Times New Roman"/>
          <w:color w:val="000000"/>
          <w:sz w:val="24"/>
          <w:szCs w:val="24"/>
        </w:rPr>
      </w:pPr>
      <w:r w:rsidRPr="00D05EBD">
        <w:rPr>
          <w:rFonts w:cs="Times New Roman"/>
          <w:color w:val="000000"/>
          <w:sz w:val="24"/>
          <w:szCs w:val="24"/>
        </w:rPr>
        <w:t>All the information you provide will be anonymous and confidential.</w:t>
      </w:r>
    </w:p>
    <w:p w:rsidR="009A1572" w:rsidRPr="00D05EBD" w:rsidRDefault="009A1572" w:rsidP="009A1572">
      <w:pPr>
        <w:spacing w:line="360" w:lineRule="auto"/>
        <w:jc w:val="both"/>
        <w:rPr>
          <w:rFonts w:cs="Times New Roman"/>
          <w:color w:val="000000"/>
          <w:sz w:val="24"/>
          <w:szCs w:val="24"/>
        </w:rPr>
      </w:pPr>
      <w:r w:rsidRPr="00D05EBD">
        <w:rPr>
          <w:rFonts w:cs="Times New Roman"/>
          <w:color w:val="000000"/>
          <w:sz w:val="24"/>
          <w:szCs w:val="24"/>
        </w:rPr>
        <w:t>At the end of the study the experimenter will provide you with information about the purpose of the experiment as well as try to answer any questions that you may have.</w:t>
      </w:r>
    </w:p>
    <w:p w:rsidR="009A1572" w:rsidRPr="00D05EBD" w:rsidRDefault="009A1572" w:rsidP="009A1572">
      <w:pPr>
        <w:spacing w:line="360" w:lineRule="auto"/>
        <w:jc w:val="both"/>
        <w:rPr>
          <w:rFonts w:cs="Times New Roman"/>
          <w:sz w:val="24"/>
          <w:szCs w:val="24"/>
        </w:rPr>
      </w:pPr>
      <w:r w:rsidRPr="00D05EBD">
        <w:rPr>
          <w:rFonts w:cs="Times New Roman"/>
          <w:color w:val="000000"/>
          <w:sz w:val="24"/>
          <w:szCs w:val="24"/>
        </w:rPr>
        <w:t>This experiment is being conducted under the supervision of Dr Thomas Webb and Prof Peter Totterdell and</w:t>
      </w:r>
      <w:r w:rsidRPr="00D05EBD">
        <w:rPr>
          <w:rFonts w:cs="Times New Roman"/>
          <w:sz w:val="24"/>
          <w:szCs w:val="24"/>
        </w:rPr>
        <w:t xml:space="preserve"> has received ethics approval by the Department of Psychology Ethics Committee.</w:t>
      </w:r>
    </w:p>
    <w:p w:rsidR="009A1572" w:rsidRPr="00D05EBD" w:rsidRDefault="009A1572" w:rsidP="009A1572">
      <w:pPr>
        <w:spacing w:line="360" w:lineRule="auto"/>
        <w:jc w:val="both"/>
        <w:rPr>
          <w:rFonts w:cs="Times New Roman"/>
          <w:color w:val="000000"/>
          <w:sz w:val="24"/>
          <w:szCs w:val="24"/>
        </w:rPr>
      </w:pPr>
      <w:r w:rsidRPr="00D05EBD">
        <w:rPr>
          <w:rFonts w:cs="Times New Roman"/>
          <w:color w:val="000000"/>
          <w:sz w:val="24"/>
          <w:szCs w:val="24"/>
        </w:rPr>
        <w:t xml:space="preserve">Your participation is entirely voluntary. You are allowed to leave the experiment at any point without providing any reasons. </w:t>
      </w:r>
    </w:p>
    <w:p w:rsidR="009A1572" w:rsidRPr="00AC790E" w:rsidRDefault="009A1572" w:rsidP="009A1572">
      <w:pPr>
        <w:spacing w:line="360" w:lineRule="auto"/>
        <w:jc w:val="both"/>
        <w:rPr>
          <w:rFonts w:cs="Times New Roman"/>
          <w:color w:val="000000"/>
          <w:sz w:val="24"/>
          <w:szCs w:val="24"/>
        </w:rPr>
      </w:pPr>
      <w:r w:rsidRPr="00AC790E">
        <w:rPr>
          <w:rFonts w:cs="Times New Roman"/>
          <w:color w:val="000000"/>
          <w:sz w:val="24"/>
          <w:szCs w:val="24"/>
        </w:rPr>
        <w:t>Contact for further information</w:t>
      </w:r>
    </w:p>
    <w:p w:rsidR="009A1572" w:rsidRPr="00D05EBD" w:rsidRDefault="009A1572" w:rsidP="009A1572">
      <w:pPr>
        <w:spacing w:line="360" w:lineRule="auto"/>
        <w:jc w:val="both"/>
        <w:rPr>
          <w:rFonts w:cs="Times New Roman"/>
          <w:color w:val="000000"/>
          <w:sz w:val="24"/>
          <w:szCs w:val="24"/>
        </w:rPr>
      </w:pPr>
      <w:r w:rsidRPr="00D05EBD">
        <w:rPr>
          <w:rFonts w:cs="Times New Roman"/>
          <w:color w:val="000000"/>
          <w:sz w:val="24"/>
          <w:szCs w:val="24"/>
        </w:rPr>
        <w:t xml:space="preserve">Experimenter: </w:t>
      </w:r>
      <w:r w:rsidRPr="00D05EBD">
        <w:rPr>
          <w:rFonts w:cs="Times New Roman"/>
          <w:color w:val="000000"/>
          <w:sz w:val="24"/>
          <w:szCs w:val="24"/>
        </w:rPr>
        <w:tab/>
      </w:r>
      <w:r w:rsidRPr="00D05EBD">
        <w:rPr>
          <w:rFonts w:cs="Times New Roman"/>
          <w:color w:val="000000"/>
          <w:sz w:val="24"/>
          <w:szCs w:val="24"/>
        </w:rPr>
        <w:tab/>
      </w:r>
      <w:proofErr w:type="spellStart"/>
      <w:r w:rsidRPr="00D05EBD">
        <w:rPr>
          <w:rFonts w:cs="Times New Roman"/>
          <w:color w:val="000000"/>
          <w:sz w:val="24"/>
          <w:szCs w:val="24"/>
        </w:rPr>
        <w:t>Daria</w:t>
      </w:r>
      <w:proofErr w:type="spellEnd"/>
      <w:r w:rsidRPr="00D05EBD">
        <w:rPr>
          <w:rFonts w:cs="Times New Roman"/>
          <w:color w:val="000000"/>
          <w:sz w:val="24"/>
          <w:szCs w:val="24"/>
        </w:rPr>
        <w:t xml:space="preserve"> Hernandez Ibar </w:t>
      </w:r>
      <w:hyperlink r:id="rId29" w:history="1">
        <w:r w:rsidRPr="00D05EBD">
          <w:rPr>
            <w:rStyle w:val="Hipervnculo"/>
            <w:rFonts w:cs="Times New Roman"/>
            <w:sz w:val="24"/>
            <w:szCs w:val="24"/>
          </w:rPr>
          <w:t>dnhernandezibar1@sheffield.ac.uk</w:t>
        </w:r>
      </w:hyperlink>
    </w:p>
    <w:p w:rsidR="009A1572" w:rsidRPr="00D05EBD" w:rsidRDefault="009A1572" w:rsidP="009A1572">
      <w:pPr>
        <w:spacing w:line="360" w:lineRule="auto"/>
        <w:jc w:val="both"/>
        <w:rPr>
          <w:rFonts w:cs="Times New Roman"/>
          <w:color w:val="000000"/>
          <w:sz w:val="24"/>
          <w:szCs w:val="24"/>
        </w:rPr>
      </w:pPr>
      <w:r w:rsidRPr="00D05EBD">
        <w:rPr>
          <w:rFonts w:cs="Times New Roman"/>
          <w:color w:val="000000"/>
          <w:sz w:val="24"/>
          <w:szCs w:val="24"/>
        </w:rPr>
        <w:t xml:space="preserve">Supervisors: </w:t>
      </w:r>
      <w:r w:rsidRPr="00D05EBD">
        <w:rPr>
          <w:rFonts w:cs="Times New Roman"/>
          <w:color w:val="000000"/>
          <w:sz w:val="24"/>
          <w:szCs w:val="24"/>
        </w:rPr>
        <w:tab/>
      </w:r>
      <w:r w:rsidRPr="00D05EBD">
        <w:rPr>
          <w:rFonts w:cs="Times New Roman"/>
          <w:color w:val="000000"/>
          <w:sz w:val="24"/>
          <w:szCs w:val="24"/>
        </w:rPr>
        <w:tab/>
        <w:t xml:space="preserve">Dr Thomas Webb </w:t>
      </w:r>
      <w:hyperlink r:id="rId30" w:history="1">
        <w:r w:rsidRPr="00D05EBD">
          <w:rPr>
            <w:rStyle w:val="Hipervnculo"/>
            <w:rFonts w:cs="Times New Roman"/>
            <w:sz w:val="24"/>
            <w:szCs w:val="24"/>
          </w:rPr>
          <w:t>t.webb@sheffield.ac.uk</w:t>
        </w:r>
      </w:hyperlink>
    </w:p>
    <w:p w:rsidR="009A1572" w:rsidRPr="00D05EBD" w:rsidRDefault="009A1572" w:rsidP="009A1572">
      <w:pPr>
        <w:spacing w:line="360" w:lineRule="auto"/>
        <w:ind w:firstLine="720"/>
        <w:jc w:val="both"/>
        <w:rPr>
          <w:rFonts w:cs="Times New Roman"/>
          <w:color w:val="000000"/>
          <w:sz w:val="24"/>
          <w:szCs w:val="24"/>
        </w:rPr>
      </w:pPr>
      <w:r w:rsidRPr="00D05EBD">
        <w:rPr>
          <w:rFonts w:cs="Times New Roman"/>
          <w:color w:val="000000"/>
          <w:sz w:val="24"/>
          <w:szCs w:val="24"/>
        </w:rPr>
        <w:tab/>
      </w:r>
      <w:r w:rsidRPr="00D05EBD">
        <w:rPr>
          <w:rFonts w:cs="Times New Roman"/>
          <w:color w:val="000000"/>
          <w:sz w:val="24"/>
          <w:szCs w:val="24"/>
        </w:rPr>
        <w:tab/>
        <w:t>Prof Peter Totterdell p.totterdell@sheffield.ac.uk</w:t>
      </w:r>
    </w:p>
    <w:p w:rsidR="009A1572" w:rsidRPr="00D05EBD" w:rsidRDefault="009A1572" w:rsidP="009A1572">
      <w:pPr>
        <w:spacing w:line="480" w:lineRule="auto"/>
        <w:jc w:val="both"/>
        <w:rPr>
          <w:rFonts w:cs="Times New Roman"/>
          <w:color w:val="000000"/>
          <w:sz w:val="24"/>
          <w:szCs w:val="24"/>
        </w:rPr>
      </w:pPr>
      <w:r w:rsidRPr="00D05EBD">
        <w:rPr>
          <w:rFonts w:cs="Times New Roman"/>
          <w:color w:val="000000"/>
          <w:sz w:val="24"/>
          <w:szCs w:val="24"/>
        </w:rPr>
        <w:br w:type="page"/>
      </w:r>
    </w:p>
    <w:p w:rsidR="009A1572" w:rsidRPr="00D05EBD" w:rsidRDefault="009A1572" w:rsidP="009A1572">
      <w:pPr>
        <w:spacing w:line="480" w:lineRule="auto"/>
        <w:jc w:val="both"/>
        <w:rPr>
          <w:rFonts w:cs="Times New Roman"/>
          <w:b/>
          <w:color w:val="000000"/>
          <w:sz w:val="24"/>
          <w:szCs w:val="24"/>
        </w:rPr>
      </w:pPr>
      <w:r w:rsidRPr="00D05EBD">
        <w:rPr>
          <w:rFonts w:cs="Times New Roman"/>
          <w:b/>
          <w:color w:val="000000"/>
          <w:sz w:val="24"/>
          <w:szCs w:val="24"/>
        </w:rPr>
        <w:lastRenderedPageBreak/>
        <w:t>Participant consent form for study 2a</w:t>
      </w:r>
      <w:r w:rsidR="001175CB">
        <w:rPr>
          <w:rFonts w:cs="Times New Roman"/>
          <w:b/>
          <w:color w:val="000000"/>
          <w:sz w:val="24"/>
          <w:szCs w:val="24"/>
        </w:rPr>
        <w:t>, study 2b and study 2c</w:t>
      </w:r>
    </w:p>
    <w:p w:rsidR="009A1572" w:rsidRPr="00D05EBD" w:rsidRDefault="009A1572" w:rsidP="009A1572">
      <w:pPr>
        <w:spacing w:line="360" w:lineRule="auto"/>
        <w:jc w:val="both"/>
        <w:rPr>
          <w:rFonts w:cs="Times New Roman"/>
          <w:color w:val="000000"/>
          <w:sz w:val="24"/>
          <w:szCs w:val="24"/>
        </w:rPr>
      </w:pPr>
      <w:r w:rsidRPr="00D05EBD">
        <w:rPr>
          <w:rFonts w:cs="Times New Roman"/>
          <w:color w:val="000000"/>
          <w:sz w:val="24"/>
          <w:szCs w:val="24"/>
        </w:rPr>
        <w:t>Title of research project: Use of written English language on native English speakers</w:t>
      </w:r>
    </w:p>
    <w:p w:rsidR="009A1572" w:rsidRPr="00D05EBD" w:rsidRDefault="009A1572" w:rsidP="009A1572">
      <w:pPr>
        <w:spacing w:line="360" w:lineRule="auto"/>
        <w:jc w:val="both"/>
        <w:rPr>
          <w:rFonts w:cs="Times New Roman"/>
          <w:color w:val="000000"/>
          <w:sz w:val="24"/>
          <w:szCs w:val="24"/>
        </w:rPr>
      </w:pPr>
      <w:r w:rsidRPr="00D05EBD">
        <w:rPr>
          <w:rFonts w:cs="Times New Roman"/>
          <w:color w:val="000000"/>
          <w:sz w:val="24"/>
          <w:szCs w:val="24"/>
        </w:rPr>
        <w:t xml:space="preserve">Name of researcher: </w:t>
      </w:r>
      <w:proofErr w:type="spellStart"/>
      <w:r w:rsidRPr="00D05EBD">
        <w:rPr>
          <w:rFonts w:cs="Times New Roman"/>
          <w:color w:val="000000"/>
          <w:sz w:val="24"/>
          <w:szCs w:val="24"/>
        </w:rPr>
        <w:t>Daria</w:t>
      </w:r>
      <w:proofErr w:type="spellEnd"/>
      <w:r w:rsidRPr="00D05EBD">
        <w:rPr>
          <w:rFonts w:cs="Times New Roman"/>
          <w:color w:val="000000"/>
          <w:sz w:val="24"/>
          <w:szCs w:val="24"/>
        </w:rPr>
        <w:t xml:space="preserve"> Naieli Hernandez Ibar</w:t>
      </w:r>
    </w:p>
    <w:p w:rsidR="009A1572" w:rsidRPr="00D05EBD" w:rsidRDefault="009A1572" w:rsidP="009A1572">
      <w:pPr>
        <w:spacing w:line="360" w:lineRule="auto"/>
        <w:jc w:val="both"/>
        <w:rPr>
          <w:rFonts w:cs="Times New Roman"/>
          <w:color w:val="000000"/>
          <w:sz w:val="24"/>
          <w:szCs w:val="24"/>
        </w:rPr>
      </w:pPr>
      <w:r w:rsidRPr="00D05EBD">
        <w:rPr>
          <w:rFonts w:cs="Times New Roman"/>
          <w:color w:val="000000"/>
          <w:sz w:val="24"/>
          <w:szCs w:val="24"/>
        </w:rPr>
        <w:t>Participation identification number for this project:</w:t>
      </w:r>
    </w:p>
    <w:p w:rsidR="009A1572" w:rsidRPr="00D05EBD" w:rsidRDefault="009A1572" w:rsidP="009A1572">
      <w:pPr>
        <w:spacing w:line="360" w:lineRule="auto"/>
        <w:jc w:val="both"/>
        <w:rPr>
          <w:rFonts w:cs="Times New Roman"/>
          <w:color w:val="000000"/>
          <w:sz w:val="24"/>
          <w:szCs w:val="24"/>
        </w:rPr>
      </w:pPr>
      <w:r w:rsidRPr="00D05EBD">
        <w:rPr>
          <w:rFonts w:cs="Times New Roman"/>
          <w:color w:val="000000"/>
          <w:sz w:val="24"/>
          <w:szCs w:val="24"/>
        </w:rPr>
        <w:t xml:space="preserve">Please initial on the line provided </w:t>
      </w:r>
    </w:p>
    <w:p w:rsidR="009A1572" w:rsidRPr="00D05EBD" w:rsidRDefault="009A1572" w:rsidP="009A1572">
      <w:pPr>
        <w:pStyle w:val="Prrafodelista"/>
        <w:numPr>
          <w:ilvl w:val="0"/>
          <w:numId w:val="20"/>
        </w:numPr>
        <w:spacing w:after="0" w:line="360" w:lineRule="auto"/>
        <w:jc w:val="both"/>
        <w:rPr>
          <w:rFonts w:cs="Times New Roman"/>
          <w:sz w:val="24"/>
          <w:szCs w:val="24"/>
        </w:rPr>
      </w:pPr>
      <w:r w:rsidRPr="00D05EBD">
        <w:rPr>
          <w:rFonts w:cs="Times New Roman"/>
          <w:sz w:val="24"/>
          <w:szCs w:val="24"/>
        </w:rPr>
        <w:t>I confirm that I have read and understand the information sheet explaining the above research project and I have had the opportunity to ask questions about the project.</w:t>
      </w:r>
      <w:r w:rsidRPr="00D05EBD">
        <w:rPr>
          <w:rFonts w:cs="Times New Roman"/>
          <w:sz w:val="24"/>
          <w:szCs w:val="24"/>
        </w:rPr>
        <w:tab/>
        <w:t xml:space="preserve"> _______</w:t>
      </w:r>
      <w:r w:rsidRPr="00D05EBD">
        <w:rPr>
          <w:rFonts w:cs="Times New Roman"/>
          <w:sz w:val="24"/>
          <w:szCs w:val="24"/>
        </w:rPr>
        <w:tab/>
      </w:r>
      <w:r w:rsidRPr="00D05EBD">
        <w:rPr>
          <w:rFonts w:cs="Times New Roman"/>
          <w:sz w:val="24"/>
          <w:szCs w:val="24"/>
        </w:rPr>
        <w:tab/>
      </w:r>
    </w:p>
    <w:p w:rsidR="009A1572" w:rsidRPr="00D05EBD" w:rsidRDefault="009A1572" w:rsidP="009A1572">
      <w:pPr>
        <w:pStyle w:val="Prrafodelista"/>
        <w:numPr>
          <w:ilvl w:val="0"/>
          <w:numId w:val="20"/>
        </w:numPr>
        <w:spacing w:after="0" w:line="360" w:lineRule="auto"/>
        <w:jc w:val="both"/>
        <w:rPr>
          <w:rFonts w:cs="Times New Roman"/>
          <w:sz w:val="24"/>
          <w:szCs w:val="24"/>
        </w:rPr>
      </w:pPr>
      <w:r w:rsidRPr="00D05EBD">
        <w:rPr>
          <w:rFonts w:cs="Times New Roman"/>
          <w:sz w:val="24"/>
          <w:szCs w:val="24"/>
        </w:rPr>
        <w:t>I understand that my participation is voluntary and that I am free to withdraw at any time without giving any reason and without there being any negative consequences. In addition, should I not wish to answer any particular question or questions, I am free to decline. _______</w:t>
      </w:r>
    </w:p>
    <w:p w:rsidR="009A1572" w:rsidRPr="00D05EBD" w:rsidRDefault="009A1572" w:rsidP="009A1572">
      <w:pPr>
        <w:pStyle w:val="Prrafodelista"/>
        <w:numPr>
          <w:ilvl w:val="0"/>
          <w:numId w:val="20"/>
        </w:numPr>
        <w:tabs>
          <w:tab w:val="left" w:pos="360"/>
        </w:tabs>
        <w:spacing w:after="0" w:line="360" w:lineRule="auto"/>
        <w:jc w:val="both"/>
        <w:rPr>
          <w:rFonts w:cs="Times New Roman"/>
          <w:sz w:val="24"/>
          <w:szCs w:val="24"/>
        </w:rPr>
      </w:pPr>
      <w:r w:rsidRPr="00D05EBD">
        <w:rPr>
          <w:rFonts w:cs="Times New Roman"/>
          <w:sz w:val="24"/>
          <w:szCs w:val="24"/>
        </w:rPr>
        <w:t xml:space="preserve">I understand that my responses will be kept strictly confidential. I give permission for members of the research team to have access to my </w:t>
      </w:r>
      <w:proofErr w:type="spellStart"/>
      <w:r w:rsidRPr="00D05EBD">
        <w:rPr>
          <w:rFonts w:cs="Times New Roman"/>
          <w:sz w:val="24"/>
          <w:szCs w:val="24"/>
        </w:rPr>
        <w:t>anonymised</w:t>
      </w:r>
      <w:proofErr w:type="spellEnd"/>
      <w:r w:rsidRPr="00D05EBD">
        <w:rPr>
          <w:rFonts w:cs="Times New Roman"/>
          <w:sz w:val="24"/>
          <w:szCs w:val="24"/>
        </w:rPr>
        <w:t xml:space="preserve"> responses. I understand that my name will not be linked with the research materials, and I will not be identified or identifiable in the report or reports that result from the research.  _______</w:t>
      </w:r>
    </w:p>
    <w:p w:rsidR="009A1572" w:rsidRPr="00D05EBD" w:rsidRDefault="009A1572" w:rsidP="009A1572">
      <w:pPr>
        <w:pStyle w:val="Prrafodelista"/>
        <w:numPr>
          <w:ilvl w:val="0"/>
          <w:numId w:val="20"/>
        </w:numPr>
        <w:tabs>
          <w:tab w:val="left" w:pos="360"/>
        </w:tabs>
        <w:spacing w:line="360" w:lineRule="auto"/>
        <w:jc w:val="both"/>
        <w:rPr>
          <w:rFonts w:cs="Times New Roman"/>
          <w:sz w:val="24"/>
          <w:szCs w:val="24"/>
        </w:rPr>
      </w:pPr>
      <w:r w:rsidRPr="00D05EBD">
        <w:rPr>
          <w:rFonts w:cs="Times New Roman"/>
          <w:sz w:val="24"/>
          <w:szCs w:val="24"/>
        </w:rPr>
        <w:t xml:space="preserve">I agree for the data collected from me to be used in future research. _______            </w:t>
      </w:r>
    </w:p>
    <w:p w:rsidR="009A1572" w:rsidRPr="00D05EBD" w:rsidRDefault="009A1572" w:rsidP="009A1572">
      <w:pPr>
        <w:pStyle w:val="Prrafodelista"/>
        <w:numPr>
          <w:ilvl w:val="0"/>
          <w:numId w:val="20"/>
        </w:numPr>
        <w:tabs>
          <w:tab w:val="left" w:pos="360"/>
        </w:tabs>
        <w:spacing w:after="0" w:line="360" w:lineRule="auto"/>
        <w:jc w:val="both"/>
        <w:rPr>
          <w:rFonts w:cs="Times New Roman"/>
          <w:sz w:val="24"/>
          <w:szCs w:val="24"/>
        </w:rPr>
      </w:pPr>
      <w:r w:rsidRPr="00D05EBD">
        <w:rPr>
          <w:rFonts w:cs="Times New Roman"/>
          <w:sz w:val="24"/>
          <w:szCs w:val="24"/>
        </w:rPr>
        <w:t>I agree to take part in the above research project. _______</w:t>
      </w:r>
      <w:r w:rsidRPr="00D05EBD">
        <w:rPr>
          <w:rFonts w:cs="Times New Roman"/>
          <w:sz w:val="24"/>
          <w:szCs w:val="24"/>
        </w:rPr>
        <w:tab/>
      </w:r>
      <w:r w:rsidRPr="00D05EBD">
        <w:rPr>
          <w:rFonts w:cs="Times New Roman"/>
          <w:sz w:val="24"/>
          <w:szCs w:val="24"/>
        </w:rPr>
        <w:tab/>
        <w:t xml:space="preserve">           </w:t>
      </w:r>
      <w:r w:rsidRPr="00D05EBD">
        <w:rPr>
          <w:rFonts w:cs="Times New Roman"/>
          <w:sz w:val="24"/>
          <w:szCs w:val="24"/>
        </w:rPr>
        <w:tab/>
        <w:t xml:space="preserve">   </w:t>
      </w:r>
    </w:p>
    <w:p w:rsidR="009A1572" w:rsidRPr="00D05EBD" w:rsidRDefault="009A1572" w:rsidP="009A1572">
      <w:pPr>
        <w:spacing w:line="360" w:lineRule="auto"/>
        <w:jc w:val="both"/>
        <w:rPr>
          <w:rFonts w:cs="Times New Roman"/>
          <w:sz w:val="24"/>
          <w:szCs w:val="24"/>
        </w:rPr>
      </w:pPr>
    </w:p>
    <w:p w:rsidR="009A1572" w:rsidRPr="00D05EBD" w:rsidRDefault="009A1572" w:rsidP="009A1572">
      <w:pPr>
        <w:tabs>
          <w:tab w:val="left" w:pos="3600"/>
          <w:tab w:val="left" w:pos="6480"/>
        </w:tabs>
        <w:spacing w:line="360" w:lineRule="auto"/>
        <w:jc w:val="both"/>
        <w:rPr>
          <w:rFonts w:cs="Times New Roman"/>
          <w:sz w:val="24"/>
          <w:szCs w:val="24"/>
        </w:rPr>
      </w:pPr>
      <w:r w:rsidRPr="00D05EBD">
        <w:rPr>
          <w:rFonts w:cs="Times New Roman"/>
          <w:sz w:val="24"/>
          <w:szCs w:val="24"/>
        </w:rPr>
        <w:t>________________________</w:t>
      </w:r>
      <w:r w:rsidRPr="00D05EBD">
        <w:rPr>
          <w:rFonts w:cs="Times New Roman"/>
          <w:sz w:val="24"/>
          <w:szCs w:val="24"/>
        </w:rPr>
        <w:tab/>
        <w:t>________________         ____________________</w:t>
      </w:r>
    </w:p>
    <w:p w:rsidR="009A1572" w:rsidRPr="00D05EBD" w:rsidRDefault="009A1572" w:rsidP="009A1572">
      <w:pPr>
        <w:tabs>
          <w:tab w:val="left" w:pos="3600"/>
          <w:tab w:val="left" w:pos="6480"/>
        </w:tabs>
        <w:spacing w:line="360" w:lineRule="auto"/>
        <w:jc w:val="both"/>
        <w:rPr>
          <w:rFonts w:cs="Times New Roman"/>
          <w:sz w:val="24"/>
          <w:szCs w:val="24"/>
        </w:rPr>
      </w:pPr>
      <w:r w:rsidRPr="00D05EBD">
        <w:rPr>
          <w:rFonts w:cs="Times New Roman"/>
          <w:sz w:val="24"/>
          <w:szCs w:val="24"/>
        </w:rPr>
        <w:t>Name of Participant</w:t>
      </w:r>
      <w:r w:rsidRPr="00D05EBD">
        <w:rPr>
          <w:rFonts w:cs="Times New Roman"/>
          <w:sz w:val="24"/>
          <w:szCs w:val="24"/>
        </w:rPr>
        <w:tab/>
        <w:t>Date</w:t>
      </w:r>
      <w:r w:rsidRPr="00D05EBD">
        <w:rPr>
          <w:rFonts w:cs="Times New Roman"/>
          <w:sz w:val="24"/>
          <w:szCs w:val="24"/>
        </w:rPr>
        <w:tab/>
        <w:t>Signature</w:t>
      </w:r>
    </w:p>
    <w:p w:rsidR="009A1572" w:rsidRPr="00D05EBD" w:rsidRDefault="009A1572" w:rsidP="009A1572">
      <w:pPr>
        <w:spacing w:line="360" w:lineRule="auto"/>
        <w:jc w:val="both"/>
        <w:rPr>
          <w:rFonts w:cs="Times New Roman"/>
          <w:sz w:val="24"/>
          <w:szCs w:val="24"/>
        </w:rPr>
      </w:pPr>
      <w:r w:rsidRPr="00D05EBD">
        <w:rPr>
          <w:rFonts w:cs="Times New Roman"/>
          <w:sz w:val="24"/>
          <w:szCs w:val="24"/>
        </w:rPr>
        <w:t>(</w:t>
      </w:r>
      <w:r w:rsidRPr="00D05EBD">
        <w:rPr>
          <w:rFonts w:cs="Times New Roman"/>
          <w:i/>
          <w:iCs/>
          <w:sz w:val="24"/>
          <w:szCs w:val="24"/>
        </w:rPr>
        <w:t>or legal representative</w:t>
      </w:r>
      <w:r w:rsidRPr="00D05EBD">
        <w:rPr>
          <w:rFonts w:cs="Times New Roman"/>
          <w:sz w:val="24"/>
          <w:szCs w:val="24"/>
        </w:rPr>
        <w:t>)</w:t>
      </w:r>
    </w:p>
    <w:p w:rsidR="009A1572" w:rsidRPr="00D05EBD" w:rsidRDefault="009A1572" w:rsidP="009A1572">
      <w:pPr>
        <w:spacing w:line="480" w:lineRule="auto"/>
        <w:jc w:val="both"/>
        <w:rPr>
          <w:rFonts w:cs="Times New Roman"/>
          <w:color w:val="000000"/>
          <w:sz w:val="24"/>
          <w:szCs w:val="24"/>
        </w:rPr>
      </w:pPr>
    </w:p>
    <w:p w:rsidR="009A1572" w:rsidRPr="00D05EBD" w:rsidRDefault="009A1572" w:rsidP="009A1572">
      <w:pPr>
        <w:spacing w:line="480" w:lineRule="auto"/>
        <w:ind w:firstLine="720"/>
        <w:jc w:val="both"/>
        <w:rPr>
          <w:rFonts w:cs="Times New Roman"/>
          <w:color w:val="000000"/>
          <w:sz w:val="24"/>
          <w:szCs w:val="24"/>
        </w:rPr>
      </w:pPr>
    </w:p>
    <w:p w:rsidR="009A1572" w:rsidRPr="00D05EBD" w:rsidRDefault="009A1572" w:rsidP="009A1572">
      <w:pPr>
        <w:spacing w:line="480" w:lineRule="auto"/>
        <w:ind w:firstLine="720"/>
        <w:jc w:val="both"/>
        <w:rPr>
          <w:rFonts w:cs="Times New Roman"/>
          <w:sz w:val="24"/>
          <w:szCs w:val="24"/>
        </w:rPr>
      </w:pPr>
    </w:p>
    <w:p w:rsidR="009A1572" w:rsidRPr="00D05EBD" w:rsidRDefault="009A1572" w:rsidP="009A1572">
      <w:pPr>
        <w:spacing w:line="480" w:lineRule="auto"/>
        <w:jc w:val="both"/>
        <w:rPr>
          <w:rFonts w:cs="Times New Roman"/>
          <w:b/>
          <w:sz w:val="24"/>
          <w:szCs w:val="24"/>
        </w:rPr>
      </w:pPr>
      <w:r w:rsidRPr="00D05EBD">
        <w:rPr>
          <w:rFonts w:cs="Times New Roman"/>
          <w:b/>
          <w:sz w:val="24"/>
          <w:szCs w:val="24"/>
        </w:rPr>
        <w:lastRenderedPageBreak/>
        <w:t>Scrambled Sentence Task</w:t>
      </w:r>
      <w:r w:rsidR="001175CB">
        <w:rPr>
          <w:rFonts w:cs="Times New Roman"/>
          <w:b/>
          <w:sz w:val="24"/>
          <w:szCs w:val="24"/>
        </w:rPr>
        <w:t xml:space="preserve"> for studies 2a, 2b and 2c</w:t>
      </w:r>
    </w:p>
    <w:p w:rsidR="009A1572" w:rsidRPr="00D05EBD" w:rsidRDefault="009A1572" w:rsidP="009A1572">
      <w:pPr>
        <w:spacing w:line="480" w:lineRule="auto"/>
        <w:jc w:val="both"/>
        <w:rPr>
          <w:rFonts w:cs="Times New Roman"/>
          <w:b/>
          <w:sz w:val="24"/>
          <w:szCs w:val="24"/>
        </w:rPr>
      </w:pPr>
    </w:p>
    <w:tbl>
      <w:tblPr>
        <w:tblW w:w="9400" w:type="dxa"/>
        <w:tblInd w:w="90" w:type="dxa"/>
        <w:tblLook w:val="04A0"/>
      </w:tblPr>
      <w:tblGrid>
        <w:gridCol w:w="4700"/>
        <w:gridCol w:w="4700"/>
      </w:tblGrid>
      <w:tr w:rsidR="009A1572" w:rsidRPr="00D05EBD" w:rsidTr="00C06FB0">
        <w:trPr>
          <w:trHeight w:val="300"/>
        </w:trPr>
        <w:tc>
          <w:tcPr>
            <w:tcW w:w="9400" w:type="dxa"/>
            <w:gridSpan w:val="2"/>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b/>
                <w:bCs/>
                <w:color w:val="000000"/>
                <w:sz w:val="24"/>
                <w:szCs w:val="24"/>
              </w:rPr>
            </w:pPr>
            <w:r w:rsidRPr="00D05EBD">
              <w:rPr>
                <w:rFonts w:eastAsia="Times New Roman" w:cs="Times New Roman"/>
                <w:b/>
                <w:bCs/>
                <w:color w:val="000000"/>
                <w:sz w:val="24"/>
                <w:szCs w:val="24"/>
              </w:rPr>
              <w:t>WORSENING IER SCRAMBLED SENTENCES</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1. here / smells / food / like / it</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it smells like food here</w:t>
            </w:r>
          </w:p>
        </w:tc>
      </w:tr>
      <w:tr w:rsidR="009A1572" w:rsidRPr="00D05EBD" w:rsidTr="00C06FB0">
        <w:trPr>
          <w:trHeight w:val="285"/>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2. old / sold / they / wardrobe / an</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they sold an old wardrobe</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3. popular / the / </w:t>
            </w:r>
            <w:r w:rsidRPr="00D05EBD">
              <w:rPr>
                <w:rFonts w:eastAsia="Times New Roman" w:cs="Times New Roman"/>
                <w:b/>
                <w:bCs/>
                <w:color w:val="000000"/>
                <w:sz w:val="24"/>
                <w:szCs w:val="24"/>
              </w:rPr>
              <w:t>intimidates</w:t>
            </w:r>
            <w:r w:rsidRPr="00D05EBD">
              <w:rPr>
                <w:rFonts w:eastAsia="Times New Roman" w:cs="Times New Roman"/>
                <w:color w:val="000000"/>
                <w:sz w:val="24"/>
                <w:szCs w:val="24"/>
              </w:rPr>
              <w:t xml:space="preserve"> / girl / everyone</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everyone intimidates the popular girl</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4. ones / younger / older / siblings / </w:t>
            </w:r>
            <w:r w:rsidRPr="00D05EBD">
              <w:rPr>
                <w:rFonts w:eastAsia="Times New Roman" w:cs="Times New Roman"/>
                <w:b/>
                <w:bCs/>
                <w:color w:val="000000"/>
                <w:sz w:val="24"/>
                <w:szCs w:val="24"/>
              </w:rPr>
              <w:t>patronise</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older siblings patronise younger ones</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5. seven / closes / at / library / the</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the library closes at seven</w:t>
            </w:r>
          </w:p>
        </w:tc>
      </w:tr>
      <w:tr w:rsidR="009A1572" w:rsidRPr="00D05EBD" w:rsidTr="00C06FB0">
        <w:trPr>
          <w:trHeight w:val="315"/>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6. boyfriend / she / her / </w:t>
            </w:r>
            <w:r w:rsidRPr="00D05EBD">
              <w:rPr>
                <w:rFonts w:eastAsia="Times New Roman" w:cs="Times New Roman"/>
                <w:b/>
                <w:bCs/>
                <w:color w:val="000000"/>
                <w:sz w:val="24"/>
                <w:szCs w:val="24"/>
              </w:rPr>
              <w:t>annoys</w:t>
            </w:r>
            <w:r w:rsidRPr="00D05EBD">
              <w:rPr>
                <w:rFonts w:eastAsia="Times New Roman" w:cs="Times New Roman"/>
                <w:color w:val="000000"/>
                <w:sz w:val="24"/>
                <w:szCs w:val="24"/>
              </w:rPr>
              <w:t xml:space="preserve"> / always</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she always annoys her boyfriend</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7.other / </w:t>
            </w:r>
            <w:r w:rsidRPr="00D05EBD">
              <w:rPr>
                <w:rFonts w:eastAsia="Times New Roman" w:cs="Times New Roman"/>
                <w:b/>
                <w:bCs/>
                <w:color w:val="000000"/>
                <w:sz w:val="24"/>
                <w:szCs w:val="24"/>
              </w:rPr>
              <w:t>bother</w:t>
            </w:r>
            <w:r w:rsidRPr="00D05EBD">
              <w:rPr>
                <w:rFonts w:eastAsia="Times New Roman" w:cs="Times New Roman"/>
                <w:color w:val="000000"/>
                <w:sz w:val="24"/>
                <w:szCs w:val="24"/>
              </w:rPr>
              <w:t xml:space="preserve"> / friends / each / some</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some friends bother each other</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8. weather / is / the / available / forecast</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the weather forecast is available</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9. grandchildren / </w:t>
            </w:r>
            <w:r w:rsidRPr="00D05EBD">
              <w:rPr>
                <w:rFonts w:eastAsia="Times New Roman" w:cs="Times New Roman"/>
                <w:b/>
                <w:bCs/>
                <w:color w:val="000000"/>
                <w:sz w:val="24"/>
                <w:szCs w:val="24"/>
              </w:rPr>
              <w:t>rejects</w:t>
            </w:r>
            <w:r w:rsidRPr="00D05EBD">
              <w:rPr>
                <w:rFonts w:eastAsia="Times New Roman" w:cs="Times New Roman"/>
                <w:color w:val="000000"/>
                <w:sz w:val="24"/>
                <w:szCs w:val="24"/>
              </w:rPr>
              <w:t xml:space="preserve"> / a / her / grandma</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a grandma rejects her grandchildren</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10. speak / English / many / people / million</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many million people speak English</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11. must / teeth / they / their / brush</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they must brush their teeth</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12. </w:t>
            </w:r>
            <w:r w:rsidRPr="00D05EBD">
              <w:rPr>
                <w:rFonts w:eastAsia="Times New Roman" w:cs="Times New Roman"/>
                <w:b/>
                <w:bCs/>
                <w:color w:val="000000"/>
                <w:sz w:val="24"/>
                <w:szCs w:val="24"/>
              </w:rPr>
              <w:t>bullies</w:t>
            </w:r>
            <w:r w:rsidRPr="00D05EBD">
              <w:rPr>
                <w:rFonts w:eastAsia="Times New Roman" w:cs="Times New Roman"/>
                <w:color w:val="000000"/>
                <w:sz w:val="24"/>
                <w:szCs w:val="24"/>
              </w:rPr>
              <w:t xml:space="preserve"> / he / classmates / his / female</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he bullies his female classmates</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13. peers / young / people / their / </w:t>
            </w:r>
            <w:r w:rsidRPr="00D05EBD">
              <w:rPr>
                <w:rFonts w:eastAsia="Times New Roman" w:cs="Times New Roman"/>
                <w:b/>
                <w:bCs/>
                <w:color w:val="000000"/>
                <w:sz w:val="24"/>
                <w:szCs w:val="24"/>
              </w:rPr>
              <w:t>mock</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young people mock their peers</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14. double / the / has / building / glazing</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the building has double glazing</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15. patients / </w:t>
            </w:r>
            <w:r w:rsidRPr="00D05EBD">
              <w:rPr>
                <w:rFonts w:eastAsia="Times New Roman" w:cs="Times New Roman"/>
                <w:b/>
                <w:bCs/>
                <w:color w:val="000000"/>
                <w:sz w:val="24"/>
                <w:szCs w:val="24"/>
              </w:rPr>
              <w:t>hurts</w:t>
            </w:r>
            <w:r w:rsidRPr="00D05EBD">
              <w:rPr>
                <w:rFonts w:eastAsia="Times New Roman" w:cs="Times New Roman"/>
                <w:color w:val="000000"/>
                <w:sz w:val="24"/>
                <w:szCs w:val="24"/>
              </w:rPr>
              <w:t xml:space="preserve"> / a / nurse / her</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a nurse hurts her patients</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16. summer / than / autumn / warmer /is</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summer is warmer than autumn</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17. their / mothers / </w:t>
            </w:r>
            <w:r w:rsidRPr="00D05EBD">
              <w:rPr>
                <w:rFonts w:eastAsia="Times New Roman" w:cs="Times New Roman"/>
                <w:b/>
                <w:bCs/>
                <w:color w:val="000000"/>
                <w:sz w:val="24"/>
                <w:szCs w:val="24"/>
              </w:rPr>
              <w:t>belittle</w:t>
            </w:r>
            <w:r w:rsidRPr="00D05EBD">
              <w:rPr>
                <w:rFonts w:eastAsia="Times New Roman" w:cs="Times New Roman"/>
                <w:color w:val="000000"/>
                <w:sz w:val="24"/>
                <w:szCs w:val="24"/>
              </w:rPr>
              <w:t xml:space="preserve"> / own / children</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mothers belittle their own children</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18. </w:t>
            </w:r>
            <w:r w:rsidRPr="00D05EBD">
              <w:rPr>
                <w:rFonts w:eastAsia="Times New Roman" w:cs="Times New Roman"/>
                <w:b/>
                <w:bCs/>
                <w:color w:val="000000"/>
                <w:sz w:val="24"/>
                <w:szCs w:val="24"/>
              </w:rPr>
              <w:t>insults</w:t>
            </w:r>
            <w:r w:rsidRPr="00D05EBD">
              <w:rPr>
                <w:rFonts w:eastAsia="Times New Roman" w:cs="Times New Roman"/>
                <w:color w:val="000000"/>
                <w:sz w:val="24"/>
                <w:szCs w:val="24"/>
              </w:rPr>
              <w:t xml:space="preserve"> / teacher / our / students / her</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our teacher insults her students</w:t>
            </w:r>
          </w:p>
        </w:tc>
      </w:tr>
    </w:tbl>
    <w:p w:rsidR="009A1572" w:rsidRPr="00D05EBD" w:rsidRDefault="009A1572" w:rsidP="009A1572">
      <w:pPr>
        <w:spacing w:line="480" w:lineRule="auto"/>
        <w:jc w:val="both"/>
        <w:rPr>
          <w:rFonts w:cs="Times New Roman"/>
          <w:sz w:val="24"/>
          <w:szCs w:val="24"/>
        </w:rPr>
      </w:pPr>
    </w:p>
    <w:tbl>
      <w:tblPr>
        <w:tblW w:w="9400" w:type="dxa"/>
        <w:tblInd w:w="90" w:type="dxa"/>
        <w:tblLook w:val="04A0"/>
      </w:tblPr>
      <w:tblGrid>
        <w:gridCol w:w="4700"/>
        <w:gridCol w:w="4700"/>
      </w:tblGrid>
      <w:tr w:rsidR="009A1572" w:rsidRPr="00D05EBD" w:rsidTr="00C06FB0">
        <w:trPr>
          <w:trHeight w:val="315"/>
        </w:trPr>
        <w:tc>
          <w:tcPr>
            <w:tcW w:w="9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b/>
                <w:bCs/>
                <w:color w:val="000000"/>
                <w:sz w:val="24"/>
                <w:szCs w:val="24"/>
              </w:rPr>
            </w:pPr>
            <w:r w:rsidRPr="00D05EBD">
              <w:rPr>
                <w:rFonts w:eastAsia="Times New Roman" w:cs="Times New Roman"/>
                <w:b/>
                <w:bCs/>
                <w:color w:val="000000"/>
                <w:sz w:val="24"/>
                <w:szCs w:val="24"/>
              </w:rPr>
              <w:lastRenderedPageBreak/>
              <w:t>NEUTRAL SCRAMBLED SENTENCES</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1. here / smells / food / like / it</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it smells like food here</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2. old / sold / they / wardrobe / an</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they sold an old wardrobe</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3. popular / the / </w:t>
            </w:r>
            <w:r w:rsidRPr="00D05EBD">
              <w:rPr>
                <w:rFonts w:eastAsia="Times New Roman" w:cs="Times New Roman"/>
                <w:b/>
                <w:bCs/>
                <w:color w:val="000000"/>
                <w:sz w:val="24"/>
                <w:szCs w:val="24"/>
              </w:rPr>
              <w:t>imitates</w:t>
            </w:r>
            <w:r w:rsidRPr="00D05EBD">
              <w:rPr>
                <w:rFonts w:eastAsia="Times New Roman" w:cs="Times New Roman"/>
                <w:color w:val="000000"/>
                <w:sz w:val="24"/>
                <w:szCs w:val="24"/>
              </w:rPr>
              <w:t xml:space="preserve"> / girl / everyone</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everyone </w:t>
            </w:r>
            <w:r w:rsidRPr="00D05EBD">
              <w:rPr>
                <w:rFonts w:eastAsia="Times New Roman" w:cs="Times New Roman"/>
                <w:bCs/>
                <w:color w:val="000000"/>
                <w:sz w:val="24"/>
                <w:szCs w:val="24"/>
              </w:rPr>
              <w:t>imitates</w:t>
            </w:r>
            <w:r w:rsidRPr="00D05EBD">
              <w:rPr>
                <w:rFonts w:eastAsia="Times New Roman" w:cs="Times New Roman"/>
                <w:color w:val="000000"/>
                <w:sz w:val="24"/>
                <w:szCs w:val="24"/>
              </w:rPr>
              <w:t xml:space="preserve"> the popular girl</w:t>
            </w:r>
          </w:p>
        </w:tc>
      </w:tr>
      <w:tr w:rsidR="009A1572" w:rsidRPr="00D05EBD" w:rsidTr="00C06FB0">
        <w:trPr>
          <w:trHeight w:val="315"/>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4. ones / younger / older / siblings / </w:t>
            </w:r>
            <w:r w:rsidRPr="00D05EBD">
              <w:rPr>
                <w:rFonts w:eastAsia="Times New Roman" w:cs="Times New Roman"/>
                <w:b/>
                <w:bCs/>
                <w:color w:val="000000"/>
                <w:sz w:val="24"/>
                <w:szCs w:val="24"/>
              </w:rPr>
              <w:t>surround</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older siblings surround younger ones</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5. seven / closes / at / library / the</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the library closes at seven</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6. boyfriend / she / her / </w:t>
            </w:r>
            <w:r w:rsidRPr="00D05EBD">
              <w:rPr>
                <w:rFonts w:eastAsia="Times New Roman" w:cs="Times New Roman"/>
                <w:b/>
                <w:bCs/>
                <w:color w:val="000000"/>
                <w:sz w:val="24"/>
                <w:szCs w:val="24"/>
              </w:rPr>
              <w:t>nominates</w:t>
            </w:r>
            <w:r w:rsidRPr="00D05EBD">
              <w:rPr>
                <w:rFonts w:eastAsia="Times New Roman" w:cs="Times New Roman"/>
                <w:color w:val="000000"/>
                <w:sz w:val="24"/>
                <w:szCs w:val="24"/>
              </w:rPr>
              <w:t xml:space="preserve"> / always</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she always nominates her boyfriend</w:t>
            </w:r>
          </w:p>
        </w:tc>
      </w:tr>
      <w:tr w:rsidR="009A1572" w:rsidRPr="00D05EBD" w:rsidTr="00C06FB0">
        <w:trPr>
          <w:trHeight w:val="315"/>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7. other / </w:t>
            </w:r>
            <w:r w:rsidRPr="00D05EBD">
              <w:rPr>
                <w:rFonts w:eastAsia="Times New Roman" w:cs="Times New Roman"/>
                <w:b/>
                <w:bCs/>
                <w:color w:val="000000"/>
                <w:sz w:val="24"/>
                <w:szCs w:val="24"/>
              </w:rPr>
              <w:t>select</w:t>
            </w:r>
            <w:r w:rsidRPr="00D05EBD">
              <w:rPr>
                <w:rFonts w:eastAsia="Times New Roman" w:cs="Times New Roman"/>
                <w:color w:val="000000"/>
                <w:sz w:val="24"/>
                <w:szCs w:val="24"/>
              </w:rPr>
              <w:t xml:space="preserve"> / friends / each / some</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some friends select each other</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8. weather / is / the / available / forecast</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the weather forecast is available</w:t>
            </w:r>
          </w:p>
        </w:tc>
      </w:tr>
      <w:tr w:rsidR="009A1572" w:rsidRPr="00D05EBD" w:rsidTr="00C06FB0">
        <w:trPr>
          <w:trHeight w:val="285"/>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9. grandchildren / </w:t>
            </w:r>
            <w:r w:rsidRPr="00D05EBD">
              <w:rPr>
                <w:rFonts w:eastAsia="Times New Roman" w:cs="Times New Roman"/>
                <w:b/>
                <w:bCs/>
                <w:color w:val="000000"/>
                <w:sz w:val="24"/>
                <w:szCs w:val="24"/>
              </w:rPr>
              <w:t>awaits</w:t>
            </w:r>
            <w:r w:rsidRPr="00D05EBD">
              <w:rPr>
                <w:rFonts w:eastAsia="Times New Roman" w:cs="Times New Roman"/>
                <w:color w:val="000000"/>
                <w:sz w:val="24"/>
                <w:szCs w:val="24"/>
              </w:rPr>
              <w:t xml:space="preserve"> / a / her / grandma</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a grandma awaits her grandchildren</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10. speak / English / many / people / million</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many million people speak English</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11. must / teeth / they / their / brush</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they must brush their teeth</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12. </w:t>
            </w:r>
            <w:r w:rsidRPr="00D05EBD">
              <w:rPr>
                <w:rFonts w:eastAsia="Times New Roman" w:cs="Times New Roman"/>
                <w:b/>
                <w:bCs/>
                <w:color w:val="000000"/>
                <w:sz w:val="24"/>
                <w:szCs w:val="24"/>
              </w:rPr>
              <w:t>appraises</w:t>
            </w:r>
            <w:r w:rsidRPr="00D05EBD">
              <w:rPr>
                <w:rFonts w:eastAsia="Times New Roman" w:cs="Times New Roman"/>
                <w:color w:val="000000"/>
                <w:sz w:val="24"/>
                <w:szCs w:val="24"/>
              </w:rPr>
              <w:t xml:space="preserve"> / he / classmates / his / female</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he appraises his female classmates</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13. peers / young / people / their / </w:t>
            </w:r>
            <w:r w:rsidRPr="00D05EBD">
              <w:rPr>
                <w:rFonts w:eastAsia="Times New Roman" w:cs="Times New Roman"/>
                <w:b/>
                <w:bCs/>
                <w:color w:val="000000"/>
                <w:sz w:val="24"/>
                <w:szCs w:val="24"/>
              </w:rPr>
              <w:t>cite</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young people cite their peers</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14. double / the / has / building / glazing</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the building has double glazing</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15. patients / </w:t>
            </w:r>
            <w:r w:rsidRPr="00D05EBD">
              <w:rPr>
                <w:rFonts w:eastAsia="Times New Roman" w:cs="Times New Roman"/>
                <w:b/>
                <w:bCs/>
                <w:color w:val="000000"/>
                <w:sz w:val="24"/>
                <w:szCs w:val="24"/>
              </w:rPr>
              <w:t>washes</w:t>
            </w:r>
            <w:r w:rsidRPr="00D05EBD">
              <w:rPr>
                <w:rFonts w:eastAsia="Times New Roman" w:cs="Times New Roman"/>
                <w:color w:val="000000"/>
                <w:sz w:val="24"/>
                <w:szCs w:val="24"/>
              </w:rPr>
              <w:t xml:space="preserve"> / a / nurse / her</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a nurse washes her patients</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16. summer / than / autumn / warmer /is</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summer is warmer than autumn</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17. their / mothers / </w:t>
            </w:r>
            <w:r w:rsidRPr="00D05EBD">
              <w:rPr>
                <w:rFonts w:eastAsia="Times New Roman" w:cs="Times New Roman"/>
                <w:b/>
                <w:bCs/>
                <w:color w:val="000000"/>
                <w:sz w:val="24"/>
                <w:szCs w:val="24"/>
              </w:rPr>
              <w:t>resemble</w:t>
            </w:r>
            <w:r w:rsidRPr="00D05EBD">
              <w:rPr>
                <w:rFonts w:eastAsia="Times New Roman" w:cs="Times New Roman"/>
                <w:color w:val="000000"/>
                <w:sz w:val="24"/>
                <w:szCs w:val="24"/>
              </w:rPr>
              <w:t xml:space="preserve"> / own / children</w:t>
            </w:r>
          </w:p>
        </w:tc>
        <w:tc>
          <w:tcPr>
            <w:tcW w:w="4700" w:type="dxa"/>
            <w:tcBorders>
              <w:top w:val="single" w:sz="4" w:space="0" w:color="auto"/>
              <w:left w:val="single" w:sz="4" w:space="0" w:color="auto"/>
              <w:bottom w:val="single" w:sz="4" w:space="0" w:color="auto"/>
              <w:right w:val="single" w:sz="4" w:space="0" w:color="auto"/>
            </w:tcBorders>
            <w:shd w:val="clear" w:color="EAF1DD" w:fill="EAF1DD"/>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mothers resemble their own children</w:t>
            </w:r>
          </w:p>
        </w:tc>
      </w:tr>
      <w:tr w:rsidR="009A1572" w:rsidRPr="00D05EBD" w:rsidTr="00C06FB0">
        <w:trPr>
          <w:trHeight w:val="30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 xml:space="preserve">18. </w:t>
            </w:r>
            <w:r w:rsidRPr="00D05EBD">
              <w:rPr>
                <w:rFonts w:eastAsia="Times New Roman" w:cs="Times New Roman"/>
                <w:b/>
                <w:bCs/>
                <w:color w:val="000000"/>
                <w:sz w:val="24"/>
                <w:szCs w:val="24"/>
              </w:rPr>
              <w:t>informs</w:t>
            </w:r>
            <w:r w:rsidRPr="00D05EBD">
              <w:rPr>
                <w:rFonts w:eastAsia="Times New Roman" w:cs="Times New Roman"/>
                <w:color w:val="000000"/>
                <w:sz w:val="24"/>
                <w:szCs w:val="24"/>
              </w:rPr>
              <w:t xml:space="preserve"> / teacher / our / students / her</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572" w:rsidRPr="00D05EBD" w:rsidRDefault="009A1572" w:rsidP="00C06FB0">
            <w:pPr>
              <w:spacing w:after="0" w:line="480" w:lineRule="auto"/>
              <w:jc w:val="both"/>
              <w:rPr>
                <w:rFonts w:eastAsia="Times New Roman" w:cs="Times New Roman"/>
                <w:color w:val="000000"/>
                <w:sz w:val="24"/>
                <w:szCs w:val="24"/>
              </w:rPr>
            </w:pPr>
            <w:r w:rsidRPr="00D05EBD">
              <w:rPr>
                <w:rFonts w:eastAsia="Times New Roman" w:cs="Times New Roman"/>
                <w:color w:val="000000"/>
                <w:sz w:val="24"/>
                <w:szCs w:val="24"/>
              </w:rPr>
              <w:t>our teacher informs her students</w:t>
            </w:r>
          </w:p>
        </w:tc>
      </w:tr>
    </w:tbl>
    <w:p w:rsidR="009A1572" w:rsidRDefault="009A1572" w:rsidP="009A1572">
      <w:pPr>
        <w:spacing w:line="480" w:lineRule="auto"/>
        <w:jc w:val="both"/>
        <w:rPr>
          <w:rFonts w:cs="Times New Roman"/>
          <w:sz w:val="24"/>
          <w:szCs w:val="24"/>
        </w:rPr>
      </w:pPr>
    </w:p>
    <w:p w:rsidR="009A1572" w:rsidRDefault="009A1572" w:rsidP="009A1572">
      <w:pPr>
        <w:spacing w:line="480" w:lineRule="auto"/>
        <w:jc w:val="both"/>
        <w:rPr>
          <w:rFonts w:cs="Times New Roman"/>
          <w:sz w:val="24"/>
          <w:szCs w:val="24"/>
        </w:rPr>
      </w:pPr>
    </w:p>
    <w:p w:rsidR="009A1572" w:rsidRPr="00D05EBD" w:rsidRDefault="009A1572" w:rsidP="009A1572">
      <w:pPr>
        <w:spacing w:line="480" w:lineRule="auto"/>
        <w:jc w:val="both"/>
        <w:rPr>
          <w:rFonts w:cs="Times New Roman"/>
          <w:sz w:val="24"/>
          <w:szCs w:val="24"/>
        </w:rPr>
      </w:pPr>
    </w:p>
    <w:p w:rsidR="009A1572" w:rsidRPr="00D05EBD" w:rsidRDefault="009A1572" w:rsidP="009A1572">
      <w:pPr>
        <w:spacing w:line="480" w:lineRule="auto"/>
        <w:jc w:val="both"/>
        <w:rPr>
          <w:rFonts w:cs="Times New Roman"/>
          <w:b/>
          <w:sz w:val="24"/>
          <w:szCs w:val="24"/>
        </w:rPr>
      </w:pPr>
      <w:r w:rsidRPr="00D05EBD">
        <w:rPr>
          <w:rFonts w:cs="Times New Roman"/>
          <w:b/>
          <w:sz w:val="24"/>
          <w:szCs w:val="24"/>
        </w:rPr>
        <w:lastRenderedPageBreak/>
        <w:t>Script</w:t>
      </w:r>
      <w:r w:rsidR="001175CB">
        <w:rPr>
          <w:rFonts w:cs="Times New Roman"/>
          <w:b/>
          <w:sz w:val="24"/>
          <w:szCs w:val="24"/>
        </w:rPr>
        <w:t xml:space="preserve"> studies 2a and 2b (Study 2b varied in that it did not include a ‘goal choice’).</w:t>
      </w:r>
    </w:p>
    <w:p w:rsidR="009A1572" w:rsidRDefault="009A1572" w:rsidP="009A1572">
      <w:pPr>
        <w:pStyle w:val="Prrafodelista"/>
        <w:spacing w:line="480" w:lineRule="auto"/>
        <w:ind w:left="0"/>
        <w:jc w:val="both"/>
        <w:rPr>
          <w:rFonts w:cs="Times New Roman"/>
          <w:b/>
          <w:sz w:val="24"/>
          <w:szCs w:val="24"/>
          <w:lang w:val="en-US"/>
        </w:rPr>
      </w:pPr>
      <w:r>
        <w:rPr>
          <w:rFonts w:cs="Times New Roman"/>
          <w:b/>
          <w:noProof/>
          <w:sz w:val="24"/>
          <w:szCs w:val="24"/>
          <w:lang w:eastAsia="en-GB"/>
        </w:rPr>
        <w:drawing>
          <wp:inline distT="0" distB="0" distL="0" distR="0">
            <wp:extent cx="5400040" cy="7638415"/>
            <wp:effectExtent l="19050" t="19050" r="0" b="635"/>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a:ln>
                      <a:solidFill>
                        <a:schemeClr val="accent1"/>
                      </a:solidFill>
                    </a:ln>
                  </pic:spPr>
                </pic:pic>
              </a:graphicData>
            </a:graphic>
          </wp:inline>
        </w:drawing>
      </w:r>
    </w:p>
    <w:p w:rsidR="009A1572" w:rsidRDefault="009A1572" w:rsidP="009A1572">
      <w:pPr>
        <w:pStyle w:val="Prrafodelista"/>
        <w:spacing w:line="480" w:lineRule="auto"/>
        <w:ind w:left="0"/>
        <w:jc w:val="both"/>
        <w:rPr>
          <w:rFonts w:cs="Times New Roman"/>
          <w:b/>
          <w:sz w:val="24"/>
          <w:szCs w:val="24"/>
          <w:lang w:val="en-US"/>
        </w:rPr>
      </w:pPr>
      <w:r>
        <w:rPr>
          <w:rFonts w:cs="Times New Roman"/>
          <w:b/>
          <w:noProof/>
          <w:sz w:val="24"/>
          <w:szCs w:val="24"/>
          <w:lang w:eastAsia="en-GB"/>
        </w:rPr>
        <w:lastRenderedPageBreak/>
        <w:drawing>
          <wp:inline distT="0" distB="0" distL="0" distR="0">
            <wp:extent cx="5400040" cy="7638415"/>
            <wp:effectExtent l="19050" t="19050" r="0" b="635"/>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a:ln>
                      <a:solidFill>
                        <a:schemeClr val="accent1"/>
                      </a:solidFill>
                    </a:ln>
                  </pic:spPr>
                </pic:pic>
              </a:graphicData>
            </a:graphic>
          </wp:inline>
        </w:drawing>
      </w:r>
    </w:p>
    <w:p w:rsidR="009A1572" w:rsidRDefault="009A1572" w:rsidP="009A1572">
      <w:pPr>
        <w:pStyle w:val="Prrafodelista"/>
        <w:spacing w:line="480" w:lineRule="auto"/>
        <w:ind w:left="0"/>
        <w:jc w:val="both"/>
        <w:rPr>
          <w:rFonts w:cs="Times New Roman"/>
          <w:b/>
          <w:sz w:val="24"/>
          <w:szCs w:val="24"/>
          <w:lang w:val="en-US"/>
        </w:rPr>
      </w:pPr>
    </w:p>
    <w:p w:rsidR="009A1572" w:rsidRDefault="009A1572" w:rsidP="009A1572">
      <w:pPr>
        <w:pStyle w:val="Prrafodelista"/>
        <w:spacing w:line="480" w:lineRule="auto"/>
        <w:ind w:left="0"/>
        <w:jc w:val="both"/>
        <w:rPr>
          <w:rFonts w:cs="Times New Roman"/>
          <w:b/>
          <w:sz w:val="24"/>
          <w:szCs w:val="24"/>
          <w:lang w:val="en-US"/>
        </w:rPr>
      </w:pPr>
    </w:p>
    <w:p w:rsidR="009A1572" w:rsidRDefault="009A1572" w:rsidP="009A1572">
      <w:pPr>
        <w:pStyle w:val="Prrafodelista"/>
        <w:spacing w:line="480" w:lineRule="auto"/>
        <w:ind w:left="0"/>
        <w:jc w:val="both"/>
        <w:rPr>
          <w:rFonts w:cs="Times New Roman"/>
          <w:b/>
          <w:sz w:val="24"/>
          <w:szCs w:val="24"/>
          <w:lang w:val="en-US"/>
        </w:rPr>
      </w:pPr>
    </w:p>
    <w:p w:rsidR="009A1572" w:rsidRPr="00D05EBD" w:rsidRDefault="009A1572" w:rsidP="009A1572">
      <w:pPr>
        <w:pStyle w:val="Prrafodelista"/>
        <w:spacing w:line="480" w:lineRule="auto"/>
        <w:ind w:left="0"/>
        <w:jc w:val="both"/>
        <w:rPr>
          <w:rFonts w:cs="Times New Roman"/>
          <w:b/>
          <w:sz w:val="24"/>
          <w:szCs w:val="24"/>
          <w:lang w:val="en-US"/>
        </w:rPr>
      </w:pPr>
      <w:r w:rsidRPr="00D05EBD">
        <w:rPr>
          <w:rFonts w:cs="Times New Roman"/>
          <w:b/>
          <w:sz w:val="24"/>
          <w:szCs w:val="24"/>
          <w:lang w:val="en-US"/>
        </w:rPr>
        <w:lastRenderedPageBreak/>
        <w:t>Social-Desirability Short Scale</w:t>
      </w:r>
      <w:r w:rsidR="001175CB">
        <w:rPr>
          <w:rFonts w:cs="Times New Roman"/>
          <w:b/>
          <w:sz w:val="24"/>
          <w:szCs w:val="24"/>
          <w:lang w:val="en-US"/>
        </w:rPr>
        <w:t xml:space="preserve"> studies 2a, 2b and 2c</w:t>
      </w:r>
    </w:p>
    <w:p w:rsidR="009A1572" w:rsidRPr="00D05EBD" w:rsidRDefault="009A1572" w:rsidP="009A1572">
      <w:pPr>
        <w:spacing w:line="480" w:lineRule="auto"/>
        <w:jc w:val="both"/>
        <w:rPr>
          <w:rFonts w:cs="Times New Roman"/>
          <w:sz w:val="24"/>
          <w:szCs w:val="24"/>
        </w:rPr>
      </w:pPr>
      <w:r>
        <w:rPr>
          <w:rFonts w:cs="Times New Roman"/>
          <w:noProof/>
          <w:sz w:val="24"/>
          <w:szCs w:val="24"/>
          <w:lang w:eastAsia="en-GB"/>
        </w:rPr>
        <w:drawing>
          <wp:inline distT="0" distB="0" distL="0" distR="0">
            <wp:extent cx="5400040" cy="7638415"/>
            <wp:effectExtent l="19050" t="19050" r="0" b="635"/>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Desirability-Short-Scale.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a:ln>
                      <a:solidFill>
                        <a:schemeClr val="accent1"/>
                      </a:solidFill>
                    </a:ln>
                  </pic:spPr>
                </pic:pic>
              </a:graphicData>
            </a:graphic>
          </wp:inline>
        </w:drawing>
      </w:r>
    </w:p>
    <w:p w:rsidR="009A1572" w:rsidRPr="00D05EBD" w:rsidRDefault="009A1572" w:rsidP="009A1572">
      <w:pPr>
        <w:spacing w:line="480" w:lineRule="auto"/>
        <w:jc w:val="both"/>
        <w:rPr>
          <w:rFonts w:cs="Times New Roman"/>
          <w:sz w:val="24"/>
          <w:szCs w:val="24"/>
        </w:rPr>
      </w:pPr>
    </w:p>
    <w:p w:rsidR="001175CB" w:rsidRDefault="001175CB" w:rsidP="009A1572">
      <w:pPr>
        <w:spacing w:line="480" w:lineRule="auto"/>
        <w:jc w:val="both"/>
        <w:rPr>
          <w:rFonts w:cs="Times-Bold"/>
          <w:b/>
          <w:bCs/>
          <w:sz w:val="24"/>
          <w:szCs w:val="24"/>
        </w:rPr>
      </w:pPr>
      <w:r>
        <w:rPr>
          <w:rFonts w:cs="Times-Bold"/>
          <w:b/>
          <w:bCs/>
          <w:sz w:val="24"/>
          <w:szCs w:val="24"/>
        </w:rPr>
        <w:lastRenderedPageBreak/>
        <w:t>Information sheet for study 2c</w:t>
      </w:r>
    </w:p>
    <w:p w:rsidR="001175CB" w:rsidRDefault="001175CB" w:rsidP="001175CB">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Information Sheet</w:t>
      </w:r>
    </w:p>
    <w:p w:rsidR="001175CB" w:rsidRDefault="001175CB" w:rsidP="001175CB">
      <w:pPr>
        <w:spacing w:line="360" w:lineRule="auto"/>
        <w:jc w:val="both"/>
        <w:rPr>
          <w:rFonts w:ascii="Times New Roman" w:hAnsi="Times New Roman" w:cs="Times New Roman"/>
          <w:b/>
          <w:color w:val="000000"/>
          <w:sz w:val="24"/>
          <w:szCs w:val="24"/>
        </w:rPr>
      </w:pPr>
    </w:p>
    <w:p w:rsidR="001175CB" w:rsidRPr="003475AA" w:rsidRDefault="001175CB" w:rsidP="001175CB">
      <w:pPr>
        <w:spacing w:line="360" w:lineRule="auto"/>
        <w:jc w:val="both"/>
        <w:rPr>
          <w:rFonts w:ascii="Times New Roman" w:hAnsi="Times New Roman" w:cs="Times New Roman"/>
          <w:b/>
          <w:color w:val="000000"/>
          <w:sz w:val="24"/>
          <w:szCs w:val="24"/>
        </w:rPr>
      </w:pPr>
      <w:r w:rsidRPr="003475AA">
        <w:rPr>
          <w:rFonts w:ascii="Times New Roman" w:hAnsi="Times New Roman" w:cs="Times New Roman"/>
          <w:b/>
          <w:color w:val="000000"/>
          <w:sz w:val="24"/>
          <w:szCs w:val="24"/>
        </w:rPr>
        <w:t>Use of written English language on native English speakers</w:t>
      </w:r>
    </w:p>
    <w:p w:rsidR="001175CB" w:rsidRDefault="001175CB" w:rsidP="001175CB">
      <w:pPr>
        <w:spacing w:line="360" w:lineRule="auto"/>
        <w:jc w:val="both"/>
        <w:rPr>
          <w:rFonts w:ascii="Times New Roman" w:hAnsi="Times New Roman" w:cs="Times New Roman"/>
          <w:color w:val="000000"/>
          <w:sz w:val="24"/>
          <w:szCs w:val="24"/>
        </w:rPr>
      </w:pPr>
      <w:r w:rsidRPr="003475AA">
        <w:rPr>
          <w:rFonts w:ascii="Times New Roman" w:hAnsi="Times New Roman" w:cs="Times New Roman"/>
          <w:color w:val="000000"/>
          <w:sz w:val="24"/>
          <w:szCs w:val="24"/>
        </w:rPr>
        <w:t xml:space="preserve">The aim of the present research is to explore the use of written English language by native English speakers. For this purpose, you will </w:t>
      </w:r>
      <w:r>
        <w:rPr>
          <w:rFonts w:ascii="Times New Roman" w:hAnsi="Times New Roman" w:cs="Times New Roman"/>
          <w:color w:val="000000"/>
          <w:sz w:val="24"/>
          <w:szCs w:val="24"/>
        </w:rPr>
        <w:t xml:space="preserve">be asked to </w:t>
      </w:r>
      <w:r w:rsidRPr="003475AA">
        <w:rPr>
          <w:rFonts w:ascii="Times New Roman" w:hAnsi="Times New Roman" w:cs="Times New Roman"/>
          <w:color w:val="000000"/>
          <w:sz w:val="24"/>
          <w:szCs w:val="24"/>
        </w:rPr>
        <w:t>engage in two short tasks</w:t>
      </w:r>
      <w:r>
        <w:rPr>
          <w:rFonts w:ascii="Times New Roman" w:hAnsi="Times New Roman" w:cs="Times New Roman"/>
          <w:color w:val="000000"/>
          <w:sz w:val="24"/>
          <w:szCs w:val="24"/>
        </w:rPr>
        <w:t xml:space="preserve"> </w:t>
      </w:r>
      <w:r w:rsidRPr="000A440A">
        <w:rPr>
          <w:rFonts w:ascii="Times New Roman" w:hAnsi="Times New Roman" w:cs="Times New Roman"/>
          <w:color w:val="000000"/>
          <w:sz w:val="24"/>
          <w:szCs w:val="24"/>
        </w:rPr>
        <w:t>and also to answer a few questions about your personality at the end of the study.</w:t>
      </w:r>
      <w:r w:rsidRPr="003475AA">
        <w:rPr>
          <w:rFonts w:ascii="Times New Roman" w:hAnsi="Times New Roman" w:cs="Times New Roman"/>
          <w:color w:val="000000"/>
          <w:sz w:val="24"/>
          <w:szCs w:val="24"/>
        </w:rPr>
        <w:t xml:space="preserve"> The first task consists of building grammatically correct sentences. The second task consists of writing a letter to an ex-partner of yours</w:t>
      </w:r>
      <w:r>
        <w:rPr>
          <w:rFonts w:ascii="Times New Roman" w:hAnsi="Times New Roman" w:cs="Times New Roman"/>
          <w:color w:val="000000"/>
          <w:sz w:val="24"/>
          <w:szCs w:val="24"/>
        </w:rPr>
        <w:t xml:space="preserve"> (i.e., an old boyfriend or girlfriend)</w:t>
      </w:r>
      <w:r w:rsidRPr="003475AA">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These letters will not be posted – the task is just used for us to assess your use of English.</w:t>
      </w:r>
      <w:r w:rsidRPr="003475AA">
        <w:rPr>
          <w:rFonts w:ascii="Times New Roman" w:hAnsi="Times New Roman" w:cs="Times New Roman"/>
          <w:color w:val="000000"/>
          <w:sz w:val="24"/>
          <w:szCs w:val="24"/>
        </w:rPr>
        <w:t xml:space="preserve"> </w:t>
      </w:r>
    </w:p>
    <w:p w:rsidR="001175CB" w:rsidRDefault="001175CB" w:rsidP="001175C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order to protect your anonymity, after finishing the letter you should place it inside an envelope that the experimenter will provide you with. Then you should place the letter in the mailbox outside the cubicle where the experiment takes place. The experimenter will not read the letters until she has collected the full sample. In this way, your letter cannot be traced back to you and so it is anonymous.</w:t>
      </w:r>
    </w:p>
    <w:p w:rsidR="001175CB" w:rsidRDefault="001175CB" w:rsidP="001175CB">
      <w:pPr>
        <w:spacing w:line="360" w:lineRule="auto"/>
        <w:jc w:val="both"/>
        <w:rPr>
          <w:rFonts w:ascii="Times New Roman" w:hAnsi="Times New Roman" w:cs="Times New Roman"/>
          <w:color w:val="000000"/>
          <w:sz w:val="24"/>
          <w:szCs w:val="24"/>
        </w:rPr>
      </w:pPr>
      <w:r w:rsidRPr="0012315B">
        <w:rPr>
          <w:rFonts w:ascii="Times New Roman" w:hAnsi="Times New Roman" w:cs="Times New Roman"/>
          <w:color w:val="000000"/>
          <w:sz w:val="24"/>
          <w:szCs w:val="24"/>
        </w:rPr>
        <w:t>At the end of the study the experimenter will provide you with information about the purpose of the experiment as well as try to answer any questions that you may have.</w:t>
      </w:r>
    </w:p>
    <w:p w:rsidR="001175CB" w:rsidRDefault="001175CB" w:rsidP="001175CB">
      <w:pPr>
        <w:spacing w:line="360" w:lineRule="auto"/>
        <w:jc w:val="both"/>
        <w:rPr>
          <w:rFonts w:ascii="Times New Roman" w:hAnsi="Times New Roman" w:cs="Times New Roman"/>
          <w:sz w:val="24"/>
          <w:szCs w:val="24"/>
        </w:rPr>
      </w:pPr>
      <w:r w:rsidRPr="003475AA">
        <w:rPr>
          <w:rFonts w:ascii="Times New Roman" w:hAnsi="Times New Roman" w:cs="Times New Roman"/>
          <w:color w:val="000000"/>
          <w:sz w:val="24"/>
          <w:szCs w:val="24"/>
        </w:rPr>
        <w:t xml:space="preserve">This experiment is </w:t>
      </w:r>
      <w:r>
        <w:rPr>
          <w:rFonts w:ascii="Times New Roman" w:hAnsi="Times New Roman" w:cs="Times New Roman"/>
          <w:color w:val="000000"/>
          <w:sz w:val="24"/>
          <w:szCs w:val="24"/>
        </w:rPr>
        <w:t xml:space="preserve">being conducted </w:t>
      </w:r>
      <w:r w:rsidRPr="003475AA">
        <w:rPr>
          <w:rFonts w:ascii="Times New Roman" w:hAnsi="Times New Roman" w:cs="Times New Roman"/>
          <w:color w:val="000000"/>
          <w:sz w:val="24"/>
          <w:szCs w:val="24"/>
        </w:rPr>
        <w:t>under the supervision of Dr Thomas Webb and Prof Peter Totterdell</w:t>
      </w:r>
      <w:r>
        <w:rPr>
          <w:rFonts w:ascii="Times New Roman" w:hAnsi="Times New Roman" w:cs="Times New Roman"/>
          <w:color w:val="000000"/>
          <w:sz w:val="24"/>
          <w:szCs w:val="24"/>
        </w:rPr>
        <w:t xml:space="preserve"> and</w:t>
      </w:r>
      <w:r w:rsidRPr="003475AA">
        <w:rPr>
          <w:rFonts w:ascii="Times New Roman" w:hAnsi="Times New Roman" w:cs="Times New Roman"/>
          <w:sz w:val="24"/>
          <w:szCs w:val="24"/>
        </w:rPr>
        <w:t xml:space="preserve"> has </w:t>
      </w:r>
      <w:r>
        <w:rPr>
          <w:rFonts w:ascii="Times New Roman" w:hAnsi="Times New Roman" w:cs="Times New Roman"/>
          <w:sz w:val="24"/>
          <w:szCs w:val="24"/>
        </w:rPr>
        <w:t>received ethics approval</w:t>
      </w:r>
      <w:r w:rsidRPr="003475AA">
        <w:rPr>
          <w:rFonts w:ascii="Times New Roman" w:hAnsi="Times New Roman" w:cs="Times New Roman"/>
          <w:sz w:val="24"/>
          <w:szCs w:val="24"/>
        </w:rPr>
        <w:t xml:space="preserve"> by the Department of Psychology Ethics Committee.</w:t>
      </w:r>
    </w:p>
    <w:p w:rsidR="001175CB" w:rsidRPr="003475AA" w:rsidRDefault="001175CB" w:rsidP="001175CB">
      <w:pPr>
        <w:spacing w:line="360" w:lineRule="auto"/>
        <w:jc w:val="both"/>
        <w:rPr>
          <w:rFonts w:ascii="Times New Roman" w:hAnsi="Times New Roman" w:cs="Times New Roman"/>
          <w:color w:val="000000"/>
          <w:sz w:val="24"/>
          <w:szCs w:val="24"/>
        </w:rPr>
      </w:pPr>
      <w:r w:rsidRPr="003475AA">
        <w:rPr>
          <w:rFonts w:ascii="Times New Roman" w:hAnsi="Times New Roman" w:cs="Times New Roman"/>
          <w:color w:val="000000"/>
          <w:sz w:val="24"/>
          <w:szCs w:val="24"/>
        </w:rPr>
        <w:t xml:space="preserve">Your participation is entirely voluntary. You are allowed to leave the experiment at any point without providing any reasons. </w:t>
      </w:r>
    </w:p>
    <w:p w:rsidR="001175CB" w:rsidRDefault="001175CB" w:rsidP="001175CB">
      <w:pPr>
        <w:spacing w:line="360" w:lineRule="auto"/>
        <w:jc w:val="both"/>
        <w:rPr>
          <w:rFonts w:ascii="Times New Roman" w:hAnsi="Times New Roman" w:cs="Times New Roman"/>
          <w:b/>
          <w:color w:val="000000"/>
          <w:sz w:val="24"/>
          <w:szCs w:val="24"/>
        </w:rPr>
      </w:pPr>
      <w:r w:rsidRPr="003475AA">
        <w:rPr>
          <w:rFonts w:ascii="Times New Roman" w:hAnsi="Times New Roman" w:cs="Times New Roman"/>
          <w:b/>
          <w:color w:val="000000"/>
          <w:sz w:val="24"/>
          <w:szCs w:val="24"/>
        </w:rPr>
        <w:t>Contact for further information</w:t>
      </w:r>
    </w:p>
    <w:p w:rsidR="001175CB" w:rsidRDefault="001175CB" w:rsidP="001175C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Experimenter: </w:t>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Daria</w:t>
      </w:r>
      <w:proofErr w:type="spellEnd"/>
      <w:r>
        <w:rPr>
          <w:rFonts w:ascii="Times New Roman" w:hAnsi="Times New Roman" w:cs="Times New Roman"/>
          <w:color w:val="000000"/>
          <w:sz w:val="24"/>
          <w:szCs w:val="24"/>
        </w:rPr>
        <w:t xml:space="preserve"> Hernandez Ibar </w:t>
      </w:r>
      <w:hyperlink r:id="rId34" w:history="1">
        <w:r w:rsidRPr="009F14F7">
          <w:rPr>
            <w:rStyle w:val="Hipervnculo"/>
            <w:sz w:val="24"/>
            <w:szCs w:val="24"/>
          </w:rPr>
          <w:t>dnhernandezibar1@sheffield.ac.uk</w:t>
        </w:r>
      </w:hyperlink>
    </w:p>
    <w:p w:rsidR="001175CB" w:rsidRDefault="001175CB" w:rsidP="001175C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Supervisors: </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Dr Thomas Webb </w:t>
      </w:r>
      <w:hyperlink r:id="rId35" w:history="1">
        <w:r w:rsidRPr="009F14F7">
          <w:rPr>
            <w:rStyle w:val="Hipervnculo"/>
            <w:sz w:val="24"/>
            <w:szCs w:val="24"/>
          </w:rPr>
          <w:t>t.webb@sheffield.ac.uk</w:t>
        </w:r>
      </w:hyperlink>
    </w:p>
    <w:p w:rsidR="001175CB" w:rsidRDefault="001175CB" w:rsidP="001175CB">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Prof Peter Totterdell p.totterdell@sheffield.ac.uk</w:t>
      </w:r>
    </w:p>
    <w:p w:rsidR="001175CB" w:rsidRPr="003475AA" w:rsidRDefault="001175CB" w:rsidP="00FE39C3">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9A1572" w:rsidRPr="00D05EBD" w:rsidRDefault="009A1572" w:rsidP="009A1572">
      <w:pPr>
        <w:spacing w:line="480" w:lineRule="auto"/>
        <w:jc w:val="both"/>
        <w:rPr>
          <w:rFonts w:cs="Times New Roman"/>
          <w:b/>
          <w:sz w:val="24"/>
          <w:szCs w:val="24"/>
        </w:rPr>
      </w:pPr>
      <w:r w:rsidRPr="00F80070">
        <w:rPr>
          <w:rFonts w:cs="Times-Bold"/>
          <w:b/>
          <w:bCs/>
          <w:sz w:val="24"/>
          <w:szCs w:val="24"/>
        </w:rPr>
        <w:lastRenderedPageBreak/>
        <w:t>Email sent to participants to explore the liking or disliking of the ex-partner</w:t>
      </w:r>
      <w:r w:rsidR="00FE39C3">
        <w:rPr>
          <w:rFonts w:cs="Times-Bold"/>
          <w:b/>
          <w:bCs/>
          <w:sz w:val="24"/>
          <w:szCs w:val="24"/>
        </w:rPr>
        <w:t xml:space="preserve"> for study 2c</w:t>
      </w:r>
    </w:p>
    <w:p w:rsidR="009A1572" w:rsidRPr="00D05EBD" w:rsidRDefault="009A1572" w:rsidP="009A1572">
      <w:pPr>
        <w:autoSpaceDE w:val="0"/>
        <w:autoSpaceDN w:val="0"/>
        <w:adjustRightInd w:val="0"/>
        <w:spacing w:after="0" w:line="480" w:lineRule="auto"/>
        <w:jc w:val="both"/>
        <w:rPr>
          <w:rFonts w:cs="Times-Bold"/>
          <w:bCs/>
          <w:sz w:val="24"/>
          <w:szCs w:val="24"/>
        </w:rPr>
      </w:pPr>
      <w:r w:rsidRPr="00D05EBD">
        <w:rPr>
          <w:rFonts w:cs="Times-Bold"/>
          <w:bCs/>
          <w:sz w:val="24"/>
          <w:szCs w:val="24"/>
        </w:rPr>
        <w:t xml:space="preserve">Dear (name of participant), </w:t>
      </w:r>
    </w:p>
    <w:p w:rsidR="009A1572" w:rsidRPr="00D05EBD" w:rsidRDefault="009A1572" w:rsidP="009A1572">
      <w:pPr>
        <w:autoSpaceDE w:val="0"/>
        <w:autoSpaceDN w:val="0"/>
        <w:adjustRightInd w:val="0"/>
        <w:spacing w:after="0" w:line="480" w:lineRule="auto"/>
        <w:jc w:val="both"/>
        <w:rPr>
          <w:rFonts w:cs="Times-Bold"/>
          <w:bCs/>
          <w:sz w:val="24"/>
          <w:szCs w:val="24"/>
        </w:rPr>
      </w:pPr>
      <w:r w:rsidRPr="00D05EBD">
        <w:rPr>
          <w:rFonts w:cs="Times-Bold"/>
          <w:bCs/>
          <w:sz w:val="24"/>
          <w:szCs w:val="24"/>
        </w:rPr>
        <w:t>Some time ago you took part in a piece of research titled “Use of written English language on native English speakers”. In this research you were asked to unscramble some sentences and to write a letter to an ex-partner of yours.</w:t>
      </w:r>
    </w:p>
    <w:p w:rsidR="009A1572" w:rsidRPr="00D05EBD" w:rsidRDefault="009A1572" w:rsidP="009A1572">
      <w:pPr>
        <w:autoSpaceDE w:val="0"/>
        <w:autoSpaceDN w:val="0"/>
        <w:adjustRightInd w:val="0"/>
        <w:spacing w:after="0" w:line="480" w:lineRule="auto"/>
        <w:jc w:val="both"/>
        <w:rPr>
          <w:rFonts w:cs="Times-Bold"/>
          <w:bCs/>
          <w:sz w:val="24"/>
          <w:szCs w:val="24"/>
        </w:rPr>
      </w:pPr>
      <w:r w:rsidRPr="00D05EBD">
        <w:rPr>
          <w:rFonts w:cs="Times-Bold"/>
          <w:bCs/>
          <w:sz w:val="24"/>
          <w:szCs w:val="24"/>
        </w:rPr>
        <w:t>As part of the same research, we would greatly appreciate if you could complete a short (5 minute) questionnaire about your feelings toward your ex-partner. To complete the questionnaire please follow this link:</w:t>
      </w:r>
    </w:p>
    <w:p w:rsidR="009A1572" w:rsidRPr="00D05EBD" w:rsidRDefault="00B06E70" w:rsidP="009A1572">
      <w:pPr>
        <w:autoSpaceDE w:val="0"/>
        <w:autoSpaceDN w:val="0"/>
        <w:adjustRightInd w:val="0"/>
        <w:spacing w:after="0" w:line="480" w:lineRule="auto"/>
        <w:jc w:val="both"/>
        <w:rPr>
          <w:rFonts w:cs="Times-Bold"/>
          <w:bCs/>
          <w:sz w:val="24"/>
          <w:szCs w:val="24"/>
        </w:rPr>
      </w:pPr>
      <w:hyperlink r:id="rId36" w:history="1">
        <w:r w:rsidR="009A1572" w:rsidRPr="00D05EBD">
          <w:rPr>
            <w:rStyle w:val="Hipervnculo"/>
            <w:rFonts w:cs="Times-Bold"/>
            <w:bCs/>
            <w:sz w:val="24"/>
            <w:szCs w:val="24"/>
          </w:rPr>
          <w:t>http://www.surveymonkey.com/s/MVGNQN2</w:t>
        </w:r>
      </w:hyperlink>
    </w:p>
    <w:p w:rsidR="009A1572" w:rsidRPr="00D05EBD" w:rsidRDefault="009A1572" w:rsidP="009A1572">
      <w:pPr>
        <w:autoSpaceDE w:val="0"/>
        <w:autoSpaceDN w:val="0"/>
        <w:adjustRightInd w:val="0"/>
        <w:spacing w:after="0" w:line="480" w:lineRule="auto"/>
        <w:jc w:val="both"/>
        <w:rPr>
          <w:rFonts w:cs="Times-Bold"/>
          <w:bCs/>
          <w:sz w:val="24"/>
          <w:szCs w:val="24"/>
        </w:rPr>
      </w:pPr>
      <w:r w:rsidRPr="00D05EBD">
        <w:rPr>
          <w:rFonts w:cs="Times-Bold"/>
          <w:bCs/>
          <w:sz w:val="24"/>
          <w:szCs w:val="24"/>
        </w:rPr>
        <w:t xml:space="preserve">You will be asked for an identification code in order to complete the survey, so that your responses can be </w:t>
      </w:r>
      <w:proofErr w:type="spellStart"/>
      <w:r w:rsidRPr="00D05EBD">
        <w:rPr>
          <w:rFonts w:cs="Times-Bold"/>
          <w:bCs/>
          <w:sz w:val="24"/>
          <w:szCs w:val="24"/>
        </w:rPr>
        <w:t>anonymised</w:t>
      </w:r>
      <w:proofErr w:type="spellEnd"/>
      <w:r w:rsidRPr="00D05EBD">
        <w:rPr>
          <w:rFonts w:cs="Times-Bold"/>
          <w:bCs/>
          <w:sz w:val="24"/>
          <w:szCs w:val="24"/>
        </w:rPr>
        <w:t>. Your identification code is (here I will write the participant identification number).</w:t>
      </w:r>
    </w:p>
    <w:p w:rsidR="009A1572" w:rsidRPr="00D05EBD" w:rsidRDefault="009A1572" w:rsidP="009A1572">
      <w:pPr>
        <w:autoSpaceDE w:val="0"/>
        <w:autoSpaceDN w:val="0"/>
        <w:adjustRightInd w:val="0"/>
        <w:spacing w:after="0" w:line="480" w:lineRule="auto"/>
        <w:jc w:val="both"/>
        <w:rPr>
          <w:rFonts w:cs="Times-Bold"/>
          <w:bCs/>
          <w:sz w:val="24"/>
          <w:szCs w:val="24"/>
        </w:rPr>
      </w:pPr>
      <w:r w:rsidRPr="00D05EBD">
        <w:rPr>
          <w:rFonts w:cs="Times-Bold"/>
          <w:bCs/>
          <w:sz w:val="24"/>
          <w:szCs w:val="24"/>
        </w:rPr>
        <w:t>This research has been approved by the Research Ethics Committee in the Department of Psychology.</w:t>
      </w:r>
    </w:p>
    <w:p w:rsidR="009A1572" w:rsidRPr="00D05EBD" w:rsidRDefault="009A1572" w:rsidP="009A1572">
      <w:pPr>
        <w:autoSpaceDE w:val="0"/>
        <w:autoSpaceDN w:val="0"/>
        <w:adjustRightInd w:val="0"/>
        <w:spacing w:after="0" w:line="480" w:lineRule="auto"/>
        <w:jc w:val="both"/>
        <w:rPr>
          <w:rFonts w:cs="Times-Bold"/>
          <w:bCs/>
          <w:sz w:val="24"/>
          <w:szCs w:val="24"/>
        </w:rPr>
      </w:pPr>
      <w:r w:rsidRPr="00D05EBD">
        <w:rPr>
          <w:rFonts w:cs="Times-Bold"/>
          <w:bCs/>
          <w:sz w:val="24"/>
          <w:szCs w:val="24"/>
        </w:rPr>
        <w:t xml:space="preserve">Many thanks, </w:t>
      </w:r>
    </w:p>
    <w:p w:rsidR="009A1572" w:rsidRDefault="009A1572" w:rsidP="009A1572">
      <w:pPr>
        <w:autoSpaceDE w:val="0"/>
        <w:autoSpaceDN w:val="0"/>
        <w:adjustRightInd w:val="0"/>
        <w:spacing w:after="0" w:line="480" w:lineRule="auto"/>
        <w:jc w:val="both"/>
        <w:rPr>
          <w:rFonts w:cs="Times-Bold"/>
          <w:bCs/>
          <w:sz w:val="24"/>
          <w:szCs w:val="24"/>
        </w:rPr>
      </w:pPr>
    </w:p>
    <w:p w:rsidR="00AC790E" w:rsidRDefault="00AC790E" w:rsidP="009A1572">
      <w:pPr>
        <w:autoSpaceDE w:val="0"/>
        <w:autoSpaceDN w:val="0"/>
        <w:adjustRightInd w:val="0"/>
        <w:spacing w:after="0" w:line="480" w:lineRule="auto"/>
        <w:jc w:val="both"/>
        <w:rPr>
          <w:rFonts w:cs="Times-Bold"/>
          <w:bCs/>
          <w:sz w:val="24"/>
          <w:szCs w:val="24"/>
        </w:rPr>
      </w:pPr>
    </w:p>
    <w:p w:rsidR="00AC790E" w:rsidRDefault="00AC790E" w:rsidP="009A1572">
      <w:pPr>
        <w:autoSpaceDE w:val="0"/>
        <w:autoSpaceDN w:val="0"/>
        <w:adjustRightInd w:val="0"/>
        <w:spacing w:after="0" w:line="480" w:lineRule="auto"/>
        <w:jc w:val="both"/>
        <w:rPr>
          <w:rFonts w:cs="Times-Bold"/>
          <w:bCs/>
          <w:sz w:val="24"/>
          <w:szCs w:val="24"/>
        </w:rPr>
      </w:pPr>
    </w:p>
    <w:p w:rsidR="00AC790E" w:rsidRDefault="00AC790E" w:rsidP="009A1572">
      <w:pPr>
        <w:autoSpaceDE w:val="0"/>
        <w:autoSpaceDN w:val="0"/>
        <w:adjustRightInd w:val="0"/>
        <w:spacing w:after="0" w:line="480" w:lineRule="auto"/>
        <w:jc w:val="both"/>
        <w:rPr>
          <w:rFonts w:cs="Times-Bold"/>
          <w:bCs/>
          <w:sz w:val="24"/>
          <w:szCs w:val="24"/>
        </w:rPr>
      </w:pPr>
    </w:p>
    <w:p w:rsidR="00AC790E" w:rsidRDefault="00AC790E" w:rsidP="009A1572">
      <w:pPr>
        <w:autoSpaceDE w:val="0"/>
        <w:autoSpaceDN w:val="0"/>
        <w:adjustRightInd w:val="0"/>
        <w:spacing w:after="0" w:line="480" w:lineRule="auto"/>
        <w:jc w:val="both"/>
        <w:rPr>
          <w:rFonts w:cs="Times-Bold"/>
          <w:bCs/>
          <w:sz w:val="24"/>
          <w:szCs w:val="24"/>
        </w:rPr>
      </w:pPr>
    </w:p>
    <w:p w:rsidR="00AC790E" w:rsidRDefault="00AC790E" w:rsidP="009A1572">
      <w:pPr>
        <w:autoSpaceDE w:val="0"/>
        <w:autoSpaceDN w:val="0"/>
        <w:adjustRightInd w:val="0"/>
        <w:spacing w:after="0" w:line="480" w:lineRule="auto"/>
        <w:jc w:val="both"/>
        <w:rPr>
          <w:rFonts w:cs="Times-Bold"/>
          <w:bCs/>
          <w:sz w:val="24"/>
          <w:szCs w:val="24"/>
        </w:rPr>
      </w:pPr>
    </w:p>
    <w:p w:rsidR="00AC790E" w:rsidRDefault="00AC790E" w:rsidP="009A1572">
      <w:pPr>
        <w:autoSpaceDE w:val="0"/>
        <w:autoSpaceDN w:val="0"/>
        <w:adjustRightInd w:val="0"/>
        <w:spacing w:after="0" w:line="480" w:lineRule="auto"/>
        <w:jc w:val="both"/>
        <w:rPr>
          <w:rFonts w:cs="Times-Bold"/>
          <w:bCs/>
          <w:sz w:val="24"/>
          <w:szCs w:val="24"/>
        </w:rPr>
      </w:pPr>
    </w:p>
    <w:p w:rsidR="00AC790E" w:rsidRPr="00D05EBD" w:rsidRDefault="00AC790E" w:rsidP="009A1572">
      <w:pPr>
        <w:autoSpaceDE w:val="0"/>
        <w:autoSpaceDN w:val="0"/>
        <w:adjustRightInd w:val="0"/>
        <w:spacing w:after="0" w:line="480" w:lineRule="auto"/>
        <w:jc w:val="both"/>
        <w:rPr>
          <w:rFonts w:cs="Times-Bold"/>
          <w:bCs/>
          <w:sz w:val="24"/>
          <w:szCs w:val="24"/>
        </w:rPr>
      </w:pPr>
    </w:p>
    <w:p w:rsidR="009A1572" w:rsidRPr="00362A76" w:rsidRDefault="009A1572" w:rsidP="009A1572">
      <w:pPr>
        <w:autoSpaceDE w:val="0"/>
        <w:autoSpaceDN w:val="0"/>
        <w:adjustRightInd w:val="0"/>
        <w:spacing w:after="0" w:line="480" w:lineRule="auto"/>
        <w:jc w:val="both"/>
        <w:rPr>
          <w:rFonts w:cs="Times-Bold"/>
          <w:b/>
          <w:bCs/>
          <w:sz w:val="24"/>
          <w:szCs w:val="24"/>
        </w:rPr>
      </w:pPr>
      <w:r w:rsidRPr="00362A76">
        <w:rPr>
          <w:rFonts w:cs="Times-Bold"/>
          <w:b/>
          <w:bCs/>
          <w:sz w:val="24"/>
          <w:szCs w:val="24"/>
        </w:rPr>
        <w:t>Liking or disliking of the romantic ex-partner questionnaire</w:t>
      </w:r>
      <w:r w:rsidR="00FE39C3">
        <w:rPr>
          <w:rFonts w:cs="Times-Bold"/>
          <w:b/>
          <w:bCs/>
          <w:sz w:val="24"/>
          <w:szCs w:val="24"/>
        </w:rPr>
        <w:t xml:space="preserve"> for study 2c</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 xml:space="preserve">1. My ex-partner is not made for a serious relationship. </w:t>
      </w:r>
    </w:p>
    <w:p w:rsidR="009A1572" w:rsidRPr="00FE39C3" w:rsidRDefault="009A1572" w:rsidP="009A1572">
      <w:pPr>
        <w:autoSpaceDE w:val="0"/>
        <w:autoSpaceDN w:val="0"/>
        <w:adjustRightInd w:val="0"/>
        <w:spacing w:after="0" w:line="480" w:lineRule="auto"/>
        <w:ind w:left="360"/>
        <w:jc w:val="both"/>
        <w:rPr>
          <w:rFonts w:cs="Times-Roman"/>
          <w:sz w:val="20"/>
          <w:szCs w:val="20"/>
        </w:rPr>
      </w:pPr>
      <w:r w:rsidRPr="00FE39C3">
        <w:rPr>
          <w:rFonts w:cs="Times-Roman"/>
          <w:sz w:val="20"/>
          <w:szCs w:val="20"/>
        </w:rPr>
        <w:t>a. Strongly disagree</w:t>
      </w:r>
      <w:r w:rsidRPr="00FE39C3">
        <w:rPr>
          <w:rFonts w:cs="Times-Roman"/>
          <w:sz w:val="20"/>
          <w:szCs w:val="20"/>
        </w:rPr>
        <w:tab/>
        <w:t xml:space="preserve"> b. Disagree </w:t>
      </w:r>
      <w:r w:rsidRPr="00FE39C3">
        <w:rPr>
          <w:rFonts w:cs="Times-Roman"/>
          <w:sz w:val="20"/>
          <w:szCs w:val="20"/>
        </w:rPr>
        <w:tab/>
        <w:t xml:space="preserve">c. Neutral / unsure </w:t>
      </w:r>
      <w:r w:rsidRPr="00FE39C3">
        <w:rPr>
          <w:rFonts w:cs="Times-Roman"/>
          <w:sz w:val="20"/>
          <w:szCs w:val="20"/>
        </w:rPr>
        <w:tab/>
        <w:t xml:space="preserve">d. Agree  </w:t>
      </w:r>
      <w:r w:rsidRPr="00FE39C3">
        <w:rPr>
          <w:rFonts w:cs="Times-Roman"/>
          <w:sz w:val="20"/>
          <w:szCs w:val="20"/>
        </w:rPr>
        <w:tab/>
        <w:t>e. Strongly agree</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2. My ex-partner has many qualities.</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3. My ex-partner has charisma.</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 xml:space="preserve">4. Sometimes I have the wish to yell at my ex-partner. </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 xml:space="preserve">5. When I think about my ex-partner I get angry. </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6. I feel good when I am close to my ex-partner.</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7. I often think about my ex-partner.</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 xml:space="preserve">8. I avoid touching my ex-partner. </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 xml:space="preserve">9. When I am with my ex-partner I often have the wish to be alone. </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 xml:space="preserve">10. My ex-partner should change a few things about himself/herself. </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11. I get sad when I think about my ex-partner</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 xml:space="preserve">12. I usually feel better when my ex-partner is not around. </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 xml:space="preserve">13. My ex-partner is egoistic. </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14. When I think about my ex-partner I rejoice.</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15. Sometimes I want to give my ex-partner a telephone call.</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16. Other men/women find my ex-partner attractive.</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17. When I am with my ex-partner I often have the desire to hug him/her.</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18. I feel drawn to my ex-partner.</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19. I dislike my ex-partner</w:t>
      </w:r>
    </w:p>
    <w:p w:rsidR="009A1572" w:rsidRPr="00D05EBD" w:rsidRDefault="009A1572" w:rsidP="009A1572">
      <w:pPr>
        <w:autoSpaceDE w:val="0"/>
        <w:autoSpaceDN w:val="0"/>
        <w:adjustRightInd w:val="0"/>
        <w:spacing w:after="0" w:line="480" w:lineRule="auto"/>
        <w:jc w:val="both"/>
        <w:rPr>
          <w:rFonts w:cs="Times-Roman"/>
          <w:sz w:val="24"/>
          <w:szCs w:val="24"/>
        </w:rPr>
      </w:pPr>
      <w:r w:rsidRPr="00D05EBD">
        <w:rPr>
          <w:rFonts w:cs="Times-Roman"/>
          <w:sz w:val="24"/>
          <w:szCs w:val="24"/>
        </w:rPr>
        <w:t>20. My ex-partner means a lot to me</w:t>
      </w:r>
    </w:p>
    <w:p w:rsidR="009A1572" w:rsidRPr="00D05EBD" w:rsidRDefault="009A1572" w:rsidP="009A1572">
      <w:pPr>
        <w:spacing w:line="480" w:lineRule="auto"/>
        <w:jc w:val="both"/>
        <w:rPr>
          <w:rFonts w:cs="Times-Roman"/>
          <w:sz w:val="24"/>
          <w:szCs w:val="24"/>
        </w:rPr>
      </w:pPr>
    </w:p>
    <w:p w:rsidR="009A1572" w:rsidRDefault="00A206A3" w:rsidP="009A1572">
      <w:pPr>
        <w:spacing w:line="480" w:lineRule="auto"/>
        <w:jc w:val="both"/>
        <w:rPr>
          <w:rFonts w:cs="Times New Roman"/>
          <w:b/>
          <w:sz w:val="24"/>
          <w:szCs w:val="24"/>
        </w:rPr>
      </w:pPr>
      <w:r>
        <w:rPr>
          <w:rFonts w:cs="Times New Roman"/>
          <w:b/>
          <w:sz w:val="24"/>
          <w:szCs w:val="24"/>
        </w:rPr>
        <w:lastRenderedPageBreak/>
        <w:t>CHAPTER</w:t>
      </w:r>
      <w:r w:rsidR="009A1572" w:rsidRPr="00D05EBD">
        <w:rPr>
          <w:rFonts w:cs="Times New Roman"/>
          <w:b/>
          <w:sz w:val="24"/>
          <w:szCs w:val="24"/>
        </w:rPr>
        <w:t xml:space="preserve"> 4</w:t>
      </w:r>
    </w:p>
    <w:p w:rsidR="009A1572" w:rsidRPr="00D05EBD" w:rsidRDefault="009A1572" w:rsidP="009A1572">
      <w:pPr>
        <w:spacing w:after="0" w:line="480" w:lineRule="auto"/>
        <w:jc w:val="both"/>
        <w:rPr>
          <w:b/>
          <w:sz w:val="24"/>
          <w:szCs w:val="24"/>
        </w:rPr>
      </w:pPr>
      <w:r w:rsidRPr="00D05EBD">
        <w:rPr>
          <w:b/>
          <w:sz w:val="24"/>
          <w:szCs w:val="24"/>
        </w:rPr>
        <w:t>Complete questionnaire for the ego-depletion study</w:t>
      </w:r>
    </w:p>
    <w:p w:rsidR="009A1572" w:rsidRPr="00F80070" w:rsidRDefault="009A1572" w:rsidP="009A1572">
      <w:pPr>
        <w:spacing w:after="0" w:line="360" w:lineRule="auto"/>
        <w:jc w:val="both"/>
        <w:rPr>
          <w:sz w:val="24"/>
          <w:szCs w:val="24"/>
        </w:rPr>
      </w:pPr>
      <w:r w:rsidRPr="00F80070">
        <w:rPr>
          <w:sz w:val="24"/>
          <w:szCs w:val="24"/>
        </w:rPr>
        <w:t xml:space="preserve">The link to this questionnaire in survey monkey is https://www.surveymonkey.com/r/MPHJNX6  </w:t>
      </w:r>
    </w:p>
    <w:p w:rsidR="009A1572" w:rsidRPr="00F80070" w:rsidRDefault="009A1572" w:rsidP="009A1572">
      <w:pPr>
        <w:spacing w:after="0" w:line="360" w:lineRule="auto"/>
        <w:jc w:val="both"/>
        <w:rPr>
          <w:sz w:val="24"/>
          <w:szCs w:val="24"/>
        </w:rPr>
      </w:pPr>
      <w:r w:rsidRPr="00F80070">
        <w:rPr>
          <w:sz w:val="24"/>
          <w:szCs w:val="24"/>
        </w:rPr>
        <w:t xml:space="preserve">Email sent to volunteers </w:t>
      </w:r>
    </w:p>
    <w:p w:rsidR="009A1572" w:rsidRPr="00D05EBD" w:rsidRDefault="009A1572" w:rsidP="009A1572">
      <w:pPr>
        <w:spacing w:after="0" w:line="360" w:lineRule="auto"/>
        <w:rPr>
          <w:b/>
          <w:sz w:val="24"/>
          <w:szCs w:val="24"/>
        </w:rPr>
      </w:pPr>
      <w:r w:rsidRPr="00D05EBD">
        <w:rPr>
          <w:rFonts w:cs="Arial"/>
          <w:color w:val="222222"/>
          <w:sz w:val="24"/>
          <w:szCs w:val="24"/>
          <w:shd w:val="clear" w:color="auto" w:fill="FFFFFF"/>
        </w:rPr>
        <w:t>Dear</w:t>
      </w:r>
      <w:r>
        <w:rPr>
          <w:rFonts w:cs="Arial"/>
          <w:color w:val="222222"/>
          <w:sz w:val="24"/>
          <w:szCs w:val="24"/>
          <w:shd w:val="clear" w:color="auto" w:fill="FFFFFF"/>
        </w:rPr>
        <w:t xml:space="preserve"> </w:t>
      </w:r>
      <w:r w:rsidRPr="00D05EBD">
        <w:rPr>
          <w:rFonts w:cs="Arial"/>
          <w:color w:val="222222"/>
          <w:sz w:val="24"/>
          <w:szCs w:val="24"/>
          <w:shd w:val="clear" w:color="auto" w:fill="FFFFFF"/>
        </w:rPr>
        <w:t>volunteer,</w:t>
      </w:r>
      <w:r w:rsidRPr="00D05EBD">
        <w:rPr>
          <w:rFonts w:cs="Arial"/>
          <w:color w:val="222222"/>
          <w:sz w:val="24"/>
          <w:szCs w:val="24"/>
        </w:rPr>
        <w:br/>
      </w:r>
      <w:r w:rsidRPr="00D05EBD">
        <w:rPr>
          <w:rFonts w:cs="Arial"/>
          <w:color w:val="222222"/>
          <w:sz w:val="24"/>
          <w:szCs w:val="24"/>
          <w:shd w:val="clear" w:color="auto" w:fill="FFFFFF"/>
        </w:rPr>
        <w:t>We are investigating the extent to which people use self-control while at</w:t>
      </w:r>
      <w:r w:rsidRPr="00D05EBD">
        <w:rPr>
          <w:rStyle w:val="apple-converted-space"/>
          <w:rFonts w:cs="Arial"/>
          <w:color w:val="222222"/>
          <w:sz w:val="24"/>
          <w:szCs w:val="24"/>
          <w:shd w:val="clear" w:color="auto" w:fill="FFFFFF"/>
        </w:rPr>
        <w:t> </w:t>
      </w:r>
      <w:r w:rsidRPr="00D05EBD">
        <w:rPr>
          <w:rStyle w:val="il"/>
          <w:rFonts w:cs="Arial"/>
          <w:color w:val="222222"/>
          <w:sz w:val="24"/>
          <w:szCs w:val="24"/>
          <w:shd w:val="clear" w:color="auto" w:fill="FFFFFF"/>
        </w:rPr>
        <w:t>work</w:t>
      </w:r>
      <w:r w:rsidRPr="00D05EBD">
        <w:rPr>
          <w:rFonts w:cs="Arial"/>
          <w:color w:val="222222"/>
          <w:sz w:val="24"/>
          <w:szCs w:val="24"/>
          <w:shd w:val="clear" w:color="auto" w:fill="FFFFFF"/>
        </w:rPr>
        <w:t>. As such, we would be very grateful if you could complete a short questionnaire and a word task on the computer AT THE END OF YOUR</w:t>
      </w:r>
      <w:r w:rsidRPr="00D05EBD">
        <w:rPr>
          <w:rStyle w:val="apple-converted-space"/>
          <w:rFonts w:cs="Arial"/>
          <w:color w:val="222222"/>
          <w:sz w:val="24"/>
          <w:szCs w:val="24"/>
          <w:shd w:val="clear" w:color="auto" w:fill="FFFFFF"/>
        </w:rPr>
        <w:t> </w:t>
      </w:r>
      <w:r w:rsidRPr="00D05EBD">
        <w:rPr>
          <w:rStyle w:val="il"/>
          <w:rFonts w:cs="Arial"/>
          <w:color w:val="222222"/>
          <w:sz w:val="24"/>
          <w:szCs w:val="24"/>
          <w:shd w:val="clear" w:color="auto" w:fill="FFFFFF"/>
        </w:rPr>
        <w:t>WORKING</w:t>
      </w:r>
      <w:r w:rsidRPr="00D05EBD">
        <w:rPr>
          <w:rStyle w:val="apple-converted-space"/>
          <w:rFonts w:cs="Arial"/>
          <w:color w:val="222222"/>
          <w:sz w:val="24"/>
          <w:szCs w:val="24"/>
          <w:shd w:val="clear" w:color="auto" w:fill="FFFFFF"/>
        </w:rPr>
        <w:t> </w:t>
      </w:r>
      <w:r w:rsidRPr="00D05EBD">
        <w:rPr>
          <w:rStyle w:val="il"/>
          <w:rFonts w:cs="Arial"/>
          <w:color w:val="222222"/>
          <w:sz w:val="24"/>
          <w:szCs w:val="24"/>
          <w:shd w:val="clear" w:color="auto" w:fill="FFFFFF"/>
        </w:rPr>
        <w:t>DAY</w:t>
      </w:r>
      <w:r w:rsidRPr="00D05EBD">
        <w:rPr>
          <w:rFonts w:cs="Arial"/>
          <w:color w:val="222222"/>
          <w:sz w:val="24"/>
          <w:szCs w:val="24"/>
          <w:shd w:val="clear" w:color="auto" w:fill="FFFFFF"/>
        </w:rPr>
        <w:t>. The study will take no more than 10 minutes to complete and your responses will remain anonymous.</w:t>
      </w:r>
      <w:r w:rsidRPr="00D05EBD">
        <w:rPr>
          <w:rFonts w:cs="Arial"/>
          <w:color w:val="222222"/>
          <w:sz w:val="24"/>
          <w:szCs w:val="24"/>
        </w:rPr>
        <w:br/>
      </w:r>
      <w:r w:rsidRPr="00D05EBD">
        <w:rPr>
          <w:rFonts w:cs="Arial"/>
          <w:color w:val="222222"/>
          <w:sz w:val="24"/>
          <w:szCs w:val="24"/>
          <w:shd w:val="clear" w:color="auto" w:fill="FFFFFF"/>
        </w:rPr>
        <w:t>If you are interested in taking part, then please click on the link below BEFORE YOU LEAVE</w:t>
      </w:r>
      <w:r w:rsidRPr="00D05EBD">
        <w:rPr>
          <w:rStyle w:val="apple-converted-space"/>
          <w:rFonts w:cs="Arial"/>
          <w:color w:val="222222"/>
          <w:sz w:val="24"/>
          <w:szCs w:val="24"/>
          <w:shd w:val="clear" w:color="auto" w:fill="FFFFFF"/>
        </w:rPr>
        <w:t> </w:t>
      </w:r>
      <w:r w:rsidRPr="00D05EBD">
        <w:rPr>
          <w:rStyle w:val="il"/>
          <w:rFonts w:cs="Arial"/>
          <w:color w:val="222222"/>
          <w:sz w:val="24"/>
          <w:szCs w:val="24"/>
          <w:shd w:val="clear" w:color="auto" w:fill="FFFFFF"/>
        </w:rPr>
        <w:t>WORK</w:t>
      </w:r>
      <w:r w:rsidRPr="00D05EBD">
        <w:rPr>
          <w:rStyle w:val="apple-converted-space"/>
          <w:rFonts w:cs="Arial"/>
          <w:color w:val="222222"/>
          <w:sz w:val="24"/>
          <w:szCs w:val="24"/>
          <w:shd w:val="clear" w:color="auto" w:fill="FFFFFF"/>
        </w:rPr>
        <w:t> </w:t>
      </w:r>
      <w:r w:rsidRPr="00D05EBD">
        <w:rPr>
          <w:rFonts w:cs="Arial"/>
          <w:color w:val="222222"/>
          <w:sz w:val="24"/>
          <w:szCs w:val="24"/>
          <w:shd w:val="clear" w:color="auto" w:fill="FFFFFF"/>
        </w:rPr>
        <w:t>TODAY (you can complete the questionnaire if you have worked at home):</w:t>
      </w:r>
      <w:r w:rsidRPr="00D05EBD">
        <w:rPr>
          <w:rStyle w:val="apple-converted-space"/>
          <w:rFonts w:cs="Arial"/>
          <w:color w:val="222222"/>
          <w:sz w:val="24"/>
          <w:szCs w:val="24"/>
          <w:shd w:val="clear" w:color="auto" w:fill="FFFFFF"/>
        </w:rPr>
        <w:t> </w:t>
      </w:r>
      <w:hyperlink r:id="rId37" w:tgtFrame="_blank" w:history="1">
        <w:r w:rsidRPr="00D05EBD">
          <w:rPr>
            <w:rStyle w:val="Hipervnculo"/>
            <w:rFonts w:cs="Arial"/>
            <w:color w:val="1155CC"/>
            <w:sz w:val="24"/>
            <w:szCs w:val="24"/>
            <w:shd w:val="clear" w:color="auto" w:fill="FFFFFF"/>
          </w:rPr>
          <w:t>https://www.</w:t>
        </w:r>
        <w:r w:rsidRPr="00D05EBD">
          <w:rPr>
            <w:rStyle w:val="il"/>
            <w:rFonts w:cs="Arial"/>
            <w:color w:val="1155CC"/>
            <w:sz w:val="24"/>
            <w:szCs w:val="24"/>
            <w:u w:val="single"/>
            <w:shd w:val="clear" w:color="auto" w:fill="FFFFFF"/>
          </w:rPr>
          <w:t>surveymonkey</w:t>
        </w:r>
        <w:r w:rsidRPr="00D05EBD">
          <w:rPr>
            <w:rStyle w:val="Hipervnculo"/>
            <w:rFonts w:cs="Arial"/>
            <w:color w:val="1155CC"/>
            <w:sz w:val="24"/>
            <w:szCs w:val="24"/>
            <w:shd w:val="clear" w:color="auto" w:fill="FFFFFF"/>
          </w:rPr>
          <w:t>.com/s/MPHJNX6</w:t>
        </w:r>
      </w:hyperlink>
      <w:r w:rsidRPr="00D05EBD">
        <w:rPr>
          <w:rFonts w:cs="Arial"/>
          <w:color w:val="222222"/>
          <w:sz w:val="24"/>
          <w:szCs w:val="24"/>
        </w:rPr>
        <w:br/>
      </w:r>
      <w:r w:rsidRPr="00D05EBD">
        <w:rPr>
          <w:rFonts w:cs="Arial"/>
          <w:color w:val="222222"/>
          <w:sz w:val="24"/>
          <w:szCs w:val="24"/>
          <w:shd w:val="clear" w:color="auto" w:fill="FFFFFF"/>
        </w:rPr>
        <w:t>This experiment is being conducted under the supervision of Dr Thomas Webb and Prof Peter Totterdell and has received ethics approval by the Department of Psychology Ethics Committee.</w:t>
      </w:r>
      <w:r w:rsidRPr="00D05EBD">
        <w:rPr>
          <w:rFonts w:cs="Arial"/>
          <w:color w:val="222222"/>
          <w:sz w:val="24"/>
          <w:szCs w:val="24"/>
        </w:rPr>
        <w:br/>
      </w:r>
      <w:r w:rsidRPr="00D05EBD">
        <w:rPr>
          <w:rFonts w:cs="Arial"/>
          <w:color w:val="222222"/>
          <w:sz w:val="24"/>
          <w:szCs w:val="24"/>
        </w:rPr>
        <w:br/>
      </w:r>
      <w:r w:rsidRPr="00D05EBD">
        <w:rPr>
          <w:rFonts w:cs="Arial"/>
          <w:color w:val="222222"/>
          <w:sz w:val="24"/>
          <w:szCs w:val="24"/>
          <w:shd w:val="clear" w:color="auto" w:fill="FFFFFF"/>
        </w:rPr>
        <w:t>Your participation is entirely voluntary and you can leave the study at any point without providing reasons.</w:t>
      </w:r>
      <w:r w:rsidRPr="00D05EBD">
        <w:rPr>
          <w:rFonts w:cs="Arial"/>
          <w:color w:val="222222"/>
          <w:sz w:val="24"/>
          <w:szCs w:val="24"/>
        </w:rPr>
        <w:br/>
      </w:r>
      <w:r w:rsidRPr="00D05EBD">
        <w:rPr>
          <w:rFonts w:cs="Arial"/>
          <w:color w:val="222222"/>
          <w:sz w:val="24"/>
          <w:szCs w:val="24"/>
        </w:rPr>
        <w:br/>
      </w:r>
      <w:r w:rsidRPr="00D05EBD">
        <w:rPr>
          <w:rFonts w:cs="Arial"/>
          <w:color w:val="222222"/>
          <w:sz w:val="24"/>
          <w:szCs w:val="24"/>
          <w:shd w:val="clear" w:color="auto" w:fill="FFFFFF"/>
        </w:rPr>
        <w:t>Best wishes,</w:t>
      </w:r>
      <w:r w:rsidRPr="00D05EBD">
        <w:rPr>
          <w:rFonts w:cs="Arial"/>
          <w:color w:val="222222"/>
          <w:sz w:val="24"/>
          <w:szCs w:val="24"/>
        </w:rPr>
        <w:br/>
      </w:r>
      <w:r w:rsidRPr="00D05EBD">
        <w:rPr>
          <w:rFonts w:cs="Arial"/>
          <w:color w:val="222222"/>
          <w:sz w:val="24"/>
          <w:szCs w:val="24"/>
        </w:rPr>
        <w:br/>
      </w:r>
      <w:proofErr w:type="spellStart"/>
      <w:r w:rsidRPr="00D05EBD">
        <w:rPr>
          <w:rFonts w:cs="Arial"/>
          <w:color w:val="222222"/>
          <w:sz w:val="24"/>
          <w:szCs w:val="24"/>
          <w:shd w:val="clear" w:color="auto" w:fill="FFFFFF"/>
        </w:rPr>
        <w:t>Daria</w:t>
      </w:r>
      <w:proofErr w:type="spellEnd"/>
      <w:r w:rsidRPr="00D05EBD">
        <w:rPr>
          <w:rFonts w:cs="Arial"/>
          <w:color w:val="222222"/>
          <w:sz w:val="24"/>
          <w:szCs w:val="24"/>
          <w:shd w:val="clear" w:color="auto" w:fill="FFFFFF"/>
        </w:rPr>
        <w:t xml:space="preserve"> Hernandez Ibar</w:t>
      </w:r>
      <w:r w:rsidRPr="00D05EBD">
        <w:rPr>
          <w:rFonts w:cs="Arial"/>
          <w:color w:val="222222"/>
          <w:sz w:val="24"/>
          <w:szCs w:val="24"/>
        </w:rPr>
        <w:br/>
      </w:r>
      <w:r w:rsidRPr="00D05EBD">
        <w:rPr>
          <w:rFonts w:cs="Arial"/>
          <w:color w:val="222222"/>
          <w:sz w:val="24"/>
          <w:szCs w:val="24"/>
        </w:rPr>
        <w:br/>
      </w:r>
      <w:r w:rsidRPr="00D05EBD">
        <w:rPr>
          <w:rFonts w:cs="Arial"/>
          <w:color w:val="222222"/>
          <w:sz w:val="24"/>
          <w:szCs w:val="24"/>
          <w:shd w:val="clear" w:color="auto" w:fill="FFFFFF"/>
        </w:rPr>
        <w:t>Information related to this message is available at</w:t>
      </w:r>
      <w:r w:rsidRPr="00D05EBD">
        <w:rPr>
          <w:rStyle w:val="apple-converted-space"/>
          <w:rFonts w:cs="Arial"/>
          <w:color w:val="222222"/>
          <w:sz w:val="24"/>
          <w:szCs w:val="24"/>
          <w:shd w:val="clear" w:color="auto" w:fill="FFFFFF"/>
        </w:rPr>
        <w:t> </w:t>
      </w:r>
      <w:hyperlink r:id="rId38" w:tgtFrame="_blank" w:history="1">
        <w:r w:rsidRPr="00D05EBD">
          <w:rPr>
            <w:rStyle w:val="Hipervnculo"/>
            <w:rFonts w:cs="Arial"/>
            <w:color w:val="1155CC"/>
            <w:sz w:val="24"/>
            <w:szCs w:val="24"/>
            <w:shd w:val="clear" w:color="auto" w:fill="FFFFFF"/>
          </w:rPr>
          <w:t>https://www.</w:t>
        </w:r>
        <w:r w:rsidRPr="00D05EBD">
          <w:rPr>
            <w:rStyle w:val="il"/>
            <w:rFonts w:cs="Arial"/>
            <w:color w:val="1155CC"/>
            <w:sz w:val="24"/>
            <w:szCs w:val="24"/>
            <w:u w:val="single"/>
            <w:shd w:val="clear" w:color="auto" w:fill="FFFFFF"/>
          </w:rPr>
          <w:t>surveymonkey</w:t>
        </w:r>
        <w:r w:rsidRPr="00D05EBD">
          <w:rPr>
            <w:rStyle w:val="Hipervnculo"/>
            <w:rFonts w:cs="Arial"/>
            <w:color w:val="1155CC"/>
            <w:sz w:val="24"/>
            <w:szCs w:val="24"/>
            <w:shd w:val="clear" w:color="auto" w:fill="FFFFFF"/>
          </w:rPr>
          <w:t>.com/s/MPHJNX6</w:t>
        </w:r>
      </w:hyperlink>
      <w:r w:rsidRPr="00D05EBD">
        <w:rPr>
          <w:rFonts w:cs="Arial"/>
          <w:color w:val="222222"/>
          <w:sz w:val="24"/>
          <w:szCs w:val="24"/>
          <w:shd w:val="clear" w:color="auto" w:fill="FFFFFF"/>
        </w:rPr>
        <w:t>.</w:t>
      </w:r>
      <w:r w:rsidRPr="00D05EBD">
        <w:rPr>
          <w:rFonts w:cs="Arial"/>
          <w:color w:val="222222"/>
          <w:sz w:val="24"/>
          <w:szCs w:val="24"/>
        </w:rPr>
        <w:br/>
      </w:r>
      <w:r w:rsidRPr="00D05EBD">
        <w:rPr>
          <w:rFonts w:cs="Arial"/>
          <w:color w:val="222222"/>
          <w:sz w:val="24"/>
          <w:szCs w:val="24"/>
        </w:rPr>
        <w:br/>
      </w:r>
      <w:r w:rsidRPr="00D05EBD">
        <w:rPr>
          <w:rFonts w:cs="Arial"/>
          <w:color w:val="222222"/>
          <w:sz w:val="24"/>
          <w:szCs w:val="24"/>
          <w:shd w:val="clear" w:color="auto" w:fill="FFFFFF"/>
        </w:rPr>
        <w:t>For information about this email list, including how to remove your name, please visit</w:t>
      </w:r>
      <w:r w:rsidRPr="00D05EBD">
        <w:rPr>
          <w:rStyle w:val="apple-converted-space"/>
          <w:rFonts w:cs="Arial"/>
          <w:color w:val="222222"/>
          <w:sz w:val="24"/>
          <w:szCs w:val="24"/>
          <w:shd w:val="clear" w:color="auto" w:fill="FFFFFF"/>
        </w:rPr>
        <w:t> </w:t>
      </w:r>
      <w:hyperlink r:id="rId39" w:tgtFrame="_blank" w:history="1">
        <w:r w:rsidRPr="00D05EBD">
          <w:rPr>
            <w:rStyle w:val="Hipervnculo"/>
            <w:rFonts w:cs="Arial"/>
            <w:color w:val="1155CC"/>
            <w:sz w:val="24"/>
            <w:szCs w:val="24"/>
            <w:shd w:val="clear" w:color="auto" w:fill="FFFFFF"/>
          </w:rPr>
          <w:t>http://www.shef.ac.uk/cics/email/distributionlists.html</w:t>
        </w:r>
      </w:hyperlink>
      <w:r w:rsidRPr="00D05EBD">
        <w:rPr>
          <w:rFonts w:cs="Arial"/>
          <w:color w:val="222222"/>
          <w:sz w:val="24"/>
          <w:szCs w:val="24"/>
          <w:shd w:val="clear" w:color="auto" w:fill="FFFFFF"/>
        </w:rPr>
        <w:t>and click the list name.</w:t>
      </w:r>
    </w:p>
    <w:p w:rsidR="009A1572" w:rsidRDefault="009A1572" w:rsidP="009A1572">
      <w:pPr>
        <w:spacing w:after="0" w:line="480" w:lineRule="auto"/>
        <w:jc w:val="both"/>
        <w:rPr>
          <w:sz w:val="24"/>
          <w:szCs w:val="24"/>
        </w:rPr>
      </w:pPr>
    </w:p>
    <w:p w:rsidR="009A1572" w:rsidRDefault="009A1572" w:rsidP="009A1572">
      <w:pPr>
        <w:spacing w:line="480" w:lineRule="auto"/>
        <w:rPr>
          <w:sz w:val="24"/>
          <w:szCs w:val="24"/>
        </w:rPr>
      </w:pPr>
      <w:r w:rsidRPr="00F80070">
        <w:rPr>
          <w:b/>
          <w:sz w:val="24"/>
          <w:szCs w:val="24"/>
        </w:rPr>
        <w:lastRenderedPageBreak/>
        <w:t>New measure of the use of self-control during the working day</w:t>
      </w:r>
      <w:r>
        <w:rPr>
          <w:noProof/>
          <w:sz w:val="24"/>
          <w:szCs w:val="24"/>
          <w:lang w:eastAsia="en-GB"/>
        </w:rPr>
        <w:drawing>
          <wp:inline distT="0" distB="0" distL="0" distR="0">
            <wp:extent cx="5400040" cy="7638415"/>
            <wp:effectExtent l="19050" t="19050" r="0" b="635"/>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a:ln>
                      <a:solidFill>
                        <a:schemeClr val="accent1"/>
                      </a:solidFill>
                    </a:ln>
                  </pic:spPr>
                </pic:pic>
              </a:graphicData>
            </a:graphic>
          </wp:inline>
        </w:drawing>
      </w:r>
    </w:p>
    <w:p w:rsidR="009A1572" w:rsidRDefault="009A1572" w:rsidP="009A1572">
      <w:pPr>
        <w:spacing w:line="480" w:lineRule="auto"/>
        <w:jc w:val="both"/>
        <w:rPr>
          <w:sz w:val="24"/>
          <w:szCs w:val="24"/>
        </w:rPr>
      </w:pPr>
      <w:r>
        <w:rPr>
          <w:noProof/>
          <w:sz w:val="24"/>
          <w:szCs w:val="24"/>
          <w:lang w:eastAsia="en-GB"/>
        </w:rPr>
        <w:lastRenderedPageBreak/>
        <w:drawing>
          <wp:inline distT="0" distB="0" distL="0" distR="0">
            <wp:extent cx="5400040" cy="7638415"/>
            <wp:effectExtent l="19050" t="19050" r="0" b="635"/>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a:ln>
                      <a:solidFill>
                        <a:schemeClr val="accent1"/>
                      </a:solidFill>
                    </a:ln>
                  </pic:spPr>
                </pic:pic>
              </a:graphicData>
            </a:graphic>
          </wp:inline>
        </w:drawing>
      </w:r>
    </w:p>
    <w:p w:rsidR="009A1572" w:rsidRDefault="009A1572" w:rsidP="009A1572">
      <w:pPr>
        <w:spacing w:line="480" w:lineRule="auto"/>
        <w:jc w:val="both"/>
        <w:rPr>
          <w:sz w:val="24"/>
          <w:szCs w:val="24"/>
        </w:rPr>
      </w:pPr>
      <w:r>
        <w:rPr>
          <w:noProof/>
          <w:sz w:val="24"/>
          <w:szCs w:val="24"/>
          <w:lang w:eastAsia="en-GB"/>
        </w:rPr>
        <w:lastRenderedPageBreak/>
        <w:drawing>
          <wp:inline distT="0" distB="0" distL="0" distR="0">
            <wp:extent cx="5400040" cy="7638415"/>
            <wp:effectExtent l="19050" t="19050" r="0" b="635"/>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a:ln>
                      <a:solidFill>
                        <a:schemeClr val="accent1"/>
                      </a:solidFill>
                    </a:ln>
                  </pic:spPr>
                </pic:pic>
              </a:graphicData>
            </a:graphic>
          </wp:inline>
        </w:drawing>
      </w:r>
    </w:p>
    <w:p w:rsidR="009A1572" w:rsidRDefault="009A1572" w:rsidP="009A1572">
      <w:pPr>
        <w:spacing w:line="480" w:lineRule="auto"/>
        <w:jc w:val="both"/>
        <w:rPr>
          <w:sz w:val="24"/>
          <w:szCs w:val="24"/>
        </w:rPr>
      </w:pPr>
      <w:r>
        <w:rPr>
          <w:noProof/>
          <w:sz w:val="24"/>
          <w:szCs w:val="24"/>
          <w:lang w:eastAsia="en-GB"/>
        </w:rPr>
        <w:lastRenderedPageBreak/>
        <w:drawing>
          <wp:inline distT="0" distB="0" distL="0" distR="0">
            <wp:extent cx="5400040" cy="7638415"/>
            <wp:effectExtent l="19050" t="19050" r="0" b="635"/>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a:ln>
                      <a:solidFill>
                        <a:schemeClr val="accent1"/>
                      </a:solidFill>
                    </a:ln>
                  </pic:spPr>
                </pic:pic>
              </a:graphicData>
            </a:graphic>
          </wp:inline>
        </w:drawing>
      </w:r>
    </w:p>
    <w:p w:rsidR="009A1572" w:rsidRDefault="009A1572" w:rsidP="009A1572">
      <w:pPr>
        <w:spacing w:line="480" w:lineRule="auto"/>
        <w:jc w:val="both"/>
        <w:rPr>
          <w:sz w:val="24"/>
          <w:szCs w:val="24"/>
        </w:rPr>
      </w:pPr>
    </w:p>
    <w:p w:rsidR="009A1572" w:rsidRDefault="009A1572" w:rsidP="009A1572">
      <w:pPr>
        <w:spacing w:line="480" w:lineRule="auto"/>
        <w:jc w:val="both"/>
        <w:rPr>
          <w:sz w:val="24"/>
          <w:szCs w:val="24"/>
        </w:rPr>
      </w:pPr>
    </w:p>
    <w:p w:rsidR="009A1572" w:rsidRPr="00D05EBD" w:rsidRDefault="009A1572" w:rsidP="009A1572">
      <w:pPr>
        <w:spacing w:after="0" w:line="480" w:lineRule="auto"/>
        <w:ind w:left="720" w:hanging="720"/>
        <w:jc w:val="both"/>
        <w:rPr>
          <w:sz w:val="24"/>
          <w:szCs w:val="24"/>
        </w:rPr>
      </w:pPr>
      <w:r w:rsidRPr="00D05EBD">
        <w:rPr>
          <w:b/>
          <w:sz w:val="24"/>
          <w:szCs w:val="24"/>
        </w:rPr>
        <w:lastRenderedPageBreak/>
        <w:t>CHAPTER 5</w:t>
      </w:r>
    </w:p>
    <w:p w:rsidR="009A1572" w:rsidRPr="00D05EBD" w:rsidRDefault="009A1572" w:rsidP="009A1572">
      <w:pPr>
        <w:jc w:val="both"/>
        <w:rPr>
          <w:b/>
          <w:sz w:val="24"/>
          <w:szCs w:val="24"/>
        </w:rPr>
      </w:pPr>
      <w:r w:rsidRPr="00D05EBD">
        <w:rPr>
          <w:b/>
          <w:sz w:val="24"/>
          <w:szCs w:val="24"/>
        </w:rPr>
        <w:t>Pre-event questionnaire</w:t>
      </w:r>
    </w:p>
    <w:p w:rsidR="009A1572" w:rsidRPr="006D5F23" w:rsidRDefault="009A1572" w:rsidP="009A1572">
      <w:pPr>
        <w:spacing w:after="0"/>
        <w:jc w:val="both"/>
        <w:rPr>
          <w:rStyle w:val="Textoennegrita"/>
          <w:rFonts w:cs="Arial"/>
          <w:color w:val="000000"/>
          <w:sz w:val="24"/>
          <w:szCs w:val="24"/>
          <w:shd w:val="clear" w:color="auto" w:fill="FFFFFF"/>
        </w:rPr>
      </w:pPr>
      <w:r w:rsidRPr="006D5F23">
        <w:rPr>
          <w:rFonts w:cs="Arial"/>
          <w:color w:val="000000"/>
          <w:sz w:val="24"/>
          <w:szCs w:val="24"/>
          <w:shd w:val="clear" w:color="auto" w:fill="FFFFFF"/>
        </w:rPr>
        <w:t>Thank you for taking part in the study</w:t>
      </w:r>
      <w:r w:rsidRPr="006D5F23">
        <w:rPr>
          <w:rStyle w:val="apple-converted-space"/>
          <w:rFonts w:cs="Arial"/>
          <w:color w:val="000000"/>
          <w:sz w:val="24"/>
          <w:szCs w:val="24"/>
          <w:shd w:val="clear" w:color="auto" w:fill="FFFFFF"/>
        </w:rPr>
        <w:t> </w:t>
      </w:r>
      <w:r w:rsidRPr="006D5F23">
        <w:rPr>
          <w:rStyle w:val="Textoennegrita"/>
          <w:rFonts w:cs="Arial"/>
          <w:color w:val="000000"/>
          <w:sz w:val="24"/>
          <w:szCs w:val="24"/>
          <w:shd w:val="clear" w:color="auto" w:fill="FFFFFF"/>
        </w:rPr>
        <w:t>"How memory works in interpersonal interactions"</w:t>
      </w:r>
    </w:p>
    <w:p w:rsidR="009A1572" w:rsidRPr="00D05EBD" w:rsidRDefault="009A1572" w:rsidP="009A1572">
      <w:pPr>
        <w:spacing w:after="0"/>
        <w:jc w:val="both"/>
        <w:rPr>
          <w:rFonts w:eastAsia="Times New Roman" w:cs="Arial"/>
          <w:color w:val="000000"/>
          <w:sz w:val="24"/>
          <w:szCs w:val="24"/>
          <w:shd w:val="clear" w:color="auto" w:fill="FFFFFF"/>
          <w:lang w:eastAsia="en-GB"/>
        </w:rPr>
      </w:pPr>
      <w:r w:rsidRPr="00D05EBD">
        <w:rPr>
          <w:rFonts w:eastAsia="Times New Roman" w:cs="Arial"/>
          <w:color w:val="000000"/>
          <w:sz w:val="24"/>
          <w:szCs w:val="24"/>
          <w:shd w:val="clear" w:color="auto" w:fill="FFFFFF"/>
          <w:lang w:eastAsia="en-GB"/>
        </w:rPr>
        <w:t>------------------------</w:t>
      </w:r>
    </w:p>
    <w:p w:rsidR="009A1572" w:rsidRPr="00D05EBD" w:rsidRDefault="009A1572" w:rsidP="009A1572">
      <w:pPr>
        <w:spacing w:after="0"/>
        <w:jc w:val="both"/>
        <w:rPr>
          <w:rFonts w:eastAsia="Times New Roman" w:cs="Times New Roman"/>
          <w:sz w:val="24"/>
          <w:szCs w:val="24"/>
          <w:lang w:eastAsia="en-GB"/>
        </w:rPr>
      </w:pPr>
      <w:r w:rsidRPr="00D05EBD">
        <w:rPr>
          <w:rFonts w:eastAsia="Times New Roman" w:cs="Arial"/>
          <w:color w:val="000000"/>
          <w:sz w:val="24"/>
          <w:szCs w:val="24"/>
          <w:shd w:val="clear" w:color="auto" w:fill="FFFFFF"/>
          <w:lang w:eastAsia="en-GB"/>
        </w:rPr>
        <w:t>The event is divided in two stages:</w:t>
      </w:r>
    </w:p>
    <w:p w:rsidR="009A1572" w:rsidRPr="00D05EBD" w:rsidRDefault="009A1572" w:rsidP="009A1572">
      <w:pPr>
        <w:shd w:val="clear" w:color="auto" w:fill="FFFFFF"/>
        <w:spacing w:after="0"/>
        <w:jc w:val="both"/>
        <w:rPr>
          <w:rFonts w:eastAsia="Times New Roman" w:cs="Arial"/>
          <w:color w:val="000000"/>
          <w:sz w:val="24"/>
          <w:szCs w:val="24"/>
          <w:lang w:eastAsia="en-GB"/>
        </w:rPr>
      </w:pPr>
      <w:r w:rsidRPr="00D05EBD">
        <w:rPr>
          <w:rFonts w:eastAsia="Times New Roman" w:cs="Arial"/>
          <w:color w:val="000000"/>
          <w:sz w:val="24"/>
          <w:szCs w:val="24"/>
          <w:lang w:eastAsia="en-GB"/>
        </w:rPr>
        <w:t>1. This questionnaire, where you will answer some questions about your personality to help us find you a better match.</w:t>
      </w:r>
    </w:p>
    <w:p w:rsidR="009A1572" w:rsidRPr="00D05EBD" w:rsidRDefault="009A1572" w:rsidP="009A1572">
      <w:pPr>
        <w:shd w:val="clear" w:color="auto" w:fill="FFFFFF"/>
        <w:spacing w:after="0"/>
        <w:jc w:val="both"/>
        <w:rPr>
          <w:rFonts w:eastAsia="Times New Roman" w:cs="Arial"/>
          <w:color w:val="000000"/>
          <w:sz w:val="24"/>
          <w:szCs w:val="24"/>
          <w:lang w:eastAsia="en-GB"/>
        </w:rPr>
      </w:pPr>
      <w:r w:rsidRPr="00D05EBD">
        <w:rPr>
          <w:rFonts w:eastAsia="Times New Roman" w:cs="Arial"/>
          <w:color w:val="000000"/>
          <w:sz w:val="24"/>
          <w:szCs w:val="24"/>
          <w:lang w:eastAsia="en-GB"/>
        </w:rPr>
        <w:t>2. The speed dating event, where you will have around 8 different dates of 4 minutes duration each. After each date you will be invited to answer a few questions about your date. Each date will be audio recorded but neither your name nor any personal details will be required, so you won't be identifiable. </w:t>
      </w:r>
    </w:p>
    <w:p w:rsidR="009A1572" w:rsidRPr="00D05EBD" w:rsidRDefault="009A1572" w:rsidP="009A1572">
      <w:pPr>
        <w:shd w:val="clear" w:color="auto" w:fill="FFFFFF"/>
        <w:spacing w:after="0"/>
        <w:jc w:val="both"/>
        <w:rPr>
          <w:rFonts w:eastAsia="Times New Roman" w:cs="Arial"/>
          <w:color w:val="000000"/>
          <w:sz w:val="24"/>
          <w:szCs w:val="24"/>
          <w:lang w:eastAsia="en-GB"/>
        </w:rPr>
      </w:pPr>
      <w:r w:rsidRPr="00D05EBD">
        <w:rPr>
          <w:rFonts w:eastAsia="Times New Roman" w:cs="Arial"/>
          <w:color w:val="000000"/>
          <w:sz w:val="24"/>
          <w:szCs w:val="24"/>
          <w:lang w:eastAsia="en-GB"/>
        </w:rPr>
        <w:t>In case you have a match the experimenter will contact you on the next day to provide you with the contact details of your match so you both (your match and you), can arrange a date if you would like to. </w:t>
      </w:r>
    </w:p>
    <w:p w:rsidR="009A1572" w:rsidRPr="00D05EBD" w:rsidRDefault="009A1572" w:rsidP="009A1572">
      <w:pPr>
        <w:shd w:val="clear" w:color="auto" w:fill="FFFFFF"/>
        <w:spacing w:after="0"/>
        <w:jc w:val="both"/>
        <w:rPr>
          <w:rFonts w:eastAsia="Times New Roman" w:cs="Arial"/>
          <w:color w:val="000000"/>
          <w:sz w:val="24"/>
          <w:szCs w:val="24"/>
          <w:lang w:eastAsia="en-GB"/>
        </w:rPr>
      </w:pPr>
      <w:r w:rsidRPr="00D05EBD">
        <w:rPr>
          <w:rFonts w:eastAsia="Times New Roman" w:cs="Arial"/>
          <w:color w:val="000000"/>
          <w:sz w:val="24"/>
          <w:szCs w:val="24"/>
          <w:lang w:eastAsia="en-GB"/>
        </w:rPr>
        <w:t>At the end of the event there will be a prize draw of eight £5 notes. Also, each participant will receive a 50p discount voucher so you can buy a drink if you would like to.</w:t>
      </w:r>
    </w:p>
    <w:p w:rsidR="009A1572" w:rsidRPr="00D05EBD" w:rsidRDefault="009A1572" w:rsidP="009A1572">
      <w:pPr>
        <w:shd w:val="clear" w:color="auto" w:fill="FFFFFF"/>
        <w:spacing w:after="0"/>
        <w:jc w:val="both"/>
        <w:rPr>
          <w:rFonts w:eastAsia="Times New Roman" w:cs="Arial"/>
          <w:color w:val="000000"/>
          <w:sz w:val="24"/>
          <w:szCs w:val="24"/>
          <w:lang w:eastAsia="en-GB"/>
        </w:rPr>
      </w:pPr>
      <w:r w:rsidRPr="00D05EBD">
        <w:rPr>
          <w:rFonts w:eastAsia="Times New Roman" w:cs="Arial"/>
          <w:color w:val="000000"/>
          <w:sz w:val="24"/>
          <w:szCs w:val="24"/>
          <w:lang w:eastAsia="en-GB"/>
        </w:rPr>
        <w:t>------------------------------</w:t>
      </w:r>
    </w:p>
    <w:p w:rsidR="009A1572" w:rsidRPr="00D05EBD" w:rsidRDefault="009A1572" w:rsidP="009A1572">
      <w:pPr>
        <w:spacing w:after="0"/>
        <w:jc w:val="both"/>
        <w:rPr>
          <w:rFonts w:eastAsia="Times New Roman" w:cs="Times New Roman"/>
          <w:sz w:val="24"/>
          <w:szCs w:val="24"/>
          <w:lang w:eastAsia="en-GB"/>
        </w:rPr>
      </w:pPr>
      <w:r w:rsidRPr="00D05EBD">
        <w:rPr>
          <w:rFonts w:eastAsia="Times New Roman" w:cs="Arial"/>
          <w:color w:val="000000"/>
          <w:sz w:val="24"/>
          <w:szCs w:val="24"/>
          <w:shd w:val="clear" w:color="auto" w:fill="FFFFFF"/>
          <w:lang w:eastAsia="en-GB"/>
        </w:rPr>
        <w:t>Over the next pages you will see a series of questions about your personality that will help us to find you a match during the event. </w:t>
      </w:r>
    </w:p>
    <w:p w:rsidR="009A1572" w:rsidRPr="00D05EBD" w:rsidRDefault="009A1572" w:rsidP="009A1572">
      <w:pPr>
        <w:shd w:val="clear" w:color="auto" w:fill="FFFFFF"/>
        <w:spacing w:after="0"/>
        <w:jc w:val="both"/>
        <w:rPr>
          <w:rFonts w:eastAsia="Times New Roman" w:cs="Arial"/>
          <w:color w:val="000000"/>
          <w:sz w:val="24"/>
          <w:szCs w:val="24"/>
          <w:lang w:eastAsia="en-GB"/>
        </w:rPr>
      </w:pPr>
      <w:r w:rsidRPr="00D05EBD">
        <w:rPr>
          <w:rFonts w:eastAsia="Times New Roman" w:cs="Arial"/>
          <w:color w:val="000000"/>
          <w:sz w:val="24"/>
          <w:szCs w:val="24"/>
          <w:lang w:eastAsia="en-GB"/>
        </w:rPr>
        <w:t>At the end of this questionnaire you will see the details about the speed dating event (</w:t>
      </w:r>
      <w:proofErr w:type="spellStart"/>
      <w:r w:rsidRPr="00D05EBD">
        <w:rPr>
          <w:rFonts w:eastAsia="Times New Roman" w:cs="Arial"/>
          <w:color w:val="000000"/>
          <w:sz w:val="24"/>
          <w:szCs w:val="24"/>
          <w:lang w:eastAsia="en-GB"/>
        </w:rPr>
        <w:t>venueand</w:t>
      </w:r>
      <w:proofErr w:type="spellEnd"/>
      <w:r w:rsidRPr="00D05EBD">
        <w:rPr>
          <w:rFonts w:eastAsia="Times New Roman" w:cs="Arial"/>
          <w:color w:val="000000"/>
          <w:sz w:val="24"/>
          <w:szCs w:val="24"/>
          <w:lang w:eastAsia="en-GB"/>
        </w:rPr>
        <w:t xml:space="preserve"> time).</w:t>
      </w:r>
    </w:p>
    <w:p w:rsidR="009A1572" w:rsidRPr="00D05EBD" w:rsidRDefault="009A1572" w:rsidP="009A1572">
      <w:pPr>
        <w:shd w:val="clear" w:color="auto" w:fill="FFFFFF"/>
        <w:spacing w:after="0"/>
        <w:jc w:val="both"/>
        <w:rPr>
          <w:rFonts w:eastAsia="Times New Roman" w:cs="Arial"/>
          <w:color w:val="000000"/>
          <w:sz w:val="24"/>
          <w:szCs w:val="24"/>
          <w:lang w:eastAsia="en-GB"/>
        </w:rPr>
      </w:pPr>
      <w:r w:rsidRPr="00D05EBD">
        <w:rPr>
          <w:rFonts w:eastAsia="Times New Roman" w:cs="Arial"/>
          <w:color w:val="000000"/>
          <w:sz w:val="24"/>
          <w:szCs w:val="24"/>
          <w:lang w:eastAsia="en-GB"/>
        </w:rPr>
        <w:t>Please click the 'arrow' button to begin the questionnaire.</w:t>
      </w:r>
    </w:p>
    <w:p w:rsidR="009A1572" w:rsidRPr="00D05EBD" w:rsidRDefault="009A1572" w:rsidP="009A1572">
      <w:pPr>
        <w:shd w:val="clear" w:color="auto" w:fill="FFFFFF"/>
        <w:spacing w:after="0"/>
        <w:jc w:val="both"/>
        <w:rPr>
          <w:rFonts w:eastAsia="Times New Roman" w:cs="Arial"/>
          <w:color w:val="000000"/>
          <w:sz w:val="24"/>
          <w:szCs w:val="24"/>
          <w:lang w:eastAsia="en-GB"/>
        </w:rPr>
      </w:pPr>
      <w:r w:rsidRPr="00D05EBD">
        <w:rPr>
          <w:rFonts w:eastAsia="Times New Roman" w:cs="Arial"/>
          <w:color w:val="000000"/>
          <w:sz w:val="24"/>
          <w:szCs w:val="24"/>
          <w:lang w:eastAsia="en-GB"/>
        </w:rPr>
        <w:t>----------------------------------</w:t>
      </w:r>
    </w:p>
    <w:p w:rsidR="009A1572" w:rsidRPr="00D05EBD" w:rsidRDefault="009A1572" w:rsidP="009A1572">
      <w:pPr>
        <w:spacing w:after="0"/>
        <w:jc w:val="both"/>
        <w:rPr>
          <w:rFonts w:eastAsia="Times New Roman" w:cs="Times New Roman"/>
          <w:sz w:val="24"/>
          <w:szCs w:val="24"/>
          <w:lang w:eastAsia="en-GB"/>
        </w:rPr>
      </w:pPr>
      <w:r w:rsidRPr="00D05EBD">
        <w:rPr>
          <w:rFonts w:eastAsia="Times New Roman" w:cs="Arial"/>
          <w:color w:val="000000"/>
          <w:sz w:val="24"/>
          <w:szCs w:val="24"/>
          <w:shd w:val="clear" w:color="auto" w:fill="FFFFFF"/>
          <w:lang w:eastAsia="en-GB"/>
        </w:rPr>
        <w:t>Over the next questions you are invited to provide us with some demographics and your contact details so the experimenter can contact you later in the case you have a match during the speed dating event. </w:t>
      </w:r>
    </w:p>
    <w:p w:rsidR="009A1572" w:rsidRPr="00D05EBD" w:rsidRDefault="009A1572" w:rsidP="009A1572">
      <w:pPr>
        <w:shd w:val="clear" w:color="auto" w:fill="FFFFFF"/>
        <w:spacing w:after="0"/>
        <w:jc w:val="both"/>
        <w:rPr>
          <w:rFonts w:eastAsia="Times New Roman" w:cs="Arial"/>
          <w:color w:val="000000"/>
          <w:sz w:val="24"/>
          <w:szCs w:val="24"/>
          <w:lang w:eastAsia="en-GB"/>
        </w:rPr>
      </w:pPr>
      <w:r w:rsidRPr="00D05EBD">
        <w:rPr>
          <w:rFonts w:eastAsia="Times New Roman" w:cs="Arial"/>
          <w:color w:val="000000"/>
          <w:sz w:val="24"/>
          <w:szCs w:val="24"/>
          <w:lang w:eastAsia="en-GB"/>
        </w:rPr>
        <w:t>All the information you provide is strictly confidential and the experimenter will be the only one with access to it. </w:t>
      </w:r>
    </w:p>
    <w:p w:rsidR="009A1572" w:rsidRPr="00D05EBD" w:rsidRDefault="009A1572" w:rsidP="009A1572">
      <w:pPr>
        <w:shd w:val="clear" w:color="auto" w:fill="FFFFFF"/>
        <w:spacing w:after="0"/>
        <w:jc w:val="both"/>
        <w:rPr>
          <w:rFonts w:eastAsia="Times New Roman" w:cs="Arial"/>
          <w:color w:val="000000"/>
          <w:sz w:val="24"/>
          <w:szCs w:val="24"/>
          <w:lang w:eastAsia="en-GB"/>
        </w:rPr>
      </w:pPr>
      <w:r w:rsidRPr="00D05EBD">
        <w:rPr>
          <w:rFonts w:eastAsia="Times New Roman" w:cs="Arial"/>
          <w:color w:val="000000"/>
          <w:sz w:val="24"/>
          <w:szCs w:val="24"/>
          <w:lang w:eastAsia="en-GB"/>
        </w:rPr>
        <w:t>-------------------------------------</w:t>
      </w:r>
    </w:p>
    <w:p w:rsidR="009A1572" w:rsidRPr="00D05EBD" w:rsidRDefault="009A1572" w:rsidP="009A1572">
      <w:pPr>
        <w:shd w:val="clear" w:color="auto" w:fill="FFFFFF"/>
        <w:spacing w:after="0"/>
        <w:jc w:val="both"/>
        <w:rPr>
          <w:rFonts w:cs="Arial"/>
          <w:color w:val="000000"/>
          <w:sz w:val="24"/>
          <w:szCs w:val="24"/>
          <w:shd w:val="clear" w:color="auto" w:fill="FFFFFF"/>
        </w:rPr>
      </w:pPr>
      <w:r w:rsidRPr="00D05EBD">
        <w:rPr>
          <w:rFonts w:cs="Arial"/>
          <w:color w:val="000000"/>
          <w:sz w:val="24"/>
          <w:szCs w:val="24"/>
          <w:shd w:val="clear" w:color="auto" w:fill="FFFFFF"/>
        </w:rPr>
        <w:t>In order to identify you without having to use your name and thus, respecting your anonymity, please write down the CODE the experimenter emailed to you (this code comes in the email with the link to this questionnaire).</w:t>
      </w:r>
    </w:p>
    <w:p w:rsidR="009A1572" w:rsidRPr="00D05EBD" w:rsidRDefault="009A1572" w:rsidP="009A1572">
      <w:pPr>
        <w:shd w:val="clear" w:color="auto" w:fill="FFFFFF"/>
        <w:spacing w:after="0"/>
        <w:jc w:val="both"/>
        <w:rPr>
          <w:rFonts w:cs="Arial"/>
          <w:color w:val="000000"/>
          <w:sz w:val="24"/>
          <w:szCs w:val="24"/>
          <w:shd w:val="clear" w:color="auto" w:fill="FFFFFF"/>
        </w:rPr>
      </w:pPr>
      <w:r w:rsidRPr="00D05EBD">
        <w:rPr>
          <w:rFonts w:cs="Arial"/>
          <w:color w:val="000000"/>
          <w:sz w:val="24"/>
          <w:szCs w:val="24"/>
          <w:shd w:val="clear" w:color="auto" w:fill="FFFFFF"/>
        </w:rPr>
        <w:t>-----------------------------------</w:t>
      </w:r>
    </w:p>
    <w:p w:rsidR="009A1572" w:rsidRPr="00D05EBD" w:rsidRDefault="009A1572" w:rsidP="009A1572">
      <w:pPr>
        <w:shd w:val="clear" w:color="auto" w:fill="FFFFFF"/>
        <w:spacing w:after="0"/>
        <w:jc w:val="both"/>
        <w:rPr>
          <w:rFonts w:cs="Arial"/>
          <w:color w:val="000000"/>
          <w:sz w:val="24"/>
          <w:szCs w:val="24"/>
          <w:shd w:val="clear" w:color="auto" w:fill="FFFFFF"/>
        </w:rPr>
      </w:pPr>
      <w:r w:rsidRPr="00D05EBD">
        <w:rPr>
          <w:rFonts w:cs="Arial"/>
          <w:color w:val="000000"/>
          <w:sz w:val="24"/>
          <w:szCs w:val="24"/>
          <w:shd w:val="clear" w:color="auto" w:fill="FFFFFF"/>
        </w:rPr>
        <w:t>Please write the email address where the experimenter has been contacting you about the speed dating event</w:t>
      </w:r>
    </w:p>
    <w:p w:rsidR="009A1572" w:rsidRPr="00D05EBD" w:rsidRDefault="009A1572" w:rsidP="009A1572">
      <w:pPr>
        <w:shd w:val="clear" w:color="auto" w:fill="FFFFFF"/>
        <w:spacing w:after="0"/>
        <w:jc w:val="both"/>
        <w:rPr>
          <w:rFonts w:cs="Arial"/>
          <w:color w:val="000000"/>
          <w:sz w:val="24"/>
          <w:szCs w:val="24"/>
          <w:shd w:val="clear" w:color="auto" w:fill="FFFFFF"/>
        </w:rPr>
      </w:pPr>
      <w:r w:rsidRPr="00D05EBD">
        <w:rPr>
          <w:rFonts w:cs="Arial"/>
          <w:color w:val="000000"/>
          <w:sz w:val="24"/>
          <w:szCs w:val="24"/>
          <w:shd w:val="clear" w:color="auto" w:fill="FFFFFF"/>
        </w:rPr>
        <w:t>---------------------------------</w:t>
      </w:r>
    </w:p>
    <w:p w:rsidR="009A1572" w:rsidRDefault="009A1572" w:rsidP="009A1572">
      <w:pPr>
        <w:spacing w:line="480" w:lineRule="auto"/>
        <w:jc w:val="both"/>
        <w:rPr>
          <w:b/>
          <w:sz w:val="24"/>
          <w:szCs w:val="24"/>
          <w:lang w:val="en-US"/>
        </w:rPr>
      </w:pPr>
    </w:p>
    <w:p w:rsidR="009A1572" w:rsidRDefault="009A1572" w:rsidP="009A1572">
      <w:pPr>
        <w:spacing w:line="480" w:lineRule="auto"/>
        <w:jc w:val="both"/>
        <w:rPr>
          <w:b/>
          <w:sz w:val="24"/>
          <w:szCs w:val="24"/>
          <w:lang w:val="en-US"/>
        </w:rPr>
      </w:pPr>
      <w:r>
        <w:rPr>
          <w:b/>
          <w:noProof/>
          <w:sz w:val="24"/>
          <w:szCs w:val="24"/>
          <w:lang w:eastAsia="en-GB"/>
        </w:rPr>
        <w:lastRenderedPageBreak/>
        <w:drawing>
          <wp:inline distT="0" distB="0" distL="0" distR="0">
            <wp:extent cx="5400040" cy="7638415"/>
            <wp:effectExtent l="0" t="0" r="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spacing w:line="480" w:lineRule="auto"/>
        <w:jc w:val="both"/>
        <w:rPr>
          <w:b/>
          <w:sz w:val="24"/>
          <w:szCs w:val="24"/>
          <w:lang w:val="en-US"/>
        </w:rPr>
      </w:pPr>
      <w:r>
        <w:rPr>
          <w:b/>
          <w:noProof/>
          <w:sz w:val="24"/>
          <w:szCs w:val="24"/>
          <w:lang w:eastAsia="en-GB"/>
        </w:rPr>
        <w:lastRenderedPageBreak/>
        <w:drawing>
          <wp:inline distT="0" distB="0" distL="0" distR="0">
            <wp:extent cx="5400040" cy="7638415"/>
            <wp:effectExtent l="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spacing w:line="480" w:lineRule="auto"/>
        <w:jc w:val="both"/>
        <w:rPr>
          <w:b/>
          <w:sz w:val="24"/>
          <w:szCs w:val="24"/>
          <w:lang w:val="en-US"/>
        </w:rPr>
      </w:pPr>
      <w:r>
        <w:rPr>
          <w:b/>
          <w:noProof/>
          <w:sz w:val="24"/>
          <w:szCs w:val="24"/>
          <w:lang w:eastAsia="en-GB"/>
        </w:rPr>
        <w:lastRenderedPageBreak/>
        <w:drawing>
          <wp:inline distT="0" distB="0" distL="0" distR="0">
            <wp:extent cx="5400040" cy="76384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spacing w:line="480" w:lineRule="auto"/>
        <w:jc w:val="both"/>
        <w:rPr>
          <w:b/>
          <w:sz w:val="24"/>
          <w:szCs w:val="24"/>
          <w:lang w:val="en-US"/>
        </w:rPr>
      </w:pPr>
      <w:r>
        <w:rPr>
          <w:b/>
          <w:noProof/>
          <w:sz w:val="24"/>
          <w:szCs w:val="24"/>
          <w:lang w:eastAsia="en-GB"/>
        </w:rPr>
        <w:lastRenderedPageBreak/>
        <w:drawing>
          <wp:inline distT="0" distB="0" distL="0" distR="0">
            <wp:extent cx="5400040" cy="76384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spacing w:line="480" w:lineRule="auto"/>
        <w:jc w:val="both"/>
        <w:rPr>
          <w:b/>
          <w:sz w:val="24"/>
          <w:szCs w:val="24"/>
          <w:lang w:val="en-US"/>
        </w:rPr>
      </w:pPr>
      <w:r>
        <w:rPr>
          <w:b/>
          <w:noProof/>
          <w:sz w:val="24"/>
          <w:szCs w:val="24"/>
          <w:lang w:eastAsia="en-GB"/>
        </w:rPr>
        <w:lastRenderedPageBreak/>
        <w:drawing>
          <wp:inline distT="0" distB="0" distL="0" distR="0">
            <wp:extent cx="5400040" cy="76384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spacing w:line="480" w:lineRule="auto"/>
        <w:jc w:val="both"/>
        <w:rPr>
          <w:b/>
          <w:sz w:val="24"/>
          <w:szCs w:val="24"/>
          <w:lang w:val="en-US"/>
        </w:rPr>
      </w:pPr>
      <w:r>
        <w:rPr>
          <w:b/>
          <w:noProof/>
          <w:sz w:val="24"/>
          <w:szCs w:val="24"/>
          <w:lang w:eastAsia="en-GB"/>
        </w:rPr>
        <w:lastRenderedPageBreak/>
        <w:drawing>
          <wp:inline distT="0" distB="0" distL="0" distR="0">
            <wp:extent cx="5400040" cy="76384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spacing w:line="480" w:lineRule="auto"/>
        <w:jc w:val="both"/>
        <w:rPr>
          <w:b/>
          <w:sz w:val="24"/>
          <w:szCs w:val="24"/>
          <w:lang w:val="en-US"/>
        </w:rPr>
      </w:pPr>
      <w:r>
        <w:rPr>
          <w:b/>
          <w:noProof/>
          <w:sz w:val="24"/>
          <w:szCs w:val="24"/>
          <w:lang w:eastAsia="en-GB"/>
        </w:rPr>
        <w:lastRenderedPageBreak/>
        <w:drawing>
          <wp:inline distT="0" distB="0" distL="0" distR="0">
            <wp:extent cx="5400040" cy="76384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spacing w:line="480" w:lineRule="auto"/>
        <w:jc w:val="both"/>
        <w:rPr>
          <w:b/>
          <w:sz w:val="24"/>
          <w:szCs w:val="24"/>
          <w:lang w:val="en-US"/>
        </w:rPr>
      </w:pPr>
      <w:r>
        <w:rPr>
          <w:b/>
          <w:noProof/>
          <w:sz w:val="24"/>
          <w:szCs w:val="24"/>
          <w:lang w:eastAsia="en-GB"/>
        </w:rPr>
        <w:lastRenderedPageBreak/>
        <w:drawing>
          <wp:inline distT="0" distB="0" distL="0" distR="0">
            <wp:extent cx="5400040" cy="76384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spacing w:line="480" w:lineRule="auto"/>
        <w:jc w:val="both"/>
        <w:rPr>
          <w:b/>
          <w:sz w:val="24"/>
          <w:szCs w:val="24"/>
          <w:lang w:val="en-US"/>
        </w:rPr>
      </w:pPr>
      <w:r>
        <w:rPr>
          <w:b/>
          <w:noProof/>
          <w:sz w:val="24"/>
          <w:szCs w:val="24"/>
          <w:lang w:eastAsia="en-GB"/>
        </w:rPr>
        <w:lastRenderedPageBreak/>
        <w:drawing>
          <wp:inline distT="0" distB="0" distL="0" distR="0">
            <wp:extent cx="5400040" cy="76384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spacing w:line="480" w:lineRule="auto"/>
        <w:jc w:val="both"/>
        <w:rPr>
          <w:b/>
          <w:sz w:val="24"/>
          <w:szCs w:val="24"/>
          <w:lang w:val="en-US"/>
        </w:rPr>
      </w:pPr>
    </w:p>
    <w:p w:rsidR="009A1572" w:rsidRDefault="009A1572" w:rsidP="009A1572">
      <w:pPr>
        <w:spacing w:line="480" w:lineRule="auto"/>
        <w:jc w:val="both"/>
        <w:rPr>
          <w:b/>
          <w:sz w:val="24"/>
          <w:szCs w:val="24"/>
          <w:lang w:val="en-US"/>
        </w:rPr>
      </w:pPr>
    </w:p>
    <w:p w:rsidR="009A1572" w:rsidRPr="00D05EBD" w:rsidRDefault="009A1572" w:rsidP="009A1572">
      <w:pPr>
        <w:spacing w:line="480" w:lineRule="auto"/>
        <w:jc w:val="both"/>
        <w:rPr>
          <w:b/>
          <w:sz w:val="24"/>
          <w:szCs w:val="24"/>
          <w:lang w:val="en-US"/>
        </w:rPr>
      </w:pPr>
      <w:r w:rsidRPr="00D05EBD">
        <w:rPr>
          <w:b/>
          <w:sz w:val="24"/>
          <w:szCs w:val="24"/>
          <w:lang w:val="en-US"/>
        </w:rPr>
        <w:lastRenderedPageBreak/>
        <w:t xml:space="preserve">Action control scale (ASO, </w:t>
      </w:r>
      <w:proofErr w:type="spellStart"/>
      <w:r w:rsidRPr="00D05EBD">
        <w:rPr>
          <w:b/>
          <w:sz w:val="24"/>
          <w:szCs w:val="24"/>
          <w:lang w:val="en-US"/>
        </w:rPr>
        <w:t>Kuhl</w:t>
      </w:r>
      <w:proofErr w:type="spellEnd"/>
      <w:r w:rsidRPr="00D05EBD">
        <w:rPr>
          <w:b/>
          <w:sz w:val="24"/>
          <w:szCs w:val="24"/>
          <w:lang w:val="en-US"/>
        </w:rPr>
        <w:t xml:space="preserve"> &amp; Beckmann, 1994).</w:t>
      </w:r>
    </w:p>
    <w:p w:rsidR="009A1572" w:rsidRDefault="009A1572" w:rsidP="009A1572">
      <w:pPr>
        <w:tabs>
          <w:tab w:val="left" w:pos="567"/>
        </w:tabs>
        <w:spacing w:line="480" w:lineRule="auto"/>
        <w:ind w:left="567" w:hanging="567"/>
        <w:jc w:val="both"/>
        <w:rPr>
          <w:sz w:val="24"/>
          <w:szCs w:val="24"/>
          <w:lang w:val="en-US"/>
        </w:rPr>
      </w:pPr>
      <w:r>
        <w:rPr>
          <w:noProof/>
          <w:sz w:val="24"/>
          <w:szCs w:val="24"/>
          <w:lang w:eastAsia="en-GB"/>
        </w:rPr>
        <w:drawing>
          <wp:inline distT="0" distB="0" distL="0" distR="0">
            <wp:extent cx="5400040" cy="76384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1.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tabs>
          <w:tab w:val="left" w:pos="567"/>
        </w:tabs>
        <w:spacing w:line="480" w:lineRule="auto"/>
        <w:ind w:left="567" w:hanging="567"/>
        <w:jc w:val="both"/>
        <w:rPr>
          <w:sz w:val="24"/>
          <w:szCs w:val="24"/>
          <w:lang w:val="en-US"/>
        </w:rPr>
      </w:pPr>
      <w:r>
        <w:rPr>
          <w:noProof/>
          <w:sz w:val="24"/>
          <w:szCs w:val="24"/>
          <w:lang w:eastAsia="en-GB"/>
        </w:rPr>
        <w:lastRenderedPageBreak/>
        <w:drawing>
          <wp:inline distT="0" distB="0" distL="0" distR="0">
            <wp:extent cx="5400040" cy="76384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2.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tabs>
          <w:tab w:val="left" w:pos="567"/>
        </w:tabs>
        <w:spacing w:line="480" w:lineRule="auto"/>
        <w:ind w:left="567" w:hanging="567"/>
        <w:jc w:val="both"/>
        <w:rPr>
          <w:sz w:val="24"/>
          <w:szCs w:val="24"/>
          <w:lang w:val="en-US"/>
        </w:rPr>
      </w:pPr>
      <w:r>
        <w:rPr>
          <w:noProof/>
          <w:sz w:val="24"/>
          <w:szCs w:val="24"/>
          <w:lang w:eastAsia="en-GB"/>
        </w:rPr>
        <w:lastRenderedPageBreak/>
        <w:drawing>
          <wp:inline distT="0" distB="0" distL="0" distR="0">
            <wp:extent cx="5400040" cy="76384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tabs>
          <w:tab w:val="left" w:pos="567"/>
        </w:tabs>
        <w:spacing w:line="480" w:lineRule="auto"/>
        <w:ind w:left="567" w:hanging="567"/>
        <w:jc w:val="both"/>
        <w:rPr>
          <w:sz w:val="24"/>
          <w:szCs w:val="24"/>
          <w:lang w:val="en-US"/>
        </w:rPr>
      </w:pPr>
      <w:r>
        <w:rPr>
          <w:noProof/>
          <w:sz w:val="24"/>
          <w:szCs w:val="24"/>
          <w:lang w:eastAsia="en-GB"/>
        </w:rPr>
        <w:lastRenderedPageBreak/>
        <w:drawing>
          <wp:inline distT="0" distB="0" distL="0" distR="0">
            <wp:extent cx="5400040" cy="76384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tabs>
          <w:tab w:val="left" w:pos="567"/>
        </w:tabs>
        <w:spacing w:line="480" w:lineRule="auto"/>
        <w:ind w:left="567" w:hanging="567"/>
        <w:jc w:val="both"/>
        <w:rPr>
          <w:sz w:val="24"/>
          <w:szCs w:val="24"/>
          <w:lang w:val="en-US"/>
        </w:rPr>
      </w:pPr>
      <w:r>
        <w:rPr>
          <w:noProof/>
          <w:sz w:val="24"/>
          <w:szCs w:val="24"/>
          <w:lang w:eastAsia="en-GB"/>
        </w:rPr>
        <w:lastRenderedPageBreak/>
        <w:drawing>
          <wp:inline distT="0" distB="0" distL="0" distR="0">
            <wp:extent cx="5400040" cy="7638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5.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tabs>
          <w:tab w:val="left" w:pos="567"/>
        </w:tabs>
        <w:spacing w:line="480" w:lineRule="auto"/>
        <w:ind w:left="567" w:hanging="567"/>
        <w:jc w:val="both"/>
        <w:rPr>
          <w:sz w:val="24"/>
          <w:szCs w:val="24"/>
          <w:lang w:val="en-US"/>
        </w:rPr>
      </w:pPr>
      <w:r>
        <w:rPr>
          <w:noProof/>
          <w:sz w:val="24"/>
          <w:szCs w:val="24"/>
          <w:lang w:eastAsia="en-GB"/>
        </w:rPr>
        <w:lastRenderedPageBreak/>
        <w:drawing>
          <wp:inline distT="0" distB="0" distL="0" distR="0">
            <wp:extent cx="5400040" cy="76384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6.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tabs>
          <w:tab w:val="left" w:pos="567"/>
        </w:tabs>
        <w:spacing w:line="480" w:lineRule="auto"/>
        <w:ind w:left="567" w:hanging="567"/>
        <w:jc w:val="both"/>
        <w:rPr>
          <w:sz w:val="24"/>
          <w:szCs w:val="24"/>
          <w:lang w:val="en-US"/>
        </w:rPr>
      </w:pPr>
    </w:p>
    <w:p w:rsidR="009A1572" w:rsidRPr="00D05EBD" w:rsidRDefault="009A1572" w:rsidP="009A1572">
      <w:pPr>
        <w:tabs>
          <w:tab w:val="left" w:pos="567"/>
        </w:tabs>
        <w:spacing w:line="480" w:lineRule="auto"/>
        <w:ind w:left="567" w:hanging="567"/>
        <w:jc w:val="both"/>
        <w:rPr>
          <w:sz w:val="24"/>
          <w:szCs w:val="24"/>
          <w:lang w:val="en-US"/>
        </w:rPr>
      </w:pPr>
    </w:p>
    <w:p w:rsidR="009A1572" w:rsidRPr="0090412B" w:rsidRDefault="009A1572" w:rsidP="009A1572">
      <w:pPr>
        <w:spacing w:line="480" w:lineRule="auto"/>
        <w:jc w:val="both"/>
        <w:rPr>
          <w:b/>
          <w:sz w:val="24"/>
          <w:szCs w:val="24"/>
        </w:rPr>
      </w:pPr>
      <w:r w:rsidRPr="0090412B">
        <w:rPr>
          <w:b/>
          <w:sz w:val="24"/>
          <w:szCs w:val="24"/>
        </w:rPr>
        <w:lastRenderedPageBreak/>
        <w:t>Welcome Sheet</w:t>
      </w:r>
      <w:r w:rsidR="00B06E70" w:rsidRPr="0090412B">
        <w:rPr>
          <w:b/>
          <w:sz w:val="24"/>
          <w:szCs w:val="24"/>
        </w:rPr>
        <w:fldChar w:fldCharType="begin"/>
      </w:r>
      <w:r w:rsidRPr="0090412B">
        <w:rPr>
          <w:b/>
          <w:sz w:val="24"/>
          <w:szCs w:val="24"/>
        </w:rPr>
        <w:instrText xml:space="preserve"> ADDIN </w:instrText>
      </w:r>
      <w:r w:rsidR="00B06E70" w:rsidRPr="0090412B">
        <w:rPr>
          <w:b/>
          <w:sz w:val="24"/>
          <w:szCs w:val="24"/>
        </w:rPr>
        <w:fldChar w:fldCharType="end"/>
      </w:r>
    </w:p>
    <w:p w:rsidR="009A1572" w:rsidRPr="00D05EBD" w:rsidRDefault="009A1572" w:rsidP="009A1572">
      <w:pPr>
        <w:spacing w:line="480" w:lineRule="auto"/>
        <w:jc w:val="both"/>
        <w:rPr>
          <w:b/>
          <w:sz w:val="24"/>
          <w:szCs w:val="24"/>
        </w:rPr>
      </w:pPr>
      <w:r>
        <w:rPr>
          <w:b/>
          <w:noProof/>
          <w:sz w:val="24"/>
          <w:szCs w:val="24"/>
          <w:lang w:eastAsia="en-GB"/>
        </w:rPr>
        <w:drawing>
          <wp:inline distT="0" distB="0" distL="0" distR="0">
            <wp:extent cx="5400040" cy="76384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spacing w:line="480" w:lineRule="auto"/>
        <w:ind w:firstLine="720"/>
        <w:jc w:val="both"/>
        <w:rPr>
          <w:b/>
          <w:sz w:val="24"/>
          <w:szCs w:val="24"/>
        </w:rPr>
      </w:pPr>
    </w:p>
    <w:p w:rsidR="009A1572" w:rsidRPr="00D05EBD" w:rsidRDefault="009A1572" w:rsidP="009A1572">
      <w:pPr>
        <w:spacing w:line="480" w:lineRule="auto"/>
        <w:rPr>
          <w:b/>
          <w:sz w:val="24"/>
          <w:szCs w:val="24"/>
        </w:rPr>
      </w:pPr>
      <w:r w:rsidRPr="00D05EBD">
        <w:rPr>
          <w:b/>
          <w:sz w:val="24"/>
          <w:szCs w:val="24"/>
        </w:rPr>
        <w:lastRenderedPageBreak/>
        <w:t>Initial questionnaire</w:t>
      </w:r>
      <w:r>
        <w:rPr>
          <w:b/>
          <w:noProof/>
          <w:sz w:val="24"/>
          <w:szCs w:val="24"/>
          <w:lang w:eastAsia="en-GB"/>
        </w:rPr>
        <w:drawing>
          <wp:inline distT="0" distB="0" distL="0" distR="0">
            <wp:extent cx="5400040" cy="76384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1.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Pr="00D05EBD" w:rsidRDefault="009A1572" w:rsidP="009A1572">
      <w:pPr>
        <w:keepNext/>
        <w:spacing w:line="480" w:lineRule="auto"/>
        <w:jc w:val="both"/>
        <w:rPr>
          <w:b/>
          <w:sz w:val="24"/>
          <w:szCs w:val="24"/>
        </w:rPr>
      </w:pPr>
      <w:r w:rsidRPr="00D05EBD">
        <w:rPr>
          <w:b/>
          <w:sz w:val="24"/>
          <w:szCs w:val="24"/>
        </w:rPr>
        <w:lastRenderedPageBreak/>
        <w:t>After date questionnaire</w:t>
      </w:r>
    </w:p>
    <w:p w:rsidR="009A1572" w:rsidRDefault="009A1572" w:rsidP="009A1572">
      <w:pPr>
        <w:spacing w:line="480" w:lineRule="auto"/>
        <w:jc w:val="both"/>
        <w:rPr>
          <w:b/>
          <w:sz w:val="24"/>
          <w:szCs w:val="24"/>
        </w:rPr>
      </w:pPr>
      <w:r>
        <w:rPr>
          <w:b/>
          <w:noProof/>
          <w:sz w:val="24"/>
          <w:szCs w:val="24"/>
          <w:lang w:eastAsia="en-GB"/>
        </w:rPr>
        <w:drawing>
          <wp:inline distT="0" distB="0" distL="0" distR="0">
            <wp:extent cx="5400040" cy="76384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1.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spacing w:line="480" w:lineRule="auto"/>
        <w:jc w:val="both"/>
        <w:rPr>
          <w:b/>
          <w:sz w:val="24"/>
          <w:szCs w:val="24"/>
        </w:rPr>
      </w:pPr>
      <w:r>
        <w:rPr>
          <w:b/>
          <w:noProof/>
          <w:sz w:val="24"/>
          <w:szCs w:val="24"/>
          <w:lang w:eastAsia="en-GB"/>
        </w:rPr>
        <w:lastRenderedPageBreak/>
        <w:drawing>
          <wp:inline distT="0" distB="0" distL="0" distR="0">
            <wp:extent cx="5400040" cy="76384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2.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Default="009A1572" w:rsidP="009A1572">
      <w:pPr>
        <w:spacing w:line="480" w:lineRule="auto"/>
        <w:jc w:val="both"/>
        <w:rPr>
          <w:b/>
          <w:sz w:val="24"/>
          <w:szCs w:val="24"/>
        </w:rPr>
      </w:pPr>
    </w:p>
    <w:p w:rsidR="009A1572" w:rsidRPr="00D05EBD" w:rsidRDefault="009A1572" w:rsidP="009A1572">
      <w:pPr>
        <w:spacing w:line="480" w:lineRule="auto"/>
        <w:jc w:val="both"/>
        <w:rPr>
          <w:b/>
          <w:sz w:val="24"/>
          <w:szCs w:val="24"/>
        </w:rPr>
      </w:pPr>
    </w:p>
    <w:p w:rsidR="009A1572" w:rsidRPr="00D05EBD" w:rsidRDefault="009A1572" w:rsidP="009A1572">
      <w:pPr>
        <w:keepNext/>
        <w:spacing w:line="480" w:lineRule="auto"/>
        <w:jc w:val="both"/>
        <w:rPr>
          <w:b/>
          <w:sz w:val="24"/>
          <w:szCs w:val="24"/>
        </w:rPr>
      </w:pPr>
      <w:r w:rsidRPr="00D05EBD">
        <w:rPr>
          <w:b/>
          <w:sz w:val="24"/>
          <w:szCs w:val="24"/>
        </w:rPr>
        <w:lastRenderedPageBreak/>
        <w:t>Short desirability scale</w:t>
      </w:r>
    </w:p>
    <w:p w:rsidR="009A1572" w:rsidRPr="00D05EBD" w:rsidRDefault="009A1572" w:rsidP="009A1572">
      <w:pPr>
        <w:spacing w:line="480" w:lineRule="auto"/>
        <w:jc w:val="both"/>
        <w:rPr>
          <w:rFonts w:cs="Times New Roman"/>
          <w:b/>
          <w:sz w:val="24"/>
          <w:szCs w:val="24"/>
        </w:rPr>
      </w:pPr>
      <w:r>
        <w:rPr>
          <w:rFonts w:cs="Times New Roman"/>
          <w:b/>
          <w:noProof/>
          <w:sz w:val="24"/>
          <w:szCs w:val="24"/>
          <w:lang w:eastAsia="en-GB"/>
        </w:rPr>
        <w:drawing>
          <wp:inline distT="0" distB="0" distL="0" distR="0">
            <wp:extent cx="5400040" cy="76384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 desirability scale.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00040" cy="7638415"/>
                    </a:xfrm>
                    <a:prstGeom prst="rect">
                      <a:avLst/>
                    </a:prstGeom>
                  </pic:spPr>
                </pic:pic>
              </a:graphicData>
            </a:graphic>
          </wp:inline>
        </w:drawing>
      </w:r>
    </w:p>
    <w:p w:rsidR="009A1572" w:rsidRPr="00D05EBD" w:rsidRDefault="009A1572" w:rsidP="008C197E">
      <w:pPr>
        <w:spacing w:line="480" w:lineRule="auto"/>
        <w:jc w:val="both"/>
        <w:rPr>
          <w:b/>
          <w:sz w:val="24"/>
          <w:szCs w:val="24"/>
        </w:rPr>
      </w:pPr>
    </w:p>
    <w:sectPr w:rsidR="009A1572" w:rsidRPr="00D05EBD" w:rsidSect="00A27A54">
      <w:headerReference w:type="default" r:id="rId64"/>
      <w:pgSz w:w="11906" w:h="16838"/>
      <w:pgMar w:top="1440" w:right="1440" w:bottom="1440" w:left="1800"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29974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0BF" w:rsidRDefault="006B70BF" w:rsidP="00FB1389">
      <w:pPr>
        <w:spacing w:after="0" w:line="240" w:lineRule="auto"/>
      </w:pPr>
      <w:r>
        <w:separator/>
      </w:r>
    </w:p>
  </w:endnote>
  <w:endnote w:type="continuationSeparator" w:id="0">
    <w:p w:rsidR="006B70BF" w:rsidRDefault="006B70BF" w:rsidP="00FB13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ITC Officina Sans Book">
    <w:altName w:val="ITC Officina Sans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lassicalGaramondBT-Roman">
    <w:panose1 w:val="00000000000000000000"/>
    <w:charset w:val="00"/>
    <w:family w:val="roman"/>
    <w:notTrueType/>
    <w:pitch w:val="default"/>
    <w:sig w:usb0="00000003" w:usb1="00000000" w:usb2="00000000" w:usb3="00000000" w:csb0="00000001" w:csb1="00000000"/>
  </w:font>
  <w:font w:name="MTMI">
    <w:altName w:val="Times New Roman"/>
    <w:panose1 w:val="00000000000000000000"/>
    <w:charset w:val="A1"/>
    <w:family w:val="auto"/>
    <w:notTrueType/>
    <w:pitch w:val="default"/>
    <w:sig w:usb0="00000081" w:usb1="00000000" w:usb2="00000000" w:usb3="00000000" w:csb0="00000008" w:csb1="00000000"/>
  </w:font>
  <w:font w:name="ClassicalGaramondBT-Italic">
    <w:panose1 w:val="00000000000000000000"/>
    <w:charset w:val="00"/>
    <w:family w:val="roman"/>
    <w:notTrueType/>
    <w:pitch w:val="default"/>
    <w:sig w:usb0="00000003" w:usb1="00000000" w:usb2="00000000" w:usb3="00000000" w:csb0="00000001" w:csb1="00000000"/>
  </w:font>
  <w:font w:name="Bembo">
    <w:panose1 w:val="00000000000000000000"/>
    <w:charset w:val="00"/>
    <w:family w:val="swiss"/>
    <w:notTrueType/>
    <w:pitch w:val="default"/>
    <w:sig w:usb0="00000003" w:usb1="00000000" w:usb2="00000000" w:usb3="00000000" w:csb0="00000001" w:csb1="00000000"/>
  </w:font>
  <w:font w:name="Times-Bold">
    <w:altName w:val="Times New Roman"/>
    <w:panose1 w:val="00000000000000000000"/>
    <w:charset w:val="4D"/>
    <w:family w:val="auto"/>
    <w:notTrueType/>
    <w:pitch w:val="default"/>
    <w:sig w:usb0="03000000"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0BF" w:rsidRDefault="006B70BF" w:rsidP="00FB1389">
      <w:pPr>
        <w:spacing w:after="0" w:line="240" w:lineRule="auto"/>
      </w:pPr>
      <w:r>
        <w:separator/>
      </w:r>
    </w:p>
  </w:footnote>
  <w:footnote w:type="continuationSeparator" w:id="0">
    <w:p w:rsidR="006B70BF" w:rsidRDefault="006B70BF" w:rsidP="00FB1389">
      <w:pPr>
        <w:spacing w:after="0" w:line="240" w:lineRule="auto"/>
      </w:pPr>
      <w:r>
        <w:continuationSeparator/>
      </w:r>
    </w:p>
  </w:footnote>
  <w:footnote w:id="1">
    <w:p w:rsidR="0027265D" w:rsidRDefault="0027265D" w:rsidP="00FB1389">
      <w:pPr>
        <w:pStyle w:val="Textonotapie"/>
      </w:pPr>
      <w:r w:rsidRPr="00973AEB">
        <w:rPr>
          <w:rStyle w:val="Refdenotaalpie"/>
        </w:rPr>
        <w:footnoteRef/>
      </w:r>
      <w:r>
        <w:t xml:space="preserve"> Throughout this thesis the acronym IER will refer to interpersonal emotion regulation as intrapersonal emotion regulation was not investigated.</w:t>
      </w:r>
    </w:p>
  </w:footnote>
  <w:footnote w:id="2">
    <w:p w:rsidR="0027265D" w:rsidRDefault="0027265D" w:rsidP="00FB1389">
      <w:pPr>
        <w:pStyle w:val="Textonotapie"/>
      </w:pPr>
      <w:r w:rsidRPr="00973AEB">
        <w:rPr>
          <w:rStyle w:val="Refdenotaalpie"/>
        </w:rPr>
        <w:footnoteRef/>
      </w:r>
      <w:r>
        <w:t xml:space="preserve"> </w:t>
      </w:r>
      <w:r w:rsidRPr="00EF5623">
        <w:rPr>
          <w:lang w:val="en-US"/>
        </w:rPr>
        <w:t>Affect and emotion will be u</w:t>
      </w:r>
      <w:r>
        <w:rPr>
          <w:lang w:val="en-US"/>
        </w:rPr>
        <w:t>sed interchangeably throughout this thesis.</w:t>
      </w:r>
    </w:p>
  </w:footnote>
  <w:footnote w:id="3">
    <w:p w:rsidR="0027265D" w:rsidRPr="009F0F75" w:rsidRDefault="0027265D" w:rsidP="00FB1389">
      <w:pPr>
        <w:pStyle w:val="Textonotapie"/>
        <w:jc w:val="both"/>
        <w:rPr>
          <w:lang w:val="en-US"/>
        </w:rPr>
      </w:pPr>
      <w:r w:rsidRPr="00973AEB">
        <w:rPr>
          <w:rStyle w:val="Refdenotaalpie"/>
        </w:rPr>
        <w:footnoteRef/>
      </w:r>
      <w:r>
        <w:t xml:space="preserve"> </w:t>
      </w:r>
      <w:r w:rsidRPr="009F0F75">
        <w:rPr>
          <w:lang w:val="en-US"/>
        </w:rPr>
        <w:t>The Scrambled Sentence Task</w:t>
      </w:r>
      <w:r>
        <w:rPr>
          <w:lang w:val="en-US"/>
        </w:rPr>
        <w:t xml:space="preserve"> (SST)</w:t>
      </w:r>
      <w:r w:rsidRPr="009F0F75">
        <w:rPr>
          <w:lang w:val="en-US"/>
        </w:rPr>
        <w:t>, developed b</w:t>
      </w:r>
      <w:r>
        <w:rPr>
          <w:lang w:val="en-US"/>
        </w:rPr>
        <w:t xml:space="preserve">y </w:t>
      </w:r>
      <w:r>
        <w:rPr>
          <w:lang w:val="en-US"/>
        </w:rPr>
        <w:fldChar w:fldCharType="begin" w:fldLock="1"/>
      </w:r>
      <w:r>
        <w:rPr>
          <w:lang w:val="en-US"/>
        </w:rPr>
        <w:instrText>ADDIN CSL_CITATION { "citationItems" : [ { "id" : "ITEM-1", "itemData" : { "DOI" : "10.1037/0022-3514.37.10.1660", "ISBN" : "0022-3514\\r1939-1315", "ISSN" : "0022-3514", "PMID" : "20090831", "abstract" : "Many personality trait terms can be thought of as summary labels for broad conceptual categories that are used to encode information about an individual's behavior into memory. The likelihood that a behavior is encoded in terms of a particular trait category is postulated to be a function of the relative accessibility of that category in memory. In addition, the trait category used to encode a particular behavior is thought to affect subsequent judgments of the person along dimensions to which it is directly or indirectly related. To test these hypotheses, undergraduates first performed a sentence construction task that activated concepts associated with either hostility (Experiment I) or kindness (Experiment II). As part of an ostensibly unrelated impression formation experiment, subjects later read a description of behaviors that were ambiguous with respect to hostility (kindness) and then rated the target person along a variety of trait dimensions. Ratings of the target along these dimensions increased with the number of times that the test concept had previously been activated in the sentence construction task and decreased with the time interval between these prior activations and presentation of the stimulus information to be encoded. Results suggest that category accessibility is a major determinant of the way in which social information is encoded into memory and subsequently used to make judgments.", "author" : [ { "dropping-particle" : "", "family" : "Srull", "given" : "Thomas K", "non-dropping-particle" : "", "parse-names" : false, "suffix" : "" }, { "dropping-particle" : "", "family" : "Wyer", "given" : "Robert S", "non-dropping-particle" : "", "parse-names" : false, "suffix" : "" } ], "container-title" : "Journal of Personality and Social Psychology", "id" : "ITEM-1", "issue" : "10", "issued" : { "date-parts" : [ [ "1979" ] ] }, "page" : "1660-1672", "title" : "The role of category accessibility in the interpretation of information about persons: Some determinants and implications", "type" : "article-journal", "volume" : "37" }, "uris" : [ "http://www.mendeley.com/documents/?uuid=a6048372-7f81-3ed1-8429-c65f7804111a" ] } ], "mendeley" : { "formattedCitation" : "(Srull &amp; Wyer, 1979)", "manualFormatting" : "Srull and Wyer (1979)", "plainTextFormattedCitation" : "(Srull &amp; Wyer, 1979)", "previouslyFormattedCitation" : "(Srull &amp; Wyer, 1979)" }, "properties" : { "noteIndex" : 0 }, "schema" : "https://github.com/citation-style-language/schema/raw/master/csl-citation.json" }</w:instrText>
      </w:r>
      <w:r>
        <w:rPr>
          <w:lang w:val="en-US"/>
        </w:rPr>
        <w:fldChar w:fldCharType="separate"/>
      </w:r>
      <w:r>
        <w:rPr>
          <w:noProof/>
          <w:lang w:val="en-US"/>
        </w:rPr>
        <w:t>Srull and Wyer</w:t>
      </w:r>
      <w:r w:rsidRPr="00C67313">
        <w:rPr>
          <w:noProof/>
          <w:lang w:val="en-US"/>
        </w:rPr>
        <w:t xml:space="preserve"> </w:t>
      </w:r>
      <w:r>
        <w:rPr>
          <w:noProof/>
          <w:lang w:val="en-US"/>
        </w:rPr>
        <w:t>(</w:t>
      </w:r>
      <w:r w:rsidRPr="00C67313">
        <w:rPr>
          <w:noProof/>
          <w:lang w:val="en-US"/>
        </w:rPr>
        <w:t>1979)</w:t>
      </w:r>
      <w:r>
        <w:rPr>
          <w:lang w:val="en-US"/>
        </w:rPr>
        <w:fldChar w:fldCharType="end"/>
      </w:r>
      <w:r>
        <w:rPr>
          <w:lang w:val="en-US"/>
        </w:rPr>
        <w:t xml:space="preserve"> is a priming instrument that consists on unscrambling sentences that include words a researcher wants to elicit in his/her participants (e.g. if a researcher wanted to elicit shame, words like </w:t>
      </w:r>
      <w:r>
        <w:rPr>
          <w:i/>
          <w:lang w:val="en-US"/>
        </w:rPr>
        <w:t xml:space="preserve">embarrassment, guilt, remorse, </w:t>
      </w:r>
      <w:r>
        <w:rPr>
          <w:lang w:val="en-US"/>
        </w:rPr>
        <w:t>could be included in the scrambled sentences). The words included in the SST would later affect the behavior of the participant in an unobtrusive or automatic way (without the person’s conscious intention and/or control).</w:t>
      </w:r>
    </w:p>
  </w:footnote>
  <w:footnote w:id="4">
    <w:p w:rsidR="0027265D" w:rsidRDefault="0027265D" w:rsidP="00FB1389">
      <w:pPr>
        <w:pStyle w:val="Textonotapie"/>
        <w:jc w:val="both"/>
      </w:pPr>
      <w:r w:rsidRPr="00973AEB">
        <w:rPr>
          <w:rStyle w:val="Refdenotaalpie"/>
        </w:rPr>
        <w:footnoteRef/>
      </w:r>
      <w:r>
        <w:t xml:space="preserve"> </w:t>
      </w:r>
      <w:proofErr w:type="spellStart"/>
      <w:r>
        <w:t>Shed</w:t>
      </w:r>
      <w:r w:rsidRPr="00532083">
        <w:t>ler</w:t>
      </w:r>
      <w:proofErr w:type="spellEnd"/>
      <w:r w:rsidRPr="00532083">
        <w:t xml:space="preserve"> and colleagues suggest that people high in defensiveness have little awareness of their feelings, suppressing negative emotions to present themselves as psychologically healthy.</w:t>
      </w:r>
    </w:p>
  </w:footnote>
  <w:footnote w:id="5">
    <w:p w:rsidR="0027265D" w:rsidRPr="00553D33" w:rsidRDefault="0027265D" w:rsidP="00FB1389">
      <w:pPr>
        <w:pStyle w:val="Textonotapie"/>
        <w:jc w:val="both"/>
        <w:rPr>
          <w:lang w:val="en-US"/>
        </w:rPr>
      </w:pPr>
      <w:r w:rsidRPr="00973AEB">
        <w:rPr>
          <w:rStyle w:val="Refdenotaalpie"/>
        </w:rPr>
        <w:footnoteRef/>
      </w:r>
      <w:r>
        <w:t xml:space="preserve"> </w:t>
      </w:r>
      <w:r w:rsidRPr="00553D33">
        <w:rPr>
          <w:lang w:val="en-US"/>
        </w:rPr>
        <w:t>HRV is a measure of p</w:t>
      </w:r>
      <w:r>
        <w:rPr>
          <w:lang w:val="en-US"/>
        </w:rPr>
        <w:t xml:space="preserve">hysiological reactivity that has an effect on emotion regulation, thus helping researchers monitor emotion regulation processes </w:t>
      </w:r>
      <w:r>
        <w:rPr>
          <w:lang w:val="en-US"/>
        </w:rPr>
        <w:fldChar w:fldCharType="begin" w:fldLock="1"/>
      </w:r>
      <w:r>
        <w:rPr>
          <w:lang w:val="en-US"/>
        </w:rPr>
        <w:instrText>ADDIN CSL_CITATION { "citationItems" : [ { "id" : "ITEM-1", "itemData" : { "DOI" : "10.1016/j.jesp.2006.07.003", "ISBN" : "0022-1031", "ISSN" : "00221031", "PMID" : "17425532", "abstract" : "Individuals frequently have to regulate their emotions, especially negative ones, to function successfully. However, deliberate emotion regulation can have significant costs for the individual. Are there less costly ways to achieve emotion regulatory goals? In two studies, we test the hypothesis that more automatic types of emotion regulation might provide the benefits of deliberate emotion regulation without the costs. Study 1 introduces a priming technique that manipulates automatic emotion regulation. Using this priming technique, we show that relative to priming emotion expression, priming emotion control leads to less anger experience in response to a laboratory anger provocation. Study 2 examines the experiential and physiological consequences of automatic emotion regulation. Results suggest that relative to priming emotion expression, priming emotion control reduces negative emotion experience without maladaptive cardiovascular responding. Together, these findings suggest that automatic emotion regulation may provide an effective means of controlling powerful negative emotions. ?? 2006 Elsevier Inc. All rights reserved.", "author" : [ { "dropping-particle" : "", "family" : "Mauss", "given" : "Iris B.", "non-dropping-particle" : "", "parse-names" : false, "suffix" : "" }, { "dropping-particle" : "", "family" : "Cook", "given" : "Crystal L.", "non-dropping-particle" : "", "parse-names" : false, "suffix" : "" }, { "dropping-particle" : "", "family" : "Gross", "given" : "James J.", "non-dropping-particle" : "", "parse-names" : false, "suffix" : "" } ], "container-title" : "Journal of Experimental Social Psychology", "id" : "ITEM-1", "issue" : "5", "issued" : { "date-parts" : [ [ "2007" ] ] }, "page" : "698-711", "title" : "Automatic emotion regulation during anger provocation", "type" : "article-journal", "volume" : "43" }, "uris" : [ "http://www.mendeley.com/documents/?uuid=051a8d13-f0fd-3ac8-a6bd-b418df76731f" ] } ], "mendeley" : { "formattedCitation" : "(Mauss, Cook, et al., 2007)", "plainTextFormattedCitation" : "(Mauss, Cook, et al., 2007)", "previouslyFormattedCitation" : "(Mauss, Cook, et al., 2007)" }, "properties" : { "noteIndex" : 0 }, "schema" : "https://github.com/citation-style-language/schema/raw/master/csl-citation.json" }</w:instrText>
      </w:r>
      <w:r>
        <w:rPr>
          <w:lang w:val="en-US"/>
        </w:rPr>
        <w:fldChar w:fldCharType="separate"/>
      </w:r>
      <w:r w:rsidRPr="00E650DF">
        <w:rPr>
          <w:noProof/>
          <w:lang w:val="en-US"/>
        </w:rPr>
        <w:t>(Mauss, Cook, et al., 2007)</w:t>
      </w:r>
      <w:r>
        <w:rPr>
          <w:lang w:val="en-US"/>
        </w:rPr>
        <w:fldChar w:fldCharType="end"/>
      </w:r>
      <w:r>
        <w:rPr>
          <w:lang w:val="en-US"/>
        </w:rPr>
        <w:t>.</w:t>
      </w:r>
    </w:p>
  </w:footnote>
  <w:footnote w:id="6">
    <w:p w:rsidR="0027265D" w:rsidRPr="00783F89" w:rsidRDefault="0027265D" w:rsidP="00FB1389">
      <w:pPr>
        <w:pStyle w:val="Textonotapie"/>
      </w:pPr>
      <w:r w:rsidRPr="00973AEB">
        <w:rPr>
          <w:rStyle w:val="Refdenotaalpie"/>
        </w:rPr>
        <w:footnoteRef/>
      </w:r>
      <w:r>
        <w:t>This research will be explained in more detail in Chapter 2.</w:t>
      </w:r>
    </w:p>
  </w:footnote>
  <w:footnote w:id="7">
    <w:p w:rsidR="0027265D" w:rsidRPr="002A3941" w:rsidRDefault="0027265D" w:rsidP="00FB1389">
      <w:pPr>
        <w:pStyle w:val="Textonotapie"/>
      </w:pPr>
      <w:r w:rsidRPr="00973AEB">
        <w:rPr>
          <w:rStyle w:val="Refdenotaalpie"/>
        </w:rPr>
        <w:footnoteRef/>
      </w:r>
      <w:r>
        <w:t xml:space="preserve"> In </w:t>
      </w:r>
      <w:r>
        <w:rPr>
          <w:rFonts w:cs="Times New Roman"/>
        </w:rPr>
        <w:t>c</w:t>
      </w:r>
      <w:r w:rsidRPr="002A3941">
        <w:rPr>
          <w:rFonts w:cs="Times New Roman"/>
        </w:rPr>
        <w:t xml:space="preserve">hapter 3 </w:t>
      </w:r>
      <w:r>
        <w:rPr>
          <w:rFonts w:cs="Times New Roman"/>
        </w:rPr>
        <w:t xml:space="preserve">priming will be used as the main methodology, thus </w:t>
      </w:r>
      <w:r w:rsidRPr="002A3941">
        <w:rPr>
          <w:rFonts w:cs="Times New Roman"/>
        </w:rPr>
        <w:t>more detail</w:t>
      </w:r>
      <w:r>
        <w:rPr>
          <w:rFonts w:cs="Times New Roman"/>
        </w:rPr>
        <w:t xml:space="preserve"> such as </w:t>
      </w:r>
      <w:r w:rsidRPr="002A3941">
        <w:rPr>
          <w:rFonts w:cs="Times New Roman"/>
        </w:rPr>
        <w:t xml:space="preserve">the theory behind it, fundamental features, </w:t>
      </w:r>
      <w:r>
        <w:rPr>
          <w:rFonts w:cs="Times New Roman"/>
        </w:rPr>
        <w:t>research examples and its use in</w:t>
      </w:r>
      <w:r w:rsidRPr="002A3941">
        <w:rPr>
          <w:rFonts w:cs="Times New Roman"/>
        </w:rPr>
        <w:t xml:space="preserve"> ER</w:t>
      </w:r>
      <w:r>
        <w:rPr>
          <w:rFonts w:cs="Times New Roman"/>
        </w:rPr>
        <w:t xml:space="preserve"> will be explained there. </w:t>
      </w:r>
    </w:p>
  </w:footnote>
  <w:footnote w:id="8">
    <w:p w:rsidR="0027265D" w:rsidRPr="00FF7292" w:rsidRDefault="0027265D" w:rsidP="00FB1389">
      <w:pPr>
        <w:pStyle w:val="Textonotapie"/>
      </w:pPr>
      <w:r w:rsidRPr="00973AEB">
        <w:rPr>
          <w:rStyle w:val="Refdenotaalpie"/>
        </w:rPr>
        <w:footnoteRef/>
      </w:r>
      <w:r>
        <w:t xml:space="preserve"> </w:t>
      </w:r>
      <w:proofErr w:type="spellStart"/>
      <w:r>
        <w:t>Karremans</w:t>
      </w:r>
      <w:proofErr w:type="spellEnd"/>
      <w:r>
        <w:t xml:space="preserve"> and </w:t>
      </w:r>
      <w:proofErr w:type="spellStart"/>
      <w:r>
        <w:t>Aarts</w:t>
      </w:r>
      <w:proofErr w:type="spellEnd"/>
      <w:r>
        <w:t xml:space="preserve"> (2007) research was conducted in Dutch so the in the word completion task the words "forgive" and "forgiveness" were in Dutch.</w:t>
      </w:r>
    </w:p>
  </w:footnote>
  <w:footnote w:id="9">
    <w:p w:rsidR="0027265D" w:rsidRPr="00C04C18" w:rsidRDefault="0027265D" w:rsidP="00C04C18">
      <w:pPr>
        <w:pStyle w:val="Textonotapie"/>
        <w:jc w:val="both"/>
      </w:pPr>
      <w:r w:rsidRPr="00973AEB">
        <w:rPr>
          <w:rStyle w:val="Refdenotaalpie"/>
        </w:rPr>
        <w:footnoteRef/>
      </w:r>
      <w:proofErr w:type="spellStart"/>
      <w:r w:rsidRPr="00C04C18">
        <w:rPr>
          <w:rFonts w:cs="Arial"/>
          <w:color w:val="222222"/>
          <w:shd w:val="clear" w:color="auto" w:fill="FFFFFF"/>
        </w:rPr>
        <w:t>Reddit</w:t>
      </w:r>
      <w:proofErr w:type="spellEnd"/>
      <w:r w:rsidRPr="00C04C18">
        <w:t xml:space="preserve"> </w:t>
      </w:r>
      <w:r w:rsidRPr="00C04C18">
        <w:rPr>
          <w:rFonts w:cs="Arial"/>
          <w:color w:val="222222"/>
          <w:shd w:val="clear" w:color="auto" w:fill="FFFFFF"/>
        </w:rPr>
        <w:t>is an entertainment, social networking, and news website where registered community members can submit content. The present questionnaire was posted in a forum called r/</w:t>
      </w:r>
      <w:proofErr w:type="spellStart"/>
      <w:r w:rsidRPr="00C04C18">
        <w:rPr>
          <w:rFonts w:cs="Arial"/>
          <w:color w:val="222222"/>
          <w:shd w:val="clear" w:color="auto" w:fill="FFFFFF"/>
        </w:rPr>
        <w:t>SampleSize</w:t>
      </w:r>
      <w:proofErr w:type="spellEnd"/>
      <w:r w:rsidRPr="00C04C18">
        <w:rPr>
          <w:rFonts w:cs="Arial"/>
          <w:color w:val="222222"/>
          <w:shd w:val="clear" w:color="auto" w:fill="FFFFFF"/>
        </w:rPr>
        <w:t>, the message to this survey and the link to the same can be found in https://en.reddit.com/r/SampleSize/comments/3haxlg/academic_emotional_regulation_have_you_ever/</w:t>
      </w:r>
    </w:p>
  </w:footnote>
  <w:footnote w:id="10">
    <w:p w:rsidR="0027265D" w:rsidRPr="005C1643" w:rsidRDefault="0027265D">
      <w:pPr>
        <w:pStyle w:val="Textonotapie"/>
      </w:pPr>
      <w:r>
        <w:rPr>
          <w:rStyle w:val="Refdenotaalpie"/>
        </w:rPr>
        <w:footnoteRef/>
      </w:r>
      <w:r>
        <w:t xml:space="preserve"> All materials used in the present studies can be found in the Appendices at the end of this thesis.</w:t>
      </w:r>
    </w:p>
  </w:footnote>
  <w:footnote w:id="11">
    <w:p w:rsidR="0027265D" w:rsidRPr="00BD4518" w:rsidRDefault="0027265D" w:rsidP="00CB08BD">
      <w:pPr>
        <w:pStyle w:val="Textonotapie"/>
        <w:jc w:val="both"/>
        <w:rPr>
          <w:lang w:val="en-US"/>
        </w:rPr>
      </w:pPr>
      <w:r w:rsidRPr="00973AEB">
        <w:rPr>
          <w:rStyle w:val="Refdenotaalpie"/>
        </w:rPr>
        <w:footnoteRef/>
      </w:r>
      <w:r>
        <w:rPr>
          <w:lang w:val="en-US"/>
        </w:rPr>
        <w:t xml:space="preserve"> Three</w:t>
      </w:r>
      <w:r w:rsidRPr="00BD4518">
        <w:rPr>
          <w:lang w:val="en-US"/>
        </w:rPr>
        <w:t xml:space="preserve"> of the </w:t>
      </w:r>
      <w:r>
        <w:rPr>
          <w:lang w:val="en-US"/>
        </w:rPr>
        <w:t xml:space="preserve">original </w:t>
      </w:r>
      <w:r w:rsidRPr="00BD4518">
        <w:rPr>
          <w:lang w:val="en-US"/>
        </w:rPr>
        <w:t>4 items</w:t>
      </w:r>
      <w:r>
        <w:rPr>
          <w:lang w:val="en-US"/>
        </w:rPr>
        <w:t xml:space="preserve"> in the SRBAI</w:t>
      </w:r>
      <w:r w:rsidRPr="00BD4518">
        <w:rPr>
          <w:lang w:val="en-US"/>
        </w:rPr>
        <w:t xml:space="preserve"> were used to reduce the number of items to the minimum functional possible thus</w:t>
      </w:r>
      <w:r>
        <w:rPr>
          <w:lang w:val="en-US"/>
        </w:rPr>
        <w:t>,</w:t>
      </w:r>
      <w:r w:rsidRPr="00BD4518">
        <w:rPr>
          <w:lang w:val="en-US"/>
        </w:rPr>
        <w:t xml:space="preserve"> reducing </w:t>
      </w:r>
      <w:r>
        <w:rPr>
          <w:lang w:val="en-US"/>
        </w:rPr>
        <w:t xml:space="preserve">the possible </w:t>
      </w:r>
      <w:r w:rsidRPr="00BD4518">
        <w:rPr>
          <w:lang w:val="en-US"/>
        </w:rPr>
        <w:t>effects</w:t>
      </w:r>
      <w:r>
        <w:rPr>
          <w:lang w:val="en-US"/>
        </w:rPr>
        <w:t xml:space="preserve"> of fatigue the questionnaire might cause on the participants. The item </w:t>
      </w:r>
      <w:r w:rsidRPr="00017807">
        <w:t>“</w:t>
      </w:r>
      <w:r w:rsidRPr="005A4B92">
        <w:rPr>
          <w:i/>
        </w:rPr>
        <w:t>Behaviour x” is something I do withou</w:t>
      </w:r>
      <w:r>
        <w:rPr>
          <w:i/>
        </w:rPr>
        <w:t>t having to consciously remember</w:t>
      </w:r>
      <w:r>
        <w:t xml:space="preserve"> was deleted as it was considered as the item that could produce most confusion at the time of being answered. </w:t>
      </w:r>
    </w:p>
  </w:footnote>
  <w:footnote w:id="12">
    <w:p w:rsidR="0027265D" w:rsidRDefault="0027265D" w:rsidP="00FB1389">
      <w:pPr>
        <w:pStyle w:val="Textonotapie"/>
      </w:pPr>
      <w:r w:rsidRPr="00973AEB">
        <w:rPr>
          <w:rStyle w:val="Refdenotaalpie"/>
        </w:rPr>
        <w:footnoteRef/>
      </w:r>
      <w:r>
        <w:t xml:space="preserve"> The worsening and improving IER cluster was chosen as other research has also focused on this broad classification of IER. See the introduction of this chapter and chapter 1.</w:t>
      </w:r>
    </w:p>
  </w:footnote>
  <w:footnote w:id="13">
    <w:p w:rsidR="0027265D" w:rsidRPr="006C56ED" w:rsidRDefault="0027265D" w:rsidP="00FB1389">
      <w:pPr>
        <w:pStyle w:val="Textonotapie"/>
        <w:jc w:val="both"/>
      </w:pPr>
      <w:r w:rsidRPr="00973AEB">
        <w:rPr>
          <w:rStyle w:val="Refdenotaalpie"/>
        </w:rPr>
        <w:footnoteRef/>
      </w:r>
      <w:r>
        <w:t xml:space="preserve"> In the case of unhealthy snacking, for example, the snacking behaviour was measured by </w:t>
      </w:r>
      <w:r w:rsidRPr="006C56ED">
        <w:t>asking participants with which frequency they ate high calorie snacks (crisps, chocolates, cakes, sweets, and biscuits) ov</w:t>
      </w:r>
      <w:r>
        <w:t xml:space="preserve">er the previous week, (as  Gardner et al. (2012) consider frequency to be related to automaticity arguing that as a behaviour occurs with more frequency in a stable context it increases the possibility of becoming habitual or automatic). To explore behaviours related to type of transportation, Gardner and colleagues asked participants to report as fast as possible (within a time limit) which means of transportation they would use in different circumstances (e.g. going to work). The researchers argue that habitual behaviours occur without effort and thus, under time pressure participants would report the mode of transportation they habitually use. </w:t>
      </w:r>
    </w:p>
  </w:footnote>
  <w:footnote w:id="14">
    <w:p w:rsidR="0027265D" w:rsidRPr="006738D8" w:rsidRDefault="0027265D" w:rsidP="00FB1389">
      <w:pPr>
        <w:pStyle w:val="Textonotapie"/>
      </w:pPr>
      <w:r w:rsidRPr="00973AEB">
        <w:rPr>
          <w:rStyle w:val="Refdenotaalpie"/>
        </w:rPr>
        <w:footnoteRef/>
      </w:r>
      <w:r>
        <w:t xml:space="preserve"> </w:t>
      </w:r>
      <w:r w:rsidRPr="006738D8">
        <w:t xml:space="preserve">A health survey that measures physical and mental health </w:t>
      </w:r>
      <w:r>
        <w:fldChar w:fldCharType="begin" w:fldLock="1"/>
      </w:r>
      <w:r>
        <w:instrText>ADDIN CSL_CITATION { "citationItems" : [ { "id" : "ITEM-1", "itemData" : { "author" : [ { "dropping-particle" : "", "family" : "Ware", "given" : "J.", "non-dropping-particle" : "", "parse-names" : false, "suffix" : "" }, { "dropping-particle" : "", "family" : "Kosinski", "given" : "M.", "non-dropping-particle" : "", "parse-names" : false, "suffix" : "" }, { "dropping-particle" : "", "family" : "Keller", "given" : "S.", "non-dropping-particle" : "", "parse-names" : false, "suffix" : "" } ], "container-title" : "Medical Care", "id" : "ITEM-1", "issue" : "3", "issued" : { "date-parts" : [ [ "2016" ] ] }, "page" : "220-233", "title" : "A 12-Item Short-Form Health Survey : Construction of Scales and Preliminary Tests of Reliability and Validity", "type" : "article-journal", "volume" : "34" }, "uris" : [ "http://www.mendeley.com/documents/?uuid=8ee54c3a-de01-4e21-9c0d-1aa04af8531a" ] } ], "mendeley" : { "formattedCitation" : "(Ware, Kosinski, &amp; Keller, 2016)", "plainTextFormattedCitation" : "(Ware, Kosinski, &amp; Keller, 2016)", "previouslyFormattedCitation" : "(Ware, Kosinski, &amp; Keller, 2016)" }, "properties" : { "noteIndex" : 0 }, "schema" : "https://github.com/citation-style-language/schema/raw/master/csl-citation.json" }</w:instrText>
      </w:r>
      <w:r>
        <w:fldChar w:fldCharType="separate"/>
      </w:r>
      <w:r w:rsidRPr="00FA6CD3">
        <w:rPr>
          <w:noProof/>
        </w:rPr>
        <w:t>(Ware, Kosinski, &amp; Keller, 2016)</w:t>
      </w:r>
      <w:r>
        <w:fldChar w:fldCharType="end"/>
      </w:r>
      <w:r>
        <w:t xml:space="preserve">. </w:t>
      </w:r>
      <w:r>
        <w:tab/>
      </w:r>
    </w:p>
  </w:footnote>
  <w:footnote w:id="15">
    <w:p w:rsidR="0027265D" w:rsidRDefault="0027265D" w:rsidP="00FB1389">
      <w:pPr>
        <w:pStyle w:val="Textonotapie"/>
        <w:jc w:val="both"/>
      </w:pPr>
      <w:r w:rsidRPr="00973AEB">
        <w:rPr>
          <w:rStyle w:val="Refdenotaalpie"/>
        </w:rPr>
        <w:footnoteRef/>
      </w:r>
      <w:r>
        <w:t xml:space="preserve"> First year psychology undergraduate students at the University of Sheffield are required to collaborate as participants in research projects conducted by academic staff, postgraduate students, and level 3 undergraduate students. Each 15 minutes of participation is worth one credit. Once students have gathered 10 hours of participation they are given the opportunity to use this system of recruitment when they conduct they research project during their third year as undergraduate students. This system of recruitment allows everyone to conduct their experiments with more ease. </w:t>
      </w:r>
    </w:p>
  </w:footnote>
  <w:footnote w:id="16">
    <w:p w:rsidR="0027265D" w:rsidRPr="009107F9" w:rsidRDefault="0027265D" w:rsidP="00FB1389">
      <w:pPr>
        <w:pStyle w:val="Textonotapie"/>
        <w:jc w:val="both"/>
      </w:pPr>
      <w:r w:rsidRPr="00973AEB">
        <w:rPr>
          <w:rStyle w:val="Refdenotaalpie"/>
        </w:rPr>
        <w:footnoteRef/>
      </w:r>
      <w:r>
        <w:t xml:space="preserve"> Ethics approval was obtained from the Ethics committee at Sheffield University for the three studies in the present Chapter (Study 2a, Study 2b, and Study 2c). The ethics form request stated that the experimenter was going to conduct a series of studies involving priming participants with emotion content words and then asking them to engage in imaginary or hypothetical interpersonal written interactions. </w:t>
      </w:r>
    </w:p>
  </w:footnote>
  <w:footnote w:id="17">
    <w:p w:rsidR="0027265D" w:rsidRPr="00931732" w:rsidRDefault="0027265D">
      <w:pPr>
        <w:pStyle w:val="Textonotapie"/>
        <w:rPr>
          <w:lang w:val="en-US"/>
        </w:rPr>
      </w:pPr>
      <w:r>
        <w:rPr>
          <w:rStyle w:val="Refdenotaalpie"/>
        </w:rPr>
        <w:footnoteRef/>
      </w:r>
      <w:r>
        <w:t xml:space="preserve"> </w:t>
      </w:r>
      <w:r>
        <w:rPr>
          <w:lang w:val="en-US"/>
        </w:rPr>
        <w:t>Analyses were conducted with and without these 4 participants. Results are reported with and without these people on the results section 3.3.1.2.</w:t>
      </w:r>
    </w:p>
  </w:footnote>
  <w:footnote w:id="18">
    <w:p w:rsidR="0027265D" w:rsidRPr="000B1C38" w:rsidRDefault="0027265D" w:rsidP="00630FFD">
      <w:pPr>
        <w:pStyle w:val="Textonotapie"/>
        <w:jc w:val="both"/>
      </w:pPr>
      <w:r w:rsidRPr="00973AEB">
        <w:rPr>
          <w:rStyle w:val="Refdenotaalpie"/>
        </w:rPr>
        <w:footnoteRef/>
      </w:r>
      <w:r>
        <w:t xml:space="preserve"> </w:t>
      </w:r>
      <w:r w:rsidRPr="000B1C38">
        <w:t>There is no consensus as to which is the best number of primes to include in the SST. Some researchers have used SST including 10 sentences, in which half of the sentences included</w:t>
      </w:r>
      <w:r>
        <w:t xml:space="preserve"> the concept to be primed </w:t>
      </w:r>
      <w:r>
        <w:fldChar w:fldCharType="begin" w:fldLock="1"/>
      </w:r>
      <w:r>
        <w:instrText>ADDIN CSL_CITATION { "citationItems" : [ { "id" : "ITEM-1", "itemData" : { "DOI" : "10.1177/1069397108322455", "ISBN" : "1069-3971", "ISSN" : "1069-3971", "abstract" : "The authors test the proposition, put forward by Francis Fukuyama, that the higher the level of trust in a country the less corrupt, the more developed, and wealthier its economy will be. They study trust and voluntary cooperation using a one-shot and three-person public goods game experiment in India and Sweden. The results, in line with the proposition, show that the average contribution is significantly larger in Sweden, implying a higher level of trust and cooperation in Sweden than in India. This article provides further evidence on the relationship between trust and economic development. This study differs from previous ones in that it uses a multilateral game experiment to study trust and cooperation rather than a bilateral game experiment. Furthermore, it provides evidence from two countries not studied before in this context.", "author" : [ { "dropping-particle" : "", "family" : "Ahmed", "given" : "a. M.", "non-dropping-particle" : "", "parse-names" : false, "suffix" : "" }, { "dropping-particle" : "", "family" : "Salas", "given" : "O.", "non-dropping-particle" : "", "parse-names" : false, "suffix" : "" } ], "container-title" : "Cross-Cultural Research", "id" : "ITEM-1", "issue" : "4", "issued" : { "date-parts" : [ [ "2008" ] ] }, "page" : "420-429", "title" : "Trust in India and Sweden: An Experimental Examination of the Fukuyama Conjecture", "type" : "article-journal", "volume" : "42" }, "uris" : [ "http://www.mendeley.com/documents/?uuid=5ee3ffc0-eaf6-4a4c-a8f6-00b44dc74f33" ] }, { "id" : "ITEM-2", "itemData" : { "DOI" : "10.1111/j.1467-9280.2007.01983.x", "ISBN" : "0956-7976", "ISSN" : "09567976", "PMID" : "17760777", "abstract" : "We present two studies aimed at resolving experimentally whether religion increases prosocial behavior in the anonymous dictator game. Subjects allocated more money to anonymous strangers when God concepts were implicitly activated than when neutral or no concepts were activated. This effect was at least as large as that obtained when concepts associated with secular moral institutions were primed. A trait measure of self-reported religiosity did not seem to be associated with prosocial behavior. We discuss different possible mechanisms that may underlie this effect, focusing on the hypotheses that the religious prime had an ideomotor effect on generosity or that it activated a felt presence of supernatural watchers. We then discuss implications for theories positing religion as a facilitator of the emergence of early large-scale societies of cooperators.", "author" : [ { "dropping-particle" : "", "family" : "Shariff", "given" : "Azim F.", "non-dropping-particle" : "", "parse-names" : false, "suffix" : "" }, { "dropping-particle" : "", "family" : "Norenzayan", "given" : "Ara", "non-dropping-particle" : "", "parse-names" : false, "suffix" : "" } ], "container-title" : "Psychological Science", "id" : "ITEM-2", "issued" : { "date-parts" : [ [ "2007" ] ] }, "title" : "God is watching you: Priming God concepts increases prosocial behavior in an anonymous economic game", "type" : "article-journal" }, "uris" : [ "http://www.mendeley.com/documents/?uuid=99e052fb-15da-3ade-934d-5fdab3c14f4f" ] }, { "id" : "ITEM-3", "itemData" : { "DOI" : "10.1037/a0017745", "ISBN" : "1931-1516 (Electronic)\\n1528-3542 (Linking)", "ISSN" : "1528-3542", "PMID" : "20001127", "abstract" : "People often encounter difficulty when making conscious attempts to regulate their emotions. We propose that nonconscious self-regulatory processes may be of help in these difficult circumstances because nonconscious processes are not subject to the same set of limitations as are conscious processes. Two experiments examined the effects of nonconsciously operating goals on people\u2019s emotion regulatory success. In Experiment 1, participants engaged in an anxiety-eliciting task. Participants who had a reappraisal emotion control goal primed and operating nonconsciously achieved the same decrease in physiological reactivity as those explicitly instructed to reappraise. In Experiment 2, the effect of nonconscious reappraisal priming on physiological reactivity was shown to be most pronounced for those who do not habitually use reappraisal strategies. The findings highlight the potential importance of nonconscious goals for facilitating emotional control in complex real-world environments and have implications for contemporary models of emotion regulation. (PsycINFO Database Record (c) 2013 APA, all rights reserved). (journal abstract)", "author" : [ { "dropping-particle" : "", "family" : "Williams", "given" : "Lawrence E", "non-dropping-particle" : "", "parse-names" : false, "suffix" : "" }, { "dropping-particle" : "", "family" : "Bargh", "given" : "John A", "non-dropping-particle" : "", "parse-names" : false, "suffix" : "" }, { "dropping-particle" : "", "family" : "Nocera", "given" : "Christopher C", "non-dropping-particle" : "", "parse-names" : false, "suffix" : "" }, { "dropping-particle" : "", "family" : "Gray", "given" : "Jeremy R", "non-dropping-particle" : "", "parse-names" : false, "suffix" : "" } ], "container-title" : "Emotion", "id" : "ITEM-3", "issue" : "6", "issued" : { "date-parts" : [ [ "2009" ] ] }, "page" : "847-854", "title" : "The unconscious regulation of emotion: Nonconscious reappraisal goals modulate emotional reactivity.", "type" : "article-journal", "volume" : "9" }, "uris" : [ "http://www.mendeley.com/documents/?uuid=9e8eb5d9-0eec-37a9-9082-4a601649d12d" ] } ], "mendeley" : { "formattedCitation" : "(Ahmed &amp; Salas, 2008; Shariff &amp; Norenzayan, 2007; Williams et al., 2009)", "plainTextFormattedCitation" : "(Ahmed &amp; Salas, 2008; Shariff &amp; Norenzayan, 2007; Williams et al., 2009)", "previouslyFormattedCitation" : "(Ahmed &amp; Salas, 2008; Shariff &amp; Norenzayan, 2007; Williams et al., 2009)" }, "properties" : { "noteIndex" : 0 }, "schema" : "https://github.com/citation-style-language/schema/raw/master/csl-citation.json" }</w:instrText>
      </w:r>
      <w:r>
        <w:fldChar w:fldCharType="separate"/>
      </w:r>
      <w:r w:rsidRPr="00526D55">
        <w:rPr>
          <w:noProof/>
        </w:rPr>
        <w:t>(Ahmed &amp; Salas, 2008; Shariff &amp; Norenzayan, 2007; Williams et al., 2009)</w:t>
      </w:r>
      <w:r>
        <w:fldChar w:fldCharType="end"/>
      </w:r>
      <w:r>
        <w:t>, others</w:t>
      </w:r>
      <w:r w:rsidRPr="000B1C38">
        <w:t xml:space="preserve"> have used 30 sentences from which 20 included the prime </w:t>
      </w:r>
      <w:r>
        <w:fldChar w:fldCharType="begin" w:fldLock="1"/>
      </w:r>
      <w:r>
        <w:instrText>ADDIN CSL_CITATION { "citationItems" : [ { "id" : "ITEM-1", "itemData" : { "DOI" : "10.1006/jesp.1999.1390", "ISBN" : "1558606114", "ISSN" : "00221031", "PMID" : "765", "abstract" : "This research investigates whether conformity can be elicited or suppressed by nonconscious priming . In Experiment 1, participants were primed for either conformity or nonconformity using a scrambled sentences task and later placed into a conformity ... \\n", "author" : [ { "dropping-particle" : "", "family" : "Epley", "given" : "Nicholas", "non-dropping-particle" : "", "parse-names" : false, "suffix" : "" }, { "dropping-particle" : "", "family" : "Gilovich", "given" : "Thomas", "non-dropping-particle" : "", "parse-names" : false, "suffix" : "" } ], "container-title" : "Journal of Experimental Social Psychology", "id" : "ITEM-1", "issue" : "6", "issued" : { "date-parts" : [ [ "1999" ] ] }, "page" : "578-589", "title" : "Just Going Along: Nonconscious Priming and Conformity to Social Pressure", "type" : "article-journal", "volume" : "35" }, "uris" : [ "http://www.mendeley.com/documents/?uuid=36ef8f3e-77dc-470e-95c2-26d9fab4dda9" ] } ], "mendeley" : { "formattedCitation" : "(Epley &amp; Gilovich, 1999)", "plainTextFormattedCitation" : "(Epley &amp; Gilovich, 1999)", "previouslyFormattedCitation" : "(Epley &amp; Gilovich, 1999)" }, "properties" : { "noteIndex" : 0 }, "schema" : "https://github.com/citation-style-language/schema/raw/master/csl-citation.json" }</w:instrText>
      </w:r>
      <w:r>
        <w:fldChar w:fldCharType="separate"/>
      </w:r>
      <w:r w:rsidRPr="00EC0844">
        <w:rPr>
          <w:noProof/>
        </w:rPr>
        <w:t>(Epley &amp; Gilovich, 1999)</w:t>
      </w:r>
      <w:r>
        <w:fldChar w:fldCharType="end"/>
      </w:r>
      <w:r w:rsidRPr="000B1C38">
        <w:t>, others 30 sentences in which half include</w:t>
      </w:r>
      <w:r>
        <w:t xml:space="preserve">d the prime </w:t>
      </w:r>
      <w:r>
        <w:fldChar w:fldCharType="begin" w:fldLock="1"/>
      </w:r>
      <w:r>
        <w:instrText>ADDIN CSL_CITATION { "citationItems" : [ { "id" : "ITEM-1", "itemData" : { "DOI" : "10.1037/0022-3514.71.2.230", "ISBN" : "0022-3514\\n1939-1315", "ISSN" : "0022-3514", "PMID" : "8765481", "abstract" : "Previous research has shown that trait concepts and stereotype become active automatically in the presence of relevant behavior or stereotyped-group features. Through the use of the same priming procedures as in previous impression formation research, Experiment 1 showed that participants whose concept of rudeness was printed interrupted the experimenter more quickly and frequently than did participants primed with polite-related stimuli. In Experiment 2, participants for whom an elderly stereotype was primed walked more slowly down the hallway when leaving the experiment than did control participants, consistent with the content of that stereotype. In Experiment 3, participants for whom the African American stereotype was primed subliminally reacted with more hostility to a vexatious request of the experimenter. Implications of this automatic behavior priming effect for self-fulfilling prophecies are discussed, as is whether social behavior is necessarily mediated by conscious choice processes.", "author" : [ { "dropping-particle" : "", "family" : "Bargh", "given" : "John A.", "non-dropping-particle" : "", "parse-names" : false, "suffix" : "" }, { "dropping-particle" : "", "family" : "Chen", "given" : "Mark", "non-dropping-particle" : "", "parse-names" : false, "suffix" : "" }, { "dropping-particle" : "", "family" : "Burrows", "given" : "Lara", "non-dropping-particle" : "", "parse-names" : false, "suffix" : "" } ], "container-title" : "Journal of personality and social psychology", "id" : "ITEM-1", "issue" : "2", "issued" : { "date-parts" : [ [ "1996" ] ] }, "page" : "230-244", "title" : "Automaticity of social behavior: Direct effects of trait construct and stereotype-activation on action.", "type" : "article-journal", "volume" : "71" }, "uris" : [ "http://www.mendeley.com/documents/?uuid=55a5884c-98c2-3691-95f6-50a23fe9c58c" ] } ], "mendeley" : { "formattedCitation" : "(J. A. Bargh et al., 1996)", "plainTextFormattedCitation" : "(J. A. Bargh et al., 1996)", "previouslyFormattedCitation" : "(J. A. Bargh et al., 1996)" }, "properties" : { "noteIndex" : 0 }, "schema" : "https://github.com/citation-style-language/schema/raw/master/csl-citation.json" }</w:instrText>
      </w:r>
      <w:r>
        <w:fldChar w:fldCharType="separate"/>
      </w:r>
      <w:r>
        <w:rPr>
          <w:noProof/>
        </w:rPr>
        <w:t>(</w:t>
      </w:r>
      <w:r w:rsidRPr="00EC0844">
        <w:rPr>
          <w:noProof/>
        </w:rPr>
        <w:t>Bargh et al., 1996)</w:t>
      </w:r>
      <w:r>
        <w:fldChar w:fldCharType="end"/>
      </w:r>
      <w:r>
        <w:t xml:space="preserve">, others have </w:t>
      </w:r>
      <w:r w:rsidRPr="000B1C38">
        <w:t>used 45 sentences</w:t>
      </w:r>
      <w:r>
        <w:t xml:space="preserve"> with</w:t>
      </w:r>
      <w:r w:rsidRPr="000B1C38">
        <w:t xml:space="preserve"> 30 of them </w:t>
      </w:r>
      <w:r>
        <w:t xml:space="preserve">including the </w:t>
      </w:r>
      <w:r w:rsidRPr="000B1C38">
        <w:t xml:space="preserve">concept to </w:t>
      </w:r>
      <w:r>
        <w:t xml:space="preserve">be </w:t>
      </w:r>
      <w:r w:rsidRPr="000B1C38">
        <w:t>prime</w:t>
      </w:r>
      <w:r>
        <w:t>d</w:t>
      </w:r>
      <w:r w:rsidRPr="000B1C38">
        <w:t xml:space="preserve"> </w:t>
      </w:r>
      <w:r>
        <w:fldChar w:fldCharType="begin" w:fldLock="1"/>
      </w:r>
      <w:r>
        <w:instrText>ADDIN CSL_CITATION { "citationItems" : [ { "id" : "ITEM-1", "itemData" : { "DOI" : "10.1007/s11031-006-9033-x", "ISBN" : "0146-7239", "ISSN" : "01467239", "abstract" : "Many experiments have found that emotional ex- perience affects self-focused attention. Several approaches to cognition and emotion predict that conscious emotional experience may be unnecessary for this effect.To test this hy- pothesis, two experiments primed emotion concepts without affecting emotional experience. In Experiment 1, subliminal exposure to sad faces (relative to happy faces and neutral faces) increased self-focused attention but not subjectively experienced affect. In Experiment 2, a scrambled-sentences task that primed happy and sad emotion concepts increased self-focused attention relative to a neutral task. Thus, simply activating knowledge about emotions was sufficient to in- crease self-focused attention. The discussion considers im- plications for research on how emotional states affect self- awareness.", "author" : [ { "dropping-particle" : "", "family" : "Silvia", "given" : "Paul J.", "non-dropping-particle" : "", "parse-names" : false, "suffix" : "" }, { "dropping-particle" : "", "family" : "Phillips", "given" : "Ann G.", "non-dropping-particle" : "", "parse-names" : false, "suffix" : "" }, { "dropping-particle" : "", "family" : "Baumgaertner", "given" : "Miriam K.", "non-dropping-particle" : "", "parse-names" : false, "suffix" : "" }, { "dropping-particle" : "", "family" : "Maschauer", "given" : "Emily L.", "non-dropping-particle" : "", "parse-names" : false, "suffix" : "" } ], "container-title" : "Motivation and Emotion", "id" : "ITEM-1", "issue" : "3", "issued" : { "date-parts" : [ [ "2006" ] ] }, "page" : "225-231", "title" : "Emotion concepts and self-focused attention: Exploring parallel effects of emotional states and emotional knowledge", "type" : "article-journal", "volume" : "30" }, "uris" : [ "http://www.mendeley.com/documents/?uuid=151f0382-749a-3435-9b40-31cec3f74fc9" ] } ], "mendeley" : { "formattedCitation" : "(Silvia et al., 2006)", "plainTextFormattedCitation" : "(Silvia et al., 2006)", "previouslyFormattedCitation" : "(Silvia et al., 2006)" }, "properties" : { "noteIndex" : 0 }, "schema" : "https://github.com/citation-style-language/schema/raw/master/csl-citation.json" }</w:instrText>
      </w:r>
      <w:r>
        <w:fldChar w:fldCharType="separate"/>
      </w:r>
      <w:r w:rsidRPr="00EC0844">
        <w:rPr>
          <w:noProof/>
        </w:rPr>
        <w:t>(Silvia et al., 2006)</w:t>
      </w:r>
      <w:r>
        <w:fldChar w:fldCharType="end"/>
      </w:r>
      <w:r>
        <w:t xml:space="preserve">. Thus, in the present study 18 sentences were chosen as this number was considered to be adequate to not tire participants. 10 of the sentences included the prime as 10 sentences are more than 50% of the total sentences in the SST, and most researchers that have also used the SST have included primes in at least 50% of their sentences.  </w:t>
      </w:r>
    </w:p>
  </w:footnote>
  <w:footnote w:id="19">
    <w:p w:rsidR="0027265D" w:rsidRDefault="0027265D" w:rsidP="00630FFD">
      <w:pPr>
        <w:pStyle w:val="Textonotapie"/>
        <w:jc w:val="both"/>
      </w:pPr>
      <w:r w:rsidRPr="00973AEB">
        <w:rPr>
          <w:rStyle w:val="Refdenotaalpie"/>
        </w:rPr>
        <w:footnoteRef/>
      </w:r>
      <w:r>
        <w:t xml:space="preserve"> The words chosen as primes for the SST were taken from a pilot study conducted by the author of the present thesis as part of her Master’s degree dissertation, where </w:t>
      </w:r>
      <w:r w:rsidRPr="00D11952">
        <w:rPr>
          <w:rFonts w:cs="Times New Roman"/>
          <w:color w:val="000000" w:themeColor="text1"/>
        </w:rPr>
        <w:t xml:space="preserve">32 native English speakers </w:t>
      </w:r>
      <w:r>
        <w:rPr>
          <w:rFonts w:cs="Times New Roman"/>
          <w:color w:val="000000" w:themeColor="text1"/>
        </w:rPr>
        <w:t xml:space="preserve">(23 women and 9 men, ages ranging from 18 to 77, </w:t>
      </w:r>
      <w:r w:rsidRPr="00D11952">
        <w:rPr>
          <w:rFonts w:cs="Times New Roman"/>
          <w:i/>
          <w:color w:val="000000" w:themeColor="text1"/>
        </w:rPr>
        <w:t xml:space="preserve">M </w:t>
      </w:r>
      <w:r w:rsidRPr="00D11952">
        <w:rPr>
          <w:rFonts w:cs="Times New Roman"/>
          <w:color w:val="000000" w:themeColor="text1"/>
        </w:rPr>
        <w:t>= 29.82</w:t>
      </w:r>
      <w:r>
        <w:rPr>
          <w:rFonts w:cs="Times New Roman"/>
          <w:color w:val="000000" w:themeColor="text1"/>
        </w:rPr>
        <w:t xml:space="preserve"> yr</w:t>
      </w:r>
      <w:r w:rsidRPr="00D11952">
        <w:rPr>
          <w:rFonts w:cs="Times New Roman"/>
          <w:color w:val="000000" w:themeColor="text1"/>
        </w:rPr>
        <w:t xml:space="preserve">, </w:t>
      </w:r>
      <w:r w:rsidRPr="00D90D61">
        <w:rPr>
          <w:rFonts w:cs="Times New Roman"/>
          <w:i/>
          <w:color w:val="000000" w:themeColor="text1"/>
        </w:rPr>
        <w:t>SD</w:t>
      </w:r>
      <w:r w:rsidRPr="00D11952">
        <w:rPr>
          <w:rFonts w:cs="Times New Roman"/>
          <w:color w:val="000000" w:themeColor="text1"/>
        </w:rPr>
        <w:t xml:space="preserve"> = 13.88</w:t>
      </w:r>
      <w:r>
        <w:rPr>
          <w:rFonts w:cs="Times New Roman"/>
          <w:color w:val="000000" w:themeColor="text1"/>
        </w:rPr>
        <w:t>) described whether they used certain emotion content words (i.e. praise, care, cheer-up, amuse, annoy, mock, share, blame, give hope, intimidate, joke, soothe, reassure, reject, flaunt, brag, complain, shout, empathise, swear, encourage, insult, bother, comfort, help, hurt, patronise, be unfriendly, bully, be rude, belittle, charm, criticise, love, captivate, promote, sympathise, smile, reinforce, sulk) in interpersonal contexts. The words with the highest frequencies of interpersonal use were chosen to build the present SST. These emotion content words were derived from interpersonal affect-worsening strategies (Niven et al., 2009).</w:t>
      </w:r>
    </w:p>
  </w:footnote>
  <w:footnote w:id="20">
    <w:p w:rsidR="0027265D" w:rsidRDefault="0027265D" w:rsidP="00FB1389">
      <w:pPr>
        <w:pStyle w:val="Textonotapie"/>
        <w:jc w:val="both"/>
      </w:pPr>
      <w:r w:rsidRPr="00973AEB">
        <w:rPr>
          <w:rStyle w:val="Refdenotaalpie"/>
        </w:rPr>
        <w:footnoteRef/>
      </w:r>
      <w:r>
        <w:t xml:space="preserve"> The</w:t>
      </w:r>
      <w:r w:rsidRPr="003973B7">
        <w:t xml:space="preserve"> </w:t>
      </w:r>
      <w:r w:rsidRPr="003973B7">
        <w:rPr>
          <w:rFonts w:cs="Courier New"/>
          <w:bCs/>
          <w:color w:val="000000"/>
        </w:rPr>
        <w:t>MRC Psycholinguistic Database:</w:t>
      </w:r>
      <w:r w:rsidRPr="003973B7">
        <w:rPr>
          <w:rStyle w:val="apple-converted-space"/>
          <w:color w:val="000000"/>
        </w:rPr>
        <w:t> </w:t>
      </w:r>
      <w:r w:rsidRPr="003973B7">
        <w:rPr>
          <w:rFonts w:cs="Courier New"/>
          <w:bCs/>
          <w:color w:val="000000"/>
        </w:rPr>
        <w:t>Machine Usable Dictionary</w:t>
      </w:r>
      <w:r>
        <w:rPr>
          <w:rFonts w:cs="Courier New"/>
          <w:bCs/>
          <w:color w:val="000000"/>
        </w:rPr>
        <w:t>,</w:t>
      </w:r>
      <w:r w:rsidRPr="003973B7">
        <w:rPr>
          <w:rStyle w:val="apple-converted-space"/>
          <w:color w:val="000000"/>
        </w:rPr>
        <w:t> </w:t>
      </w:r>
      <w:r>
        <w:rPr>
          <w:rFonts w:cs="Courier New"/>
          <w:bCs/>
          <w:color w:val="000000"/>
        </w:rPr>
        <w:t>v</w:t>
      </w:r>
      <w:r w:rsidRPr="003973B7">
        <w:rPr>
          <w:rFonts w:cs="Courier New"/>
          <w:bCs/>
          <w:color w:val="000000"/>
        </w:rPr>
        <w:t>ersion 2.00</w:t>
      </w:r>
      <w:r>
        <w:rPr>
          <w:rFonts w:cs="Courier New"/>
          <w:bCs/>
          <w:color w:val="000000"/>
        </w:rPr>
        <w:t xml:space="preserve"> is an online dictionary resource designed to be used to select stimulus for research. It provides information about the linguistic properties of English words.  </w:t>
      </w:r>
      <w:r w:rsidRPr="00CB0466">
        <w:rPr>
          <w:bCs/>
          <w:color w:val="000000"/>
        </w:rPr>
        <w:t>Informatics Division</w:t>
      </w:r>
      <w:r w:rsidRPr="00CB0466">
        <w:rPr>
          <w:rStyle w:val="apple-converted-space"/>
          <w:color w:val="000000"/>
        </w:rPr>
        <w:t> </w:t>
      </w:r>
      <w:r w:rsidRPr="00CB0466">
        <w:rPr>
          <w:bCs/>
          <w:color w:val="000000"/>
        </w:rPr>
        <w:t>Science and Engineering Research Council</w:t>
      </w:r>
      <w:r w:rsidRPr="00CB0466">
        <w:rPr>
          <w:rStyle w:val="apple-converted-space"/>
          <w:color w:val="000000"/>
        </w:rPr>
        <w:t> </w:t>
      </w:r>
      <w:r w:rsidRPr="00CB0466">
        <w:rPr>
          <w:bCs/>
          <w:color w:val="000000"/>
        </w:rPr>
        <w:t>Rutherford Appleton Laboratory</w:t>
      </w:r>
      <w:r w:rsidRPr="00CB0466">
        <w:rPr>
          <w:rStyle w:val="apple-converted-space"/>
          <w:color w:val="000000"/>
        </w:rPr>
        <w:t> </w:t>
      </w:r>
      <w:r w:rsidRPr="00CB0466">
        <w:rPr>
          <w:bCs/>
          <w:color w:val="000000"/>
        </w:rPr>
        <w:t>Chilton,</w:t>
      </w:r>
      <w:r w:rsidRPr="00CB0466">
        <w:rPr>
          <w:rStyle w:val="apple-converted-space"/>
          <w:color w:val="000000"/>
        </w:rPr>
        <w:t> </w:t>
      </w:r>
      <w:proofErr w:type="spellStart"/>
      <w:r w:rsidRPr="00CB0466">
        <w:rPr>
          <w:bCs/>
          <w:color w:val="000000"/>
        </w:rPr>
        <w:t>Didcot</w:t>
      </w:r>
      <w:proofErr w:type="spellEnd"/>
      <w:r w:rsidRPr="00CB0466">
        <w:rPr>
          <w:bCs/>
          <w:color w:val="000000"/>
        </w:rPr>
        <w:t>,</w:t>
      </w:r>
      <w:r w:rsidRPr="00CB0466">
        <w:rPr>
          <w:rStyle w:val="apple-converted-space"/>
          <w:color w:val="000000"/>
        </w:rPr>
        <w:t> </w:t>
      </w:r>
      <w:r w:rsidRPr="00CB0466">
        <w:rPr>
          <w:bCs/>
          <w:color w:val="000000"/>
        </w:rPr>
        <w:t>Oxon, OX11 0QX</w:t>
      </w:r>
      <w:r w:rsidRPr="00CB0466">
        <w:rPr>
          <w:rStyle w:val="apple-converted-space"/>
          <w:color w:val="000000"/>
        </w:rPr>
        <w:t> </w:t>
      </w:r>
      <w:r w:rsidRPr="00CB0466">
        <w:rPr>
          <w:bCs/>
          <w:color w:val="000000"/>
        </w:rPr>
        <w:t>Michael Wilson</w:t>
      </w:r>
      <w:r w:rsidRPr="00CB0466">
        <w:rPr>
          <w:rStyle w:val="apple-converted-space"/>
          <w:color w:val="000000"/>
        </w:rPr>
        <w:t> </w:t>
      </w:r>
      <w:r w:rsidRPr="00CB0466">
        <w:rPr>
          <w:bCs/>
          <w:color w:val="000000"/>
        </w:rPr>
        <w:t>1 April 1987</w:t>
      </w:r>
      <w:r>
        <w:rPr>
          <w:rStyle w:val="apple-converted-space"/>
          <w:color w:val="000000"/>
        </w:rPr>
        <w:t>.</w:t>
      </w:r>
      <w:r w:rsidRPr="00CB0466">
        <w:rPr>
          <w:bCs/>
          <w:color w:val="000000"/>
        </w:rPr>
        <w:t> </w:t>
      </w:r>
    </w:p>
  </w:footnote>
  <w:footnote w:id="21">
    <w:p w:rsidR="0027265D" w:rsidRDefault="0027265D" w:rsidP="00E52D24">
      <w:pPr>
        <w:pStyle w:val="Textonotapie"/>
        <w:jc w:val="both"/>
      </w:pPr>
      <w:r w:rsidRPr="00973AEB">
        <w:rPr>
          <w:rStyle w:val="Refdenotaalpie"/>
        </w:rPr>
        <w:footnoteRef/>
      </w:r>
      <w:r>
        <w:t xml:space="preserve"> Coders also looked for instances of down-regulation of positive emotions (DRPE) (e.g. making someone happy feel less happy), but there were too few instances to include in subsequent analyses.</w:t>
      </w:r>
    </w:p>
  </w:footnote>
  <w:footnote w:id="22">
    <w:p w:rsidR="0027265D" w:rsidRPr="00B26722" w:rsidRDefault="0027265D" w:rsidP="00887EE3">
      <w:pPr>
        <w:pStyle w:val="Textonotapie"/>
        <w:jc w:val="both"/>
        <w:rPr>
          <w:lang w:val="en-US"/>
        </w:rPr>
      </w:pPr>
      <w:r>
        <w:rPr>
          <w:rStyle w:val="Refdenotaalpie"/>
        </w:rPr>
        <w:footnoteRef/>
      </w:r>
      <w:r>
        <w:t xml:space="preserve"> A second mixed-design ANOVA was conducted excluding the 4 participants that showed some sort of awareness to the purpose of the study. These results still show a significant interaction effect between the type of regulation (</w:t>
      </w:r>
      <w:proofErr w:type="spellStart"/>
      <w:r>
        <w:t>URNEt</w:t>
      </w:r>
      <w:proofErr w:type="spellEnd"/>
      <w:r>
        <w:t xml:space="preserve">, </w:t>
      </w:r>
      <w:proofErr w:type="spellStart"/>
      <w:r>
        <w:t>UTPEa</w:t>
      </w:r>
      <w:proofErr w:type="spellEnd"/>
      <w:r>
        <w:t xml:space="preserve">, </w:t>
      </w:r>
      <w:proofErr w:type="spellStart"/>
      <w:r>
        <w:t>URNEt</w:t>
      </w:r>
      <w:proofErr w:type="spellEnd"/>
      <w:r>
        <w:t xml:space="preserve">, </w:t>
      </w:r>
      <w:proofErr w:type="spellStart"/>
      <w:r>
        <w:t>URNEa</w:t>
      </w:r>
      <w:proofErr w:type="spellEnd"/>
      <w:r>
        <w:t xml:space="preserve">, </w:t>
      </w:r>
      <w:proofErr w:type="spellStart"/>
      <w:r>
        <w:t>DRNEt</w:t>
      </w:r>
      <w:proofErr w:type="spellEnd"/>
      <w:r>
        <w:t xml:space="preserve"> and </w:t>
      </w:r>
      <w:proofErr w:type="spellStart"/>
      <w:r>
        <w:t>DRNEa</w:t>
      </w:r>
      <w:proofErr w:type="spellEnd"/>
      <w:r>
        <w:t xml:space="preserve">) and the condition (experimental and control) to which the participants belonged </w:t>
      </w:r>
      <w:r>
        <w:rPr>
          <w:i/>
        </w:rPr>
        <w:t xml:space="preserve">F </w:t>
      </w:r>
      <w:r>
        <w:t xml:space="preserve">(2,76) = 3.89, </w:t>
      </w:r>
      <w:r>
        <w:rPr>
          <w:i/>
        </w:rPr>
        <w:t xml:space="preserve">p </w:t>
      </w:r>
      <w:r>
        <w:t xml:space="preserve">&lt; .05, </w:t>
      </w:r>
      <w:r>
        <w:rPr>
          <w:i/>
        </w:rPr>
        <w:t xml:space="preserve">d </w:t>
      </w:r>
      <w:r>
        <w:t xml:space="preserve">= .63.   </w:t>
      </w:r>
    </w:p>
  </w:footnote>
  <w:footnote w:id="23">
    <w:p w:rsidR="0027265D" w:rsidRPr="009401D7" w:rsidRDefault="0027265D" w:rsidP="00863069">
      <w:pPr>
        <w:pStyle w:val="Textonotapie"/>
        <w:jc w:val="both"/>
        <w:rPr>
          <w:i/>
          <w:highlight w:val="yellow"/>
          <w:lang w:val="en-US"/>
        </w:rPr>
      </w:pPr>
      <w:r>
        <w:rPr>
          <w:rStyle w:val="Refdenotaalpie"/>
        </w:rPr>
        <w:footnoteRef/>
      </w:r>
      <w:r>
        <w:t xml:space="preserve"> </w:t>
      </w:r>
      <w:r w:rsidRPr="00682409">
        <w:t xml:space="preserve">One way ANOVAS excluding the 4 participants that showed some sort of awareness with respect to the purposes of the study were also conducted. The results showed that there was a marginally significant effect of condition on </w:t>
      </w:r>
      <w:proofErr w:type="spellStart"/>
      <w:r w:rsidRPr="00682409">
        <w:rPr>
          <w:lang w:val="en-US"/>
        </w:rPr>
        <w:t>URPEa</w:t>
      </w:r>
      <w:proofErr w:type="spellEnd"/>
      <w:r w:rsidRPr="00682409">
        <w:rPr>
          <w:lang w:val="en-US"/>
        </w:rPr>
        <w:t xml:space="preserve"> </w:t>
      </w:r>
      <w:r w:rsidRPr="00682409">
        <w:rPr>
          <w:i/>
          <w:lang w:val="en-US"/>
        </w:rPr>
        <w:t xml:space="preserve">F </w:t>
      </w:r>
      <w:r w:rsidRPr="00682409">
        <w:rPr>
          <w:lang w:val="en-US"/>
        </w:rPr>
        <w:t xml:space="preserve">(1, 39) = 3.73, </w:t>
      </w:r>
      <w:r w:rsidRPr="00682409">
        <w:rPr>
          <w:i/>
          <w:lang w:val="en-US"/>
        </w:rPr>
        <w:t xml:space="preserve">p </w:t>
      </w:r>
      <w:r w:rsidRPr="00682409">
        <w:rPr>
          <w:lang w:val="en-US"/>
        </w:rPr>
        <w:t xml:space="preserve">= .06, </w:t>
      </w:r>
      <w:r w:rsidRPr="00682409">
        <w:rPr>
          <w:i/>
          <w:lang w:val="en-US"/>
        </w:rPr>
        <w:t xml:space="preserve">d </w:t>
      </w:r>
      <w:r w:rsidRPr="00682409">
        <w:rPr>
          <w:lang w:val="en-US"/>
        </w:rPr>
        <w:t xml:space="preserve">= .61, and on </w:t>
      </w:r>
      <w:proofErr w:type="spellStart"/>
      <w:r w:rsidRPr="00682409">
        <w:rPr>
          <w:lang w:val="en-US"/>
        </w:rPr>
        <w:t>URPEt</w:t>
      </w:r>
      <w:proofErr w:type="spellEnd"/>
      <w:r w:rsidRPr="00682409">
        <w:rPr>
          <w:lang w:val="en-US"/>
        </w:rPr>
        <w:t xml:space="preserve"> </w:t>
      </w:r>
      <w:r w:rsidRPr="00682409">
        <w:rPr>
          <w:i/>
          <w:lang w:val="en-US"/>
        </w:rPr>
        <w:t xml:space="preserve">F </w:t>
      </w:r>
      <w:r w:rsidRPr="00682409">
        <w:rPr>
          <w:lang w:val="en-US"/>
        </w:rPr>
        <w:t xml:space="preserve">(1,39) = 3.44, </w:t>
      </w:r>
      <w:r w:rsidRPr="00682409">
        <w:rPr>
          <w:i/>
          <w:lang w:val="en-US"/>
        </w:rPr>
        <w:t xml:space="preserve">p </w:t>
      </w:r>
      <w:r w:rsidRPr="00682409">
        <w:rPr>
          <w:lang w:val="en-US"/>
        </w:rPr>
        <w:t xml:space="preserve">= .07, </w:t>
      </w:r>
      <w:r w:rsidRPr="00682409">
        <w:rPr>
          <w:i/>
          <w:lang w:val="en-US"/>
        </w:rPr>
        <w:t xml:space="preserve">d </w:t>
      </w:r>
      <w:r w:rsidRPr="00682409">
        <w:rPr>
          <w:lang w:val="en-US"/>
        </w:rPr>
        <w:t xml:space="preserve">= .73; a significant effect of condition on </w:t>
      </w:r>
      <w:proofErr w:type="spellStart"/>
      <w:r w:rsidRPr="00682409">
        <w:rPr>
          <w:lang w:val="en-US"/>
        </w:rPr>
        <w:t>URNEa</w:t>
      </w:r>
      <w:proofErr w:type="spellEnd"/>
      <w:r w:rsidRPr="00682409">
        <w:rPr>
          <w:lang w:val="en-US"/>
        </w:rPr>
        <w:t xml:space="preserve"> </w:t>
      </w:r>
      <w:r w:rsidRPr="00682409">
        <w:rPr>
          <w:i/>
          <w:lang w:val="en-US"/>
        </w:rPr>
        <w:t xml:space="preserve">F </w:t>
      </w:r>
      <w:r w:rsidRPr="00682409">
        <w:rPr>
          <w:lang w:val="en-US"/>
        </w:rPr>
        <w:t xml:space="preserve">(1.39) = 4.44, </w:t>
      </w:r>
      <w:r w:rsidRPr="00682409">
        <w:rPr>
          <w:i/>
          <w:lang w:val="en-US"/>
        </w:rPr>
        <w:t xml:space="preserve">p </w:t>
      </w:r>
      <w:r w:rsidRPr="00682409">
        <w:rPr>
          <w:lang w:val="en-US"/>
        </w:rPr>
        <w:t xml:space="preserve">&lt; .05, </w:t>
      </w:r>
      <w:r w:rsidRPr="00682409">
        <w:rPr>
          <w:i/>
          <w:lang w:val="en-US"/>
        </w:rPr>
        <w:t xml:space="preserve">d </w:t>
      </w:r>
      <w:r w:rsidRPr="00682409">
        <w:rPr>
          <w:lang w:val="en-US"/>
        </w:rPr>
        <w:t xml:space="preserve">= -.65; a non-significant effect of condition on </w:t>
      </w:r>
      <w:proofErr w:type="spellStart"/>
      <w:r w:rsidRPr="00682409">
        <w:rPr>
          <w:lang w:val="en-US"/>
        </w:rPr>
        <w:t>URNEt</w:t>
      </w:r>
      <w:proofErr w:type="spellEnd"/>
      <w:r w:rsidRPr="00682409">
        <w:rPr>
          <w:lang w:val="en-US"/>
        </w:rPr>
        <w:t xml:space="preserve"> </w:t>
      </w:r>
      <w:r w:rsidRPr="00682409">
        <w:rPr>
          <w:i/>
          <w:lang w:val="en-US"/>
        </w:rPr>
        <w:t xml:space="preserve">F </w:t>
      </w:r>
      <w:r w:rsidRPr="00682409">
        <w:rPr>
          <w:lang w:val="en-US"/>
        </w:rPr>
        <w:t xml:space="preserve">(1,39) = 2.69, </w:t>
      </w:r>
      <w:r w:rsidRPr="00682409">
        <w:rPr>
          <w:i/>
          <w:lang w:val="en-US"/>
        </w:rPr>
        <w:t xml:space="preserve">p </w:t>
      </w:r>
      <w:r w:rsidRPr="00682409">
        <w:rPr>
          <w:lang w:val="en-US"/>
        </w:rPr>
        <w:t xml:space="preserve">= .11, </w:t>
      </w:r>
      <w:r w:rsidRPr="00682409">
        <w:rPr>
          <w:i/>
          <w:lang w:val="en-US"/>
        </w:rPr>
        <w:t xml:space="preserve">d </w:t>
      </w:r>
      <w:r w:rsidRPr="00682409">
        <w:rPr>
          <w:lang w:val="en-US"/>
        </w:rPr>
        <w:t xml:space="preserve">= -.52, on </w:t>
      </w:r>
      <w:proofErr w:type="spellStart"/>
      <w:r w:rsidRPr="00682409">
        <w:rPr>
          <w:lang w:val="en-US"/>
        </w:rPr>
        <w:t>DRNEa</w:t>
      </w:r>
      <w:proofErr w:type="spellEnd"/>
      <w:r w:rsidRPr="00682409">
        <w:rPr>
          <w:lang w:val="en-US"/>
        </w:rPr>
        <w:t xml:space="preserve"> </w:t>
      </w:r>
      <w:r w:rsidRPr="00682409">
        <w:rPr>
          <w:i/>
          <w:lang w:val="en-US"/>
        </w:rPr>
        <w:t xml:space="preserve">F </w:t>
      </w:r>
      <w:r w:rsidRPr="00682409">
        <w:rPr>
          <w:lang w:val="en-US"/>
        </w:rPr>
        <w:t>(1,39) = .702</w:t>
      </w:r>
      <w:r w:rsidRPr="00682409">
        <w:rPr>
          <w:i/>
          <w:lang w:val="en-US"/>
        </w:rPr>
        <w:t xml:space="preserve"> p </w:t>
      </w:r>
      <w:r w:rsidRPr="00682409">
        <w:rPr>
          <w:lang w:val="en-US"/>
        </w:rPr>
        <w:t xml:space="preserve">= .41, </w:t>
      </w:r>
      <w:r w:rsidRPr="00682409">
        <w:rPr>
          <w:i/>
          <w:lang w:val="en-US"/>
        </w:rPr>
        <w:t xml:space="preserve">d </w:t>
      </w:r>
      <w:r w:rsidRPr="00682409">
        <w:rPr>
          <w:lang w:val="en-US"/>
        </w:rPr>
        <w:t xml:space="preserve">= .27, nor on </w:t>
      </w:r>
      <w:proofErr w:type="spellStart"/>
      <w:r w:rsidRPr="00682409">
        <w:rPr>
          <w:lang w:val="en-US"/>
        </w:rPr>
        <w:t>DRNEt</w:t>
      </w:r>
      <w:proofErr w:type="spellEnd"/>
      <w:r w:rsidRPr="00682409">
        <w:rPr>
          <w:lang w:val="en-US"/>
        </w:rPr>
        <w:t xml:space="preserve"> </w:t>
      </w:r>
      <w:r w:rsidRPr="00682409">
        <w:rPr>
          <w:i/>
          <w:lang w:val="en-US"/>
        </w:rPr>
        <w:t xml:space="preserve">F </w:t>
      </w:r>
      <w:r w:rsidRPr="00682409">
        <w:rPr>
          <w:lang w:val="en-US"/>
        </w:rPr>
        <w:t>(1,39) = .03,</w:t>
      </w:r>
      <w:r w:rsidRPr="00682409">
        <w:rPr>
          <w:i/>
          <w:lang w:val="en-US"/>
        </w:rPr>
        <w:t xml:space="preserve"> p </w:t>
      </w:r>
      <w:r w:rsidRPr="00682409">
        <w:rPr>
          <w:lang w:val="en-US"/>
        </w:rPr>
        <w:t xml:space="preserve">= .86, </w:t>
      </w:r>
      <w:r w:rsidRPr="00682409">
        <w:rPr>
          <w:i/>
          <w:lang w:val="en-US"/>
        </w:rPr>
        <w:t>d</w:t>
      </w:r>
      <w:r w:rsidRPr="00682409">
        <w:rPr>
          <w:lang w:val="en-US"/>
        </w:rPr>
        <w:t xml:space="preserve"> =.07.</w:t>
      </w:r>
      <w:r>
        <w:rPr>
          <w:lang w:val="en-US"/>
        </w:rPr>
        <w:t xml:space="preserve"> These results indicate the same as the results including all participants in that: </w:t>
      </w:r>
      <w:proofErr w:type="spellStart"/>
      <w:r>
        <w:rPr>
          <w:lang w:val="en-US"/>
        </w:rPr>
        <w:t>i</w:t>
      </w:r>
      <w:proofErr w:type="spellEnd"/>
      <w:r>
        <w:rPr>
          <w:lang w:val="en-US"/>
        </w:rPr>
        <w:t>) participants primed to worsen the emotions of someone else used more strategies to make someone feel bad than participants in the control condition (although in this case the effect was only found on the agent character or the character the participants chose to play), and, ii) participants in the priming condition used les strategies to make someone feel good in comparison to participants in the control condition.</w:t>
      </w:r>
    </w:p>
  </w:footnote>
  <w:footnote w:id="24">
    <w:p w:rsidR="0027265D" w:rsidRPr="00884692" w:rsidRDefault="0027265D" w:rsidP="00FB1389">
      <w:pPr>
        <w:pStyle w:val="Textonotapie"/>
        <w:jc w:val="both"/>
      </w:pPr>
      <w:r w:rsidRPr="00973AEB">
        <w:rPr>
          <w:rStyle w:val="Refdenotaalpie"/>
        </w:rPr>
        <w:footnoteRef/>
      </w:r>
      <w:r>
        <w:t xml:space="preserve"> Due to academic period where data was collected (summer holidays), it was very difficult to reach the required sample size (</w:t>
      </w:r>
      <w:r>
        <w:rPr>
          <w:i/>
        </w:rPr>
        <w:t xml:space="preserve">N </w:t>
      </w:r>
      <w:r>
        <w:t xml:space="preserve">= 28) to achieve a .80 power at an α = .05. This is also why the nature of the sample was different, as most students were not in Sheffield, personal contacts and volunteers from a list of registered volunteers from the University of Sheffield were used instead. </w:t>
      </w:r>
    </w:p>
  </w:footnote>
  <w:footnote w:id="25">
    <w:p w:rsidR="0027265D" w:rsidRPr="00736162" w:rsidRDefault="0027265D" w:rsidP="001830C5">
      <w:pPr>
        <w:pStyle w:val="Textonotapie"/>
        <w:jc w:val="both"/>
      </w:pPr>
      <w:r w:rsidRPr="00973AEB">
        <w:rPr>
          <w:rStyle w:val="Refdenotaalpie"/>
        </w:rPr>
        <w:footnoteRef/>
      </w:r>
      <w:r>
        <w:t xml:space="preserve"> Analysis that include this measure (attitudes towards the ex-partner) will therefore have a smaller sample size.</w:t>
      </w:r>
    </w:p>
  </w:footnote>
  <w:footnote w:id="26">
    <w:p w:rsidR="0027265D" w:rsidRPr="00882511" w:rsidRDefault="0027265D" w:rsidP="00C72E8C">
      <w:pPr>
        <w:pStyle w:val="Textonotapie"/>
        <w:jc w:val="both"/>
      </w:pPr>
      <w:r w:rsidRPr="00973AEB">
        <w:rPr>
          <w:rStyle w:val="Refdenotaalpie"/>
        </w:rPr>
        <w:footnoteRef/>
      </w:r>
      <w:r>
        <w:t xml:space="preserve"> As in Study 2a and 2b </w:t>
      </w:r>
      <w:r w:rsidRPr="00882511">
        <w:t>there were very few instances of DRPE found by both coders on the participants</w:t>
      </w:r>
      <w:r>
        <w:t>’</w:t>
      </w:r>
      <w:r w:rsidRPr="00882511">
        <w:t xml:space="preserve"> letter</w:t>
      </w:r>
      <w:r>
        <w:t>s</w:t>
      </w:r>
      <w:r w:rsidRPr="00882511">
        <w:t xml:space="preserve">, which </w:t>
      </w:r>
      <w:r>
        <w:t xml:space="preserve">is why this variable was not included in the analysis. </w:t>
      </w:r>
    </w:p>
  </w:footnote>
  <w:footnote w:id="27">
    <w:p w:rsidR="0027265D" w:rsidRPr="00C64891" w:rsidRDefault="0027265D" w:rsidP="00C64891">
      <w:pPr>
        <w:pStyle w:val="Textonotapie"/>
        <w:jc w:val="both"/>
      </w:pPr>
      <w:r w:rsidRPr="00C64891">
        <w:rPr>
          <w:rStyle w:val="Refdenotaalpie"/>
        </w:rPr>
        <w:footnoteRef/>
      </w:r>
      <w:r w:rsidRPr="00C64891">
        <w:t xml:space="preserve"> Chartrand and Bargh (1996) primed people with impression formation by subliminally showing them words related to impression formation (e.g. impression, judgement, personality and evaluate) then, they presented participants with sentences that portrayed as honest, dishonest and neutral person. In a subsequent task they found that participants made impressions of that person according to what they were shown in the sentences.</w:t>
      </w:r>
    </w:p>
  </w:footnote>
  <w:footnote w:id="28">
    <w:p w:rsidR="0027265D" w:rsidRPr="00B00CE6" w:rsidRDefault="0027265D" w:rsidP="00FB1389">
      <w:pPr>
        <w:jc w:val="both"/>
        <w:rPr>
          <w:sz w:val="24"/>
          <w:szCs w:val="24"/>
        </w:rPr>
      </w:pPr>
      <w:r w:rsidRPr="00973AEB">
        <w:rPr>
          <w:rStyle w:val="Refdenotaalpie"/>
        </w:rPr>
        <w:footnoteRef/>
      </w:r>
      <w:r>
        <w:t xml:space="preserve"> </w:t>
      </w:r>
      <w:r w:rsidRPr="00BF2F3D">
        <w:rPr>
          <w:sz w:val="20"/>
          <w:szCs w:val="20"/>
        </w:rPr>
        <w:t>Self-control and self-regulation will be used intercha</w:t>
      </w:r>
      <w:r>
        <w:rPr>
          <w:sz w:val="20"/>
          <w:szCs w:val="20"/>
        </w:rPr>
        <w:t xml:space="preserve">ngeably in the present chapter to refer to the same function of self-control as the capacity to alter or inhibit a person’s response. Some researchers that </w:t>
      </w:r>
      <w:r w:rsidRPr="00BF2F3D">
        <w:rPr>
          <w:sz w:val="20"/>
          <w:szCs w:val="20"/>
        </w:rPr>
        <w:t>make a distinction between self-control and self-regulation refer to self-control as</w:t>
      </w:r>
      <w:r>
        <w:rPr>
          <w:sz w:val="20"/>
          <w:szCs w:val="20"/>
        </w:rPr>
        <w:t xml:space="preserve"> a</w:t>
      </w:r>
      <w:r w:rsidRPr="00BF2F3D">
        <w:rPr>
          <w:sz w:val="20"/>
          <w:szCs w:val="20"/>
        </w:rPr>
        <w:t xml:space="preserve"> deliberate act of control whether self-regulation could also include processes such as maintaini</w:t>
      </w:r>
      <w:r>
        <w:rPr>
          <w:sz w:val="20"/>
          <w:szCs w:val="20"/>
        </w:rPr>
        <w:t xml:space="preserve">ng a constant body temperature </w:t>
      </w:r>
      <w:r>
        <w:rPr>
          <w:sz w:val="20"/>
          <w:szCs w:val="20"/>
        </w:rPr>
        <w:fldChar w:fldCharType="begin" w:fldLock="1"/>
      </w:r>
      <w:r>
        <w:rPr>
          <w:sz w:val="20"/>
          <w:szCs w:val="20"/>
        </w:rPr>
        <w:instrText>ADDIN CSL_CITATION { "citationItems" : [ { "id" : "ITEM-1",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 "author" : [ { "dropping-particle" : "", "family" : "Baumeister", "given" : "Roy F", "non-dropping-particle" : "", "parse-names" : false, "suffix" : "" }, { "dropping-particle" : "", "family" : "Vohs", "given" : "Kathleen D", "non-dropping-particle" : "", "parse-names" : false, "suffix" : "" }, { "dropping-particle" : "", "family" : "Tice", "given" : "Dianne M", "non-dropping-particle" : "", "parse-names" : false, "suffix" : "" } ], "container-title" : "Current Directions in Psychological Science", "id" : "ITEM-1", "issue" : "6", "issued" : { "date-parts" : [ [ "2007" ] ] }, "page" : "351-355", "title" : "The Strength Model of Self Control", "type" : "article-journal", "volume" : "16" }, "uris" : [ "http://www.mendeley.com/documents/?uuid=224d278b-3e2c-39ee-96e8-39e25303c086" ] } ], "mendeley" : { "formattedCitation" : "(Baumeister et al., 2007)", "plainTextFormattedCitation" : "(Baumeister et al., 2007)", "previouslyFormattedCitation" : "(Roy F Baumeister et al., 2007)" }, "properties" : { "noteIndex" : 0 }, "schema" : "https://github.com/citation-style-language/schema/raw/master/csl-citation.json" }</w:instrText>
      </w:r>
      <w:r>
        <w:rPr>
          <w:sz w:val="20"/>
          <w:szCs w:val="20"/>
        </w:rPr>
        <w:fldChar w:fldCharType="separate"/>
      </w:r>
      <w:r w:rsidRPr="00844B08">
        <w:rPr>
          <w:noProof/>
          <w:sz w:val="20"/>
          <w:szCs w:val="20"/>
        </w:rPr>
        <w:t>(Baumeister et al., 2007)</w:t>
      </w:r>
      <w:r>
        <w:rPr>
          <w:sz w:val="20"/>
          <w:szCs w:val="20"/>
        </w:rPr>
        <w:fldChar w:fldCharType="end"/>
      </w:r>
      <w:r w:rsidRPr="00BF2F3D">
        <w:rPr>
          <w:sz w:val="20"/>
          <w:szCs w:val="20"/>
        </w:rPr>
        <w:t>.</w:t>
      </w:r>
    </w:p>
    <w:p w:rsidR="0027265D" w:rsidRPr="00BF2F3D" w:rsidRDefault="0027265D" w:rsidP="00FB1389">
      <w:pPr>
        <w:pStyle w:val="Textonotapie"/>
      </w:pPr>
    </w:p>
  </w:footnote>
  <w:footnote w:id="29">
    <w:p w:rsidR="0027265D" w:rsidRPr="0042581A" w:rsidRDefault="0027265D" w:rsidP="00FB1389">
      <w:pPr>
        <w:pStyle w:val="Textonotapie"/>
        <w:jc w:val="both"/>
      </w:pPr>
      <w:r w:rsidRPr="00973AEB">
        <w:rPr>
          <w:rStyle w:val="Refdenotaalpie"/>
        </w:rPr>
        <w:footnoteRef/>
      </w:r>
      <w:r>
        <w:t xml:space="preserve"> </w:t>
      </w:r>
      <w:r w:rsidRPr="00A43C2C">
        <w:t>Tangney defines</w:t>
      </w:r>
      <w:r>
        <w:t xml:space="preserve"> self-control as</w:t>
      </w:r>
      <w:r w:rsidRPr="0042581A">
        <w:t xml:space="preserve"> </w:t>
      </w:r>
      <w:r w:rsidRPr="0042581A">
        <w:rPr>
          <w:i/>
        </w:rPr>
        <w:t>capacity to override or inhibit “undesirable behavioural tendencies” (such as impulses) and</w:t>
      </w:r>
      <w:r>
        <w:rPr>
          <w:i/>
        </w:rPr>
        <w:t xml:space="preserve"> to refrain from acting on them</w:t>
      </w:r>
    </w:p>
  </w:footnote>
  <w:footnote w:id="30">
    <w:p w:rsidR="0027265D" w:rsidRPr="0042581A" w:rsidRDefault="0027265D" w:rsidP="00FB1389">
      <w:pPr>
        <w:pStyle w:val="Textonotapie"/>
        <w:jc w:val="both"/>
      </w:pPr>
      <w:r w:rsidRPr="00973AEB">
        <w:rPr>
          <w:rStyle w:val="Refdenotaalpie"/>
        </w:rPr>
        <w:footnoteRef/>
      </w:r>
      <w:r>
        <w:t xml:space="preserve"> The Single Category Implicit Association Test </w:t>
      </w:r>
      <w:r>
        <w:fldChar w:fldCharType="begin" w:fldLock="1"/>
      </w:r>
      <w:r>
        <w:instrText>ADDIN CSL_CITATION { "citationItems" : [ { "id" : "ITEM-1", "itemData" : { "author" : [ { "dropping-particle" : "", "family" : "Karpinski", "given" : "A", "non-dropping-particle" : "", "parse-names" : false, "suffix" : "" }, { "dropping-particle" : "", "family" : "Steinman", "given" : "R B", "non-dropping-particle" : "", "parse-names" : false, "suffix" : "" } ], "container-title" : "Journal of Personality and Social Psychology", "id" : "ITEM-1", "issued" : { "date-parts" : [ [ "2006" ] ] }, "page" : "16-32", "title" : "The single category implicit association test as a measure of implicit social cognition", "type" : "article-journal", "volume" : "91" }, "uris" : [ "http://www.mendeley.com/documents/?uuid=8d10bf7f-155f-404d-bb1d-9e4c0763c5a9" ] } ], "mendeley" : { "formattedCitation" : "(Karpinski &amp; Steinman, 2006)", "plainTextFormattedCitation" : "(Karpinski &amp; Steinman, 2006)", "previouslyFormattedCitation" : "(Karpinski &amp; Steinman, 2006)" }, "properties" : { "noteIndex" : 0 }, "schema" : "https://github.com/citation-style-language/schema/raw/master/csl-citation.json" }</w:instrText>
      </w:r>
      <w:r>
        <w:fldChar w:fldCharType="separate"/>
      </w:r>
      <w:r w:rsidRPr="00564C02">
        <w:rPr>
          <w:noProof/>
        </w:rPr>
        <w:t>(Karpinski &amp; Steinman, 2006)</w:t>
      </w:r>
      <w:r>
        <w:fldChar w:fldCharType="end"/>
      </w:r>
    </w:p>
  </w:footnote>
  <w:footnote w:id="31">
    <w:p w:rsidR="0027265D" w:rsidRPr="005520A0" w:rsidRDefault="0027265D" w:rsidP="00FB1389">
      <w:pPr>
        <w:pStyle w:val="Textonotapie"/>
        <w:jc w:val="both"/>
      </w:pPr>
      <w:r w:rsidRPr="00973AEB">
        <w:rPr>
          <w:rStyle w:val="Refdenotaalpie"/>
        </w:rPr>
        <w:footnoteRef/>
      </w:r>
      <w:r>
        <w:t xml:space="preserve"> The small percentage completion for the main dependent measure (the Stroop task) might have been due to the fact that when participants were directed to </w:t>
      </w:r>
      <w:proofErr w:type="spellStart"/>
      <w:r>
        <w:t>Inquisit</w:t>
      </w:r>
      <w:proofErr w:type="spellEnd"/>
      <w:r>
        <w:t xml:space="preserve">, where the Stroop task took place, it was required for them to run a temporary file on their computers in order for </w:t>
      </w:r>
      <w:proofErr w:type="spellStart"/>
      <w:r>
        <w:t>Inquisit</w:t>
      </w:r>
      <w:proofErr w:type="spellEnd"/>
      <w:r>
        <w:t xml:space="preserve"> to work. This might have caused distrust in participants which could have made them quit the experiment even though they were reassured this temporary file would not cause any harm to their equipment and they could delete it as soon as they finish. </w:t>
      </w:r>
    </w:p>
  </w:footnote>
  <w:footnote w:id="32">
    <w:p w:rsidR="0027265D" w:rsidRDefault="0027265D" w:rsidP="00FB1389">
      <w:pPr>
        <w:pStyle w:val="Textonotapie"/>
        <w:jc w:val="both"/>
      </w:pPr>
      <w:r w:rsidRPr="00973AEB">
        <w:rPr>
          <w:rStyle w:val="Refdenotaalpie"/>
        </w:rPr>
        <w:footnoteRef/>
      </w:r>
      <w:r>
        <w:t xml:space="preserve"> </w:t>
      </w:r>
      <w:proofErr w:type="spellStart"/>
      <w:r>
        <w:t>Inquisit</w:t>
      </w:r>
      <w:proofErr w:type="spellEnd"/>
      <w:r>
        <w:t xml:space="preserve"> is an online software that allows participants to answer psychological instruments from any computer that has access to the internet.</w:t>
      </w:r>
    </w:p>
  </w:footnote>
  <w:footnote w:id="33">
    <w:p w:rsidR="0027265D" w:rsidRPr="00946635" w:rsidRDefault="0027265D" w:rsidP="00FB1389">
      <w:pPr>
        <w:pStyle w:val="Textonotapie"/>
      </w:pPr>
      <w:r w:rsidRPr="00973AEB">
        <w:rPr>
          <w:rStyle w:val="Refdenotaalpie"/>
        </w:rPr>
        <w:footnoteRef/>
      </w:r>
      <w:r>
        <w:t xml:space="preserve"> </w:t>
      </w:r>
      <w:r w:rsidRPr="00946635">
        <w:t xml:space="preserve">The correlation coefficients between each variable and factor can be observed </w:t>
      </w:r>
      <w:r>
        <w:t>on Table IV</w:t>
      </w:r>
      <w:r w:rsidRPr="00946635">
        <w:t>.2</w:t>
      </w:r>
    </w:p>
  </w:footnote>
  <w:footnote w:id="34">
    <w:p w:rsidR="0027265D" w:rsidRPr="009D720D" w:rsidRDefault="0027265D" w:rsidP="00FB1389">
      <w:pPr>
        <w:pStyle w:val="Textonotapie"/>
        <w:jc w:val="both"/>
      </w:pPr>
      <w:r w:rsidRPr="00973AEB">
        <w:rPr>
          <w:rStyle w:val="Refdenotaalpie"/>
        </w:rPr>
        <w:footnoteRef/>
      </w:r>
      <w:r>
        <w:t xml:space="preserve"> </w:t>
      </w:r>
      <w:r w:rsidRPr="009D720D">
        <w:t>Given the fact that from t</w:t>
      </w:r>
      <w:r>
        <w:t xml:space="preserve">he 154 participants, only 85 completed both the new measure of self-control during the working day and the Stroop task, using independent samples T-tests it was investigated if the participants that did not complete the Stroop task were different from participants that did complete it with respect to: </w:t>
      </w:r>
      <w:proofErr w:type="spellStart"/>
      <w:r>
        <w:t>i</w:t>
      </w:r>
      <w:proofErr w:type="spellEnd"/>
      <w:r>
        <w:t xml:space="preserve">) each of the use of self control factors, ii) mental energy, ii) physical energy, iv) emotional exhaustion, v) and to each of the four dimensions of mood. No significant differences were found between any of these variables and whether the participant completed the use of self-control scale only, or both, the use of self-control scale and the Stroop task. </w:t>
      </w:r>
    </w:p>
  </w:footnote>
  <w:footnote w:id="35">
    <w:p w:rsidR="0027265D" w:rsidRPr="005C3F6E" w:rsidRDefault="0027265D" w:rsidP="00FB1389">
      <w:pPr>
        <w:pStyle w:val="Textonotapie"/>
      </w:pPr>
      <w:r w:rsidRPr="00973AEB">
        <w:rPr>
          <w:rStyle w:val="Refdenotaalpie"/>
        </w:rPr>
        <w:footnoteRef/>
      </w:r>
      <w:r>
        <w:t xml:space="preserve"> </w:t>
      </w:r>
      <w:r w:rsidRPr="005C3F6E">
        <w:t xml:space="preserve">Cole’s et al. (2016) study </w:t>
      </w:r>
      <w:r>
        <w:t>used the</w:t>
      </w:r>
      <w:r w:rsidRPr="0098468A">
        <w:t xml:space="preserve"> ‘Use of self-control during the working day’ scale </w:t>
      </w:r>
      <w:r>
        <w:t>presented in the current chapter to give continuity to the findings of Study 3.</w:t>
      </w:r>
    </w:p>
  </w:footnote>
  <w:footnote w:id="36">
    <w:p w:rsidR="0027265D" w:rsidRPr="00B45824" w:rsidRDefault="0027265D" w:rsidP="00FB1389">
      <w:pPr>
        <w:pStyle w:val="Textonotapie"/>
        <w:jc w:val="both"/>
      </w:pPr>
      <w:r w:rsidRPr="00973AEB">
        <w:rPr>
          <w:rStyle w:val="Refdenotaalpie"/>
        </w:rPr>
        <w:footnoteRef/>
      </w:r>
      <w:r>
        <w:t xml:space="preserve"> For practical purposes, the present research investigates three features of automaticity but to remind the reader, automatic processes have been associated with more concepts than the ones presented here. The review on automaticity by </w:t>
      </w:r>
      <w:r>
        <w:fldChar w:fldCharType="begin" w:fldLock="1"/>
      </w:r>
      <w:r>
        <w:instrText>ADDIN CSL_CITATION { "citationItems" : [ { "id" : "ITEM-1", "itemData" : { "DOI" : "10.1037/0033-2909.132.2.297", "ISBN" : "0033-2909\\r1939-1455", "ISSN" : "1939-1455", "PMID" : "16536645", "abstract" : "Several theoretical views of automaticity are discussed. Most of these suggest that automaticity should be diagnosed by looking at the presence of features such as unintentional, uncontrolled/uncontrollable, goal independent, autonomous, purely stimulus driven, unconscious, efficient, and fast. Contemporary views further suggest that these features should be investigated separately. The authors examine whether features of automaticity can be disentangled on a conceptual level, because only then is the separate investigation of them worth the effort. They conclude that the conceptual analysis of features is to a large extent feasible. Not all researchers agree with this position, however. The authors show that assumptions of overlap among features are determined by the other researchers\u2019 views of automaticity and by the models they endorse for information processing in general.", "author" : [ { "dropping-particle" : "", "family" : "Moors", "given" : "Agnes", "non-dropping-particle" : "", "parse-names" : false, "suffix" : "" }, { "dropping-particle" : "", "family" : "Houwer", "given" : "Jan", "non-dropping-particle" : "De", "parse-names" : false, "suffix" : "" } ], "container-title" : "Psychological Bulletin", "id" : "ITEM-1", "issue" : "2", "issued" : { "date-parts" : [ [ "2006" ] ] }, "page" : "297-326", "title" : "Automaticity: A Theoretical and Conceptual Analysis.", "type" : "article-journal", "volume" : "132" }, "uris" : [ "http://www.mendeley.com/documents/?uuid=e4d67142-4671-42e9-a232-731c5aa24b50" ] } ], "mendeley" : { "formattedCitation" : "(Moors &amp; De Houwer, 2006)", "manualFormatting" : "Moors and De Houwer (2006)", "plainTextFormattedCitation" : "(Moors &amp; De Houwer, 2006)", "previouslyFormattedCitation" : "(Moors &amp; De Houwer, 2006)" }, "properties" : { "noteIndex" : 0 }, "schema" : "https://github.com/citation-style-language/schema/raw/master/csl-citation.json" }</w:instrText>
      </w:r>
      <w:r>
        <w:fldChar w:fldCharType="separate"/>
      </w:r>
      <w:r w:rsidRPr="002138E2">
        <w:rPr>
          <w:noProof/>
        </w:rPr>
        <w:t xml:space="preserve">Moors </w:t>
      </w:r>
      <w:r>
        <w:rPr>
          <w:noProof/>
        </w:rPr>
        <w:t>and De Houwer</w:t>
      </w:r>
      <w:r w:rsidRPr="002138E2">
        <w:rPr>
          <w:noProof/>
        </w:rPr>
        <w:t xml:space="preserve"> </w:t>
      </w:r>
      <w:r>
        <w:rPr>
          <w:noProof/>
        </w:rPr>
        <w:t>(</w:t>
      </w:r>
      <w:r w:rsidRPr="002138E2">
        <w:rPr>
          <w:noProof/>
        </w:rPr>
        <w:t>2006)</w:t>
      </w:r>
      <w:r>
        <w:fldChar w:fldCharType="end"/>
      </w:r>
      <w:r>
        <w:t xml:space="preserve"> for example, talks about eight of these features: (un)intentional, goal (in)dependent, (un)controlled/(un)controllable, autonomous, purely stimulus driven, (un)conscious, efficient and fast. While </w:t>
      </w:r>
      <w:r>
        <w:fldChar w:fldCharType="begin" w:fldLock="1"/>
      </w:r>
      <w:r>
        <w:instrText>ADDIN CSL_CITATION { "citationItems" : [ { "id" : "ITEM-1", "itemData" : { "author" : [ { "dropping-particle" : "", "family" : "Bargh", "given" : "John A", "non-dropping-particle" : "", "parse-names" : false, "suffix" : "" }, { "dropping-particle" : "", "family" : "Williams", "given" : "Lawrence E", "non-dropping-particle" : "", "parse-names" : false, "suffix" : "" } ], "container-title" : "Handbook of Emotion Regulation", "editor" : [ { "dropping-particle" : "", "family" : "James J. Gross", "given" : "", "non-dropping-particle" : "", "parse-names" : false, "suffix" : "" } ], "id" : "ITEM-1", "issued" : { "date-parts" : [ [ "2007" ] ] }, "page" : "429-445", "publisher" : "Guilford Press", "publisher-place" : "New York, NY", "title" : "Handbook of Emotion Regulation", "type" : "chapter" }, "uris" : [ "http://www.mendeley.com/documents/?uuid=1b8e8abc-4fa8-4bb2-b793-caee09f3330c" ] } ], "mendeley" : { "formattedCitation" : "(J. A. Bargh &amp; Williams, 2007)", "manualFormatting" : "Bargh and Williams (2007)", "plainTextFormattedCitation" : "(J. A. Bargh &amp; Williams, 2007)", "previouslyFormattedCitation" : "(J. A. Bargh &amp; Williams, 2007)" }, "properties" : { "noteIndex" : 0 }, "schema" : "https://github.com/citation-style-language/schema/raw/master/csl-citation.json" }</w:instrText>
      </w:r>
      <w:r>
        <w:fldChar w:fldCharType="separate"/>
      </w:r>
      <w:r w:rsidRPr="002138E2">
        <w:rPr>
          <w:noProof/>
        </w:rPr>
        <w:t xml:space="preserve">Bargh </w:t>
      </w:r>
      <w:r>
        <w:rPr>
          <w:noProof/>
        </w:rPr>
        <w:t>and</w:t>
      </w:r>
      <w:r w:rsidRPr="002138E2">
        <w:rPr>
          <w:noProof/>
        </w:rPr>
        <w:t xml:space="preserve"> Williams </w:t>
      </w:r>
      <w:r>
        <w:rPr>
          <w:noProof/>
        </w:rPr>
        <w:t>(</w:t>
      </w:r>
      <w:r w:rsidRPr="002138E2">
        <w:rPr>
          <w:noProof/>
        </w:rPr>
        <w:t>2007)</w:t>
      </w:r>
      <w:r>
        <w:fldChar w:fldCharType="end"/>
      </w:r>
      <w:r>
        <w:t xml:space="preserve"> focus mainly on four features: efficiency, lack of awareness, lack of control, and little or no intention.</w:t>
      </w:r>
    </w:p>
  </w:footnote>
  <w:footnote w:id="37">
    <w:p w:rsidR="0027265D" w:rsidRPr="00413370" w:rsidRDefault="0027265D">
      <w:pPr>
        <w:pStyle w:val="Textonotapie"/>
      </w:pPr>
      <w:r>
        <w:rPr>
          <w:rStyle w:val="Refdenotaalpie"/>
        </w:rPr>
        <w:footnoteRef/>
      </w:r>
      <w:r>
        <w:t xml:space="preserve"> The data of the back-up was not included in the analyses.</w:t>
      </w:r>
    </w:p>
  </w:footnote>
  <w:footnote w:id="38">
    <w:p w:rsidR="0027265D" w:rsidRPr="0037449C" w:rsidRDefault="0027265D" w:rsidP="00AD4FD8">
      <w:pPr>
        <w:pStyle w:val="Textonotapie"/>
        <w:jc w:val="both"/>
      </w:pPr>
      <w:r w:rsidRPr="00973AEB">
        <w:rPr>
          <w:rStyle w:val="Refdenotaalpie"/>
        </w:rPr>
        <w:footnoteRef/>
      </w:r>
      <w:r>
        <w:t xml:space="preserve"> The researcher had a model of the tables and seats for the event, where, for each table there were half the places for women and half the places for men. The places where numbered from 1 until 17 for both men and women. From the places for the women and for the men respectively, half of them were signalled as belonging to the high cognitive load condition and the other half to the low cognitive load condition. The researcher had two boxes with the IDs of the participants (one for men and one for women) from which she drew one person at a time and assigned it to one of the seats on the model, starting from number 1 and finishing at 17. </w:t>
      </w:r>
    </w:p>
  </w:footnote>
  <w:footnote w:id="39">
    <w:p w:rsidR="0027265D" w:rsidRPr="00395FF3" w:rsidRDefault="0027265D" w:rsidP="00FB1389">
      <w:pPr>
        <w:pStyle w:val="Textonotapie"/>
        <w:jc w:val="both"/>
      </w:pPr>
      <w:r w:rsidRPr="00973AEB">
        <w:rPr>
          <w:rStyle w:val="Refdenotaalpie"/>
        </w:rPr>
        <w:footnoteRef/>
      </w:r>
      <w:r>
        <w:t xml:space="preserve"> The welcome document also informed participants their dates would be audio-recorded. Therefore recording devices were placed in the middle of the table between some pair of participants (man and woman).  Unfortunately, the event and place were so noisy that it was not possible to use the recordings.</w:t>
      </w:r>
    </w:p>
  </w:footnote>
  <w:footnote w:id="40">
    <w:p w:rsidR="0027265D" w:rsidRPr="00B678FC" w:rsidRDefault="0027265D" w:rsidP="00FB1389">
      <w:pPr>
        <w:pStyle w:val="Textonotapie"/>
      </w:pPr>
      <w:r w:rsidRPr="00973AEB">
        <w:rPr>
          <w:rStyle w:val="Refdenotaalpie"/>
        </w:rPr>
        <w:footnoteRef/>
      </w:r>
      <w:r>
        <w:t xml:space="preserve"> Mental energy was also monitored as research has found that people that exert self-control report being more fatigued than people that do not (</w:t>
      </w:r>
      <w:proofErr w:type="spellStart"/>
      <w:r>
        <w:t>Muraven</w:t>
      </w:r>
      <w:proofErr w:type="spellEnd"/>
      <w:r>
        <w:t xml:space="preserve"> et al., 1998).</w:t>
      </w:r>
    </w:p>
  </w:footnote>
  <w:footnote w:id="41">
    <w:p w:rsidR="0027265D" w:rsidRPr="00C37563" w:rsidRDefault="0027265D" w:rsidP="00FB1389">
      <w:pPr>
        <w:pStyle w:val="Textonotapie"/>
        <w:jc w:val="both"/>
      </w:pPr>
      <w:r w:rsidRPr="00973AEB">
        <w:rPr>
          <w:rStyle w:val="Refdenotaalpie"/>
        </w:rPr>
        <w:footnoteRef/>
      </w:r>
      <w:r>
        <w:t xml:space="preserve"> </w:t>
      </w:r>
      <w:proofErr w:type="spellStart"/>
      <w:r>
        <w:t>Friese</w:t>
      </w:r>
      <w:proofErr w:type="spellEnd"/>
      <w:r>
        <w:t xml:space="preserve"> et al. (2008) used an 8-digit number to manipulate the control resource cognitive capacity. Even though, in the present research, participants were given a larger number (11-digits), this number was larger in only one digit than the numbers used by </w:t>
      </w:r>
      <w:proofErr w:type="spellStart"/>
      <w:r>
        <w:t>Friese</w:t>
      </w:r>
      <w:proofErr w:type="spellEnd"/>
      <w:r>
        <w:t xml:space="preserve"> and colleagues. The first 2 digits were always 07, which are the numbers that correspond to mobile phones in the UK which is something people living in the UK know.</w:t>
      </w:r>
    </w:p>
  </w:footnote>
  <w:footnote w:id="42">
    <w:p w:rsidR="0027265D" w:rsidRPr="007762A5" w:rsidRDefault="0027265D" w:rsidP="00FB1389">
      <w:pPr>
        <w:pStyle w:val="Textonotapie"/>
        <w:jc w:val="both"/>
      </w:pPr>
      <w:r w:rsidRPr="00973AEB">
        <w:rPr>
          <w:rStyle w:val="Refdenotaalpie"/>
        </w:rPr>
        <w:footnoteRef/>
      </w:r>
      <w:r>
        <w:t xml:space="preserve"> Although participants were not informed that there was a high and a low cognitive load condition (hence, long and short numbers) it is possible that throughout the event they realised this.</w:t>
      </w:r>
    </w:p>
  </w:footnote>
  <w:footnote w:id="43">
    <w:p w:rsidR="0027265D" w:rsidRPr="005B517A" w:rsidRDefault="0027265D" w:rsidP="00FB1389">
      <w:pPr>
        <w:pStyle w:val="Textonotapie"/>
        <w:jc w:val="both"/>
      </w:pPr>
      <w:r w:rsidRPr="00973AEB">
        <w:rPr>
          <w:rStyle w:val="Refdenotaalpie"/>
        </w:rPr>
        <w:footnoteRef/>
      </w:r>
      <w:r>
        <w:t xml:space="preserve"> The categories of improving and worsening IER were again used in the present study as they are the two kinds of IER most research on IER focuses on (see Chapter 1 section 1.2.3 and 1.4 and Chapter 2 section 2.1.2). </w:t>
      </w:r>
    </w:p>
  </w:footnote>
  <w:footnote w:id="44">
    <w:p w:rsidR="0027265D" w:rsidRDefault="0027265D" w:rsidP="005B6F71">
      <w:pPr>
        <w:pStyle w:val="Textonotapie"/>
        <w:jc w:val="both"/>
      </w:pPr>
      <w:r w:rsidRPr="00973AEB">
        <w:rPr>
          <w:rStyle w:val="Refdenotaalpie"/>
        </w:rPr>
        <w:footnoteRef/>
      </w:r>
      <w:r>
        <w:t xml:space="preserve"> Participants in the experimental condition received a different 11-number digit every time they answered a questionnaire; and participants in the control condition received a different one-digit number every time. </w:t>
      </w:r>
    </w:p>
  </w:footnote>
  <w:footnote w:id="45">
    <w:p w:rsidR="0027265D" w:rsidRPr="00B73AE1" w:rsidRDefault="0027265D" w:rsidP="005B6F71">
      <w:pPr>
        <w:pStyle w:val="Textonotapie"/>
        <w:jc w:val="both"/>
      </w:pPr>
      <w:r w:rsidRPr="00973AEB">
        <w:rPr>
          <w:rStyle w:val="Refdenotaalpie"/>
        </w:rPr>
        <w:footnoteRef/>
      </w:r>
      <w:r>
        <w:t xml:space="preserve"> All the scales included in the pre-event questionnaire were answered by all participants that participated in the speed-dating event. Nevertheless, only the SRHI and the ‘impulse control difficulties’ and the ‘lack of emotional awareness’ factors from the DERS were included in the analyses.</w:t>
      </w:r>
    </w:p>
  </w:footnote>
  <w:footnote w:id="46">
    <w:p w:rsidR="0027265D" w:rsidRPr="00B83568" w:rsidRDefault="0027265D">
      <w:pPr>
        <w:pStyle w:val="Textonotapie"/>
      </w:pPr>
      <w:r>
        <w:rPr>
          <w:rStyle w:val="Refdenotaalpie"/>
        </w:rPr>
        <w:footnoteRef/>
      </w:r>
      <w:r>
        <w:t xml:space="preserve"> Both the DERS and the BEQ include a measure of impulsivity, in the analyses, only the impulse-control subscale was used as it had better internal consistency.</w:t>
      </w:r>
    </w:p>
  </w:footnote>
  <w:footnote w:id="47">
    <w:p w:rsidR="0027265D" w:rsidRPr="00B83568" w:rsidRDefault="0027265D">
      <w:pPr>
        <w:pStyle w:val="Textonotapie"/>
      </w:pPr>
      <w:r>
        <w:rPr>
          <w:rStyle w:val="Refdenotaalpie"/>
        </w:rPr>
        <w:footnoteRef/>
      </w:r>
      <w:r>
        <w:t xml:space="preserve"> The ERQ was not used in the analysis because the responses of participants mainly indicated they used positive IER strategies and the ERQ focuses on the regulation of negative emotions.</w:t>
      </w:r>
    </w:p>
  </w:footnote>
  <w:footnote w:id="48">
    <w:p w:rsidR="0027265D" w:rsidRPr="00E170D5" w:rsidRDefault="0027265D" w:rsidP="00FB1389">
      <w:pPr>
        <w:pStyle w:val="Textonotapie"/>
      </w:pPr>
      <w:r w:rsidRPr="00973AEB">
        <w:rPr>
          <w:rStyle w:val="Refdenotaalpie"/>
        </w:rPr>
        <w:footnoteRef/>
      </w:r>
      <w:r>
        <w:t xml:space="preserve"> The terms ‘actor’ and ‘partner’ will be used throughout the results and discussion sections. </w:t>
      </w:r>
    </w:p>
  </w:footnote>
  <w:footnote w:id="49">
    <w:p w:rsidR="0027265D" w:rsidRPr="008C509C" w:rsidRDefault="0027265D" w:rsidP="00FB1389">
      <w:pPr>
        <w:pStyle w:val="Textonotapie"/>
        <w:jc w:val="both"/>
      </w:pPr>
      <w:r w:rsidRPr="00973AEB">
        <w:rPr>
          <w:rStyle w:val="Refdenotaalpie"/>
        </w:rPr>
        <w:footnoteRef/>
      </w:r>
      <w:r>
        <w:t xml:space="preserve"> Most speed dating events run a series of different events with an average of 22 people per event </w:t>
      </w:r>
      <w:r>
        <w:fldChar w:fldCharType="begin" w:fldLock="1"/>
      </w:r>
      <w:r>
        <w:instrText>ADDIN CSL_CITATION { "citationItems" : [ { "id" : "ITEM-1", "itemData" : { "author" : [ { "dropping-particle" : "", "family" : "Belot", "given" : "Michele", "non-dropping-particle" : "", "parse-names" : false, "suffix" : "" }, { "dropping-particle" : "", "family" : "Francesconi", "given" : "Marco", "non-dropping-particle" : "", "parse-names" : false, "suffix" : "" } ], "container-title" : "IZA Discussion Paper", "id" : "ITEM-1", "issue" : "2377", "issued" : { "date-parts" : [ [ "2006" ] ] }, "title" : "Can anyone be'the'one? Evidence on mate selection from speed dating", "type" : "article-journal" }, "uris" : [ "http://www.mendeley.com/documents/?uuid=3822b3f3-9b60-4479-b765-7d5f16f25167" ] }, { "id" : "ITEM-2", "itemData" : { "DOI" : "10.1111/j.1475-6811.2006.00146.x", "ISSN" : "1350-4126", "abstract" : "Research on initial romantic attraction flourished in the 1960s and 1970s but has now been partially eclipsed by research on close relationships. The authors argue that speed-dating procedures, in which participants attend an event where they experience brief \u2018\u2018dates\u2019\u2019 with a series of potential romantic partners, permit researchers to \u2018\u2018retro- fit\u2019\u2019 the advances of close relationships research to the study of initial romantic attraction. Speed-dating procedures also allow for strong tests of many fundamental attraction-related hypotheses and, via longitudinal follow-ups, could unify the fields of initial romantic attraction and close relationships. This article will help investigators conduct speed-dating studies by addressing the methodological and logistical issues they will face and by illustrating proce- dures with a description of the Northwestern Speed-Dating Study.", "author" : [ { "dropping-particle" : "", "family" : "Finkel", "given" : "Eli J", "non-dropping-particle" : "", "parse-names" : false, "suffix" : "" }, { "dropping-particle" : "", "family" : "Eastwick", "given" : "Paul W", "non-dropping-particle" : "", "parse-names" : false, "suffix" : "" }, { "dropping-particle" : "", "family" : "Matthews", "given" : "Jacob", "non-dropping-particle" : "", "parse-names" : false, "suffix" : "" } ], "container-title" : "Personal Relationships", "id" : "ITEM-2", "issued" : { "date-parts" : [ [ "2007" ] ] }, "page" : "149-166", "title" : "Speed dating as an invaluable tool for studying romantic attraction: A methological primer", "type" : "article-journal", "volume" : "14" }, "uris" : [ "http://www.mendeley.com/documents/?uuid=528da7ed-d308-33f2-a425-66be05accf28" ] } ], "mendeley" : { "formattedCitation" : "(Belot &amp; Francesconi, 2006; Finkel et al., 2007)", "plainTextFormattedCitation" : "(Belot &amp; Francesconi, 2006; Finkel et al., 2007)", "previouslyFormattedCitation" : "(Belot &amp; Francesconi, 2006; Finkel et al., 2007)" }, "properties" : { "noteIndex" : 0 }, "schema" : "https://github.com/citation-style-language/schema/raw/master/csl-citation.json" }</w:instrText>
      </w:r>
      <w:r>
        <w:fldChar w:fldCharType="separate"/>
      </w:r>
      <w:r w:rsidRPr="00973AEB">
        <w:rPr>
          <w:noProof/>
        </w:rPr>
        <w:t>(Belot &amp; Francesconi, 2006; Finkel et al., 2007)</w:t>
      </w:r>
      <w:r>
        <w:fldChar w:fldCharType="end"/>
      </w:r>
      <w:r w:rsidRPr="00973AEB">
        <w:t xml:space="preserve">. </w:t>
      </w:r>
      <w:r>
        <w:t xml:space="preserve">In the present study, as the space where the speed dating was conducted belonged to the university, special permission was needed to conduct the event and it would have been difficult to conduct a series of events. Thus, the biggest sample that could be collected for this event was gathered together on the same day. </w:t>
      </w:r>
    </w:p>
  </w:footnote>
  <w:footnote w:id="50">
    <w:p w:rsidR="0027265D" w:rsidRPr="000606B0" w:rsidRDefault="0027265D" w:rsidP="009F491E">
      <w:pPr>
        <w:pStyle w:val="Textonotapie"/>
        <w:jc w:val="both"/>
      </w:pPr>
      <w:r w:rsidRPr="00973AEB">
        <w:rPr>
          <w:rStyle w:val="Refdenotaalpie"/>
        </w:rPr>
        <w:footnoteRef/>
      </w:r>
      <w:r>
        <w:t xml:space="preserve"> Participants who had a match were contacted via email and passed the contact detail of their match or matches. It was up to them whether or not to arrange a second date.</w:t>
      </w:r>
    </w:p>
  </w:footnote>
  <w:footnote w:id="51">
    <w:p w:rsidR="0027265D" w:rsidRPr="00A87D0D" w:rsidRDefault="0027265D" w:rsidP="0095362C">
      <w:pPr>
        <w:pStyle w:val="Textonotapie"/>
        <w:jc w:val="both"/>
      </w:pPr>
      <w:r w:rsidRPr="00973AEB">
        <w:rPr>
          <w:rStyle w:val="Refdenotaalpie"/>
        </w:rPr>
        <w:footnoteRef/>
      </w:r>
      <w:r>
        <w:t xml:space="preserve"> </w:t>
      </w:r>
      <w:r w:rsidRPr="00A87D0D">
        <w:t xml:space="preserve">As the success in observing an effect of the </w:t>
      </w:r>
      <w:r>
        <w:t xml:space="preserve">condition participants were assigned to </w:t>
      </w:r>
      <w:r w:rsidRPr="00A87D0D">
        <w:t xml:space="preserve">on the use of IER strategies depended on the participants being actually engaged in the cognitive load task (i.e. actively trying to remember the number that was given to them), only the cases where the participants reported remembering more than four digits were selected. Gilbert and </w:t>
      </w:r>
      <w:proofErr w:type="spellStart"/>
      <w:r w:rsidRPr="00A87D0D">
        <w:t>Hixon</w:t>
      </w:r>
      <w:proofErr w:type="spellEnd"/>
      <w:r w:rsidRPr="00A87D0D">
        <w:t xml:space="preserve"> (1991) established this criterion as a cut-off point to suggest that participants were actually trying to remember the number that was given to them.</w:t>
      </w:r>
    </w:p>
  </w:footnote>
  <w:footnote w:id="52">
    <w:p w:rsidR="0027265D" w:rsidRPr="00F710A4" w:rsidRDefault="0027265D" w:rsidP="00FB1389">
      <w:pPr>
        <w:pStyle w:val="Textonotapie"/>
        <w:jc w:val="both"/>
      </w:pPr>
      <w:r w:rsidRPr="00973AEB">
        <w:rPr>
          <w:rStyle w:val="Refdenotaalpie"/>
        </w:rPr>
        <w:footnoteRef/>
      </w:r>
      <w:r>
        <w:t xml:space="preserve"> There was </w:t>
      </w:r>
      <w:r>
        <w:rPr>
          <w:i/>
        </w:rPr>
        <w:t xml:space="preserve">N </w:t>
      </w:r>
      <w:r>
        <w:t xml:space="preserve">= 186 in the repeated measures ANOVA because the last dependent variable (effort to make the partner feel bad) had missing cases. Nevertheless, in the subsequent one-way ANOVAs </w:t>
      </w:r>
      <w:r>
        <w:rPr>
          <w:i/>
        </w:rPr>
        <w:t xml:space="preserve">N </w:t>
      </w:r>
      <w:r>
        <w:t>= 191.</w:t>
      </w:r>
    </w:p>
  </w:footnote>
  <w:footnote w:id="53">
    <w:p w:rsidR="0027265D" w:rsidRPr="00874C99" w:rsidRDefault="0027265D" w:rsidP="00FB1389">
      <w:pPr>
        <w:pStyle w:val="Textonotapie"/>
        <w:jc w:val="both"/>
      </w:pPr>
      <w:r w:rsidRPr="00973AEB">
        <w:rPr>
          <w:rStyle w:val="Refdenotaalpie"/>
        </w:rPr>
        <w:footnoteRef/>
      </w:r>
      <w:r>
        <w:t xml:space="preserve"> </w:t>
      </w:r>
      <w:r w:rsidRPr="00874C99">
        <w:t xml:space="preserve">The </w:t>
      </w:r>
      <w:r>
        <w:t xml:space="preserve">actor </w:t>
      </w:r>
      <w:r w:rsidRPr="00874C99">
        <w:t xml:space="preserve">scores reporting on </w:t>
      </w:r>
      <w:r>
        <w:t>his/her</w:t>
      </w:r>
      <w:r w:rsidRPr="00874C99">
        <w:t xml:space="preserve"> use of IER to make their partners feel good were divided between</w:t>
      </w:r>
      <w:r>
        <w:t xml:space="preserve"> “</w:t>
      </w:r>
      <w:r w:rsidRPr="00874C99">
        <w:t>strong use of IER</w:t>
      </w:r>
      <w:r>
        <w:t>”</w:t>
      </w:r>
      <w:r w:rsidRPr="00874C99">
        <w:t xml:space="preserve"> and </w:t>
      </w:r>
      <w:r>
        <w:t>“</w:t>
      </w:r>
      <w:r w:rsidRPr="00874C99">
        <w:t>weak use of IER</w:t>
      </w:r>
      <w:r>
        <w:t>”</w:t>
      </w:r>
      <w:r w:rsidRPr="00874C99">
        <w:t xml:space="preserve"> to make the partner feel good using the median </w:t>
      </w:r>
      <w:r>
        <w:t xml:space="preserve">= 2.83 </w:t>
      </w:r>
      <w:r w:rsidRPr="00874C99">
        <w:t>as the cut-off point</w:t>
      </w:r>
      <w:r>
        <w:t>.</w:t>
      </w:r>
    </w:p>
  </w:footnote>
  <w:footnote w:id="54">
    <w:p w:rsidR="0027265D" w:rsidRPr="0058279C" w:rsidRDefault="0027265D" w:rsidP="00FB1389">
      <w:pPr>
        <w:pStyle w:val="Textonotapie"/>
        <w:jc w:val="both"/>
      </w:pPr>
      <w:r w:rsidRPr="00973AEB">
        <w:rPr>
          <w:rStyle w:val="Refdenotaalpie"/>
        </w:rPr>
        <w:footnoteRef/>
      </w:r>
      <w:r>
        <w:t xml:space="preserve"> Selecting the cases where the partner was engaged on the cognitive load task might have affected the partner’s perception on the actors use of IER, making it more inaccurate, thus, as a check test, the GLMM was run without filtering the partners that were engaged in the cognitive load task, finding the same results, namely, a non-significant interaction between condition and number of date over the partner’s perception of the actor using IER (</w:t>
      </w:r>
      <w:r>
        <w:rPr>
          <w:i/>
        </w:rPr>
        <w:t xml:space="preserve">F </w:t>
      </w:r>
      <w:r>
        <w:t xml:space="preserve">(11,174) = .80, </w:t>
      </w:r>
      <w:r>
        <w:rPr>
          <w:i/>
        </w:rPr>
        <w:t xml:space="preserve">p </w:t>
      </w:r>
      <w:r>
        <w:t>&gt; .05).</w:t>
      </w:r>
    </w:p>
  </w:footnote>
  <w:footnote w:id="55">
    <w:p w:rsidR="0027265D" w:rsidRPr="00B60B75" w:rsidRDefault="0027265D" w:rsidP="00975811">
      <w:pPr>
        <w:pStyle w:val="Textonotapie"/>
        <w:jc w:val="both"/>
      </w:pPr>
      <w:r w:rsidRPr="00973AEB">
        <w:rPr>
          <w:rStyle w:val="Refdenotaalpie"/>
        </w:rPr>
        <w:footnoteRef/>
      </w:r>
      <w:r>
        <w:t xml:space="preserve"> </w:t>
      </w:r>
      <w:r w:rsidRPr="00B60B75">
        <w:t>The four items exploring affect provided an overall score of affect with lower scores indicating negative affect and higher scores indicat</w:t>
      </w:r>
      <w:r>
        <w:t>ing</w:t>
      </w:r>
      <w:r w:rsidRPr="00B60B75">
        <w:t xml:space="preserve"> positive affect.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3046"/>
      <w:docPartObj>
        <w:docPartGallery w:val="Page Numbers (Top of Page)"/>
        <w:docPartUnique/>
      </w:docPartObj>
    </w:sdtPr>
    <w:sdtContent>
      <w:p w:rsidR="0027265D" w:rsidRDefault="0027265D" w:rsidP="00D05EBD">
        <w:pPr>
          <w:pStyle w:val="Encabezado"/>
        </w:pPr>
        <w:r>
          <w:t xml:space="preserve">AUTOMATIC </w:t>
        </w:r>
        <w:r>
          <w:rPr>
            <w:lang w:val="es-MX"/>
          </w:rPr>
          <w:t>INTERPERSONAL EMOTION REGULATION</w:t>
        </w:r>
        <w:r>
          <w:rPr>
            <w:lang w:val="es-MX"/>
          </w:rPr>
          <w:tab/>
        </w:r>
        <w:r>
          <w:rPr>
            <w:lang w:val="es-MX"/>
          </w:rPr>
          <w:tab/>
        </w:r>
        <w:fldSimple w:instr=" PAGE   \* MERGEFORMAT ">
          <w:r w:rsidR="00BC6941">
            <w:rPr>
              <w:noProof/>
            </w:rPr>
            <w:t>15</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6321"/>
    <w:multiLevelType w:val="hybridMultilevel"/>
    <w:tmpl w:val="615A4306"/>
    <w:lvl w:ilvl="0" w:tplc="96607A56">
      <w:start w:val="1"/>
      <w:numFmt w:val="decimal"/>
      <w:lvlText w:val="%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B45736"/>
    <w:multiLevelType w:val="hybridMultilevel"/>
    <w:tmpl w:val="5D62EDFE"/>
    <w:lvl w:ilvl="0" w:tplc="7624D53E">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A9F1542"/>
    <w:multiLevelType w:val="hybridMultilevel"/>
    <w:tmpl w:val="952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4F1235"/>
    <w:multiLevelType w:val="hybridMultilevel"/>
    <w:tmpl w:val="0746757E"/>
    <w:lvl w:ilvl="0" w:tplc="DFE842C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CEA0BF6"/>
    <w:multiLevelType w:val="multilevel"/>
    <w:tmpl w:val="0409001D"/>
    <w:numStyleLink w:val="Singlepunch"/>
  </w:abstractNum>
  <w:abstractNum w:abstractNumId="5">
    <w:nsid w:val="0D760848"/>
    <w:multiLevelType w:val="hybridMultilevel"/>
    <w:tmpl w:val="88E64B84"/>
    <w:lvl w:ilvl="0" w:tplc="185CFE1E">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BB2206"/>
    <w:multiLevelType w:val="hybridMultilevel"/>
    <w:tmpl w:val="AA68085C"/>
    <w:lvl w:ilvl="0" w:tplc="59D6CD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8E1CE2"/>
    <w:multiLevelType w:val="multilevel"/>
    <w:tmpl w:val="0409001D"/>
    <w:numStyleLink w:val="Multipunch"/>
  </w:abstractNum>
  <w:abstractNum w:abstractNumId="8">
    <w:nsid w:val="2A372E4B"/>
    <w:multiLevelType w:val="hybridMultilevel"/>
    <w:tmpl w:val="20E207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5D6048"/>
    <w:multiLevelType w:val="hybridMultilevel"/>
    <w:tmpl w:val="EB3E3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D9D1EC9"/>
    <w:multiLevelType w:val="hybridMultilevel"/>
    <w:tmpl w:val="A0C058B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827D1C"/>
    <w:multiLevelType w:val="hybridMultilevel"/>
    <w:tmpl w:val="194E1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83266A"/>
    <w:multiLevelType w:val="hybridMultilevel"/>
    <w:tmpl w:val="88E64B84"/>
    <w:lvl w:ilvl="0" w:tplc="185CFE1E">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F796D13"/>
    <w:multiLevelType w:val="hybridMultilevel"/>
    <w:tmpl w:val="2408CD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25D1FD3"/>
    <w:multiLevelType w:val="hybridMultilevel"/>
    <w:tmpl w:val="2408CD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64E3F0C"/>
    <w:multiLevelType w:val="hybridMultilevel"/>
    <w:tmpl w:val="5B7C2804"/>
    <w:lvl w:ilvl="0" w:tplc="4F12B506">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A1473AF"/>
    <w:multiLevelType w:val="hybridMultilevel"/>
    <w:tmpl w:val="410E0A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FB43D00"/>
    <w:multiLevelType w:val="hybridMultilevel"/>
    <w:tmpl w:val="908E2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4E737E1"/>
    <w:multiLevelType w:val="hybridMultilevel"/>
    <w:tmpl w:val="BCD49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6286750"/>
    <w:multiLevelType w:val="hybridMultilevel"/>
    <w:tmpl w:val="3210EE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98440DF"/>
    <w:multiLevelType w:val="hybridMultilevel"/>
    <w:tmpl w:val="7D549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DBC051F"/>
    <w:multiLevelType w:val="hybridMultilevel"/>
    <w:tmpl w:val="C15EE8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DD95B18"/>
    <w:multiLevelType w:val="hybridMultilevel"/>
    <w:tmpl w:val="F7005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5063635"/>
    <w:multiLevelType w:val="hybridMultilevel"/>
    <w:tmpl w:val="4370824C"/>
    <w:lvl w:ilvl="0" w:tplc="171E37F6">
      <w:start w:val="5"/>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A525E5"/>
    <w:multiLevelType w:val="hybridMultilevel"/>
    <w:tmpl w:val="50B47A0C"/>
    <w:lvl w:ilvl="0" w:tplc="9F783B6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7B4E3A53"/>
    <w:multiLevelType w:val="hybridMultilevel"/>
    <w:tmpl w:val="CDC47110"/>
    <w:lvl w:ilvl="0" w:tplc="06C88974">
      <w:start w:val="1"/>
      <w:numFmt w:val="decimal"/>
      <w:lvlText w:val="%1."/>
      <w:lvlJc w:val="left"/>
      <w:pPr>
        <w:ind w:left="1680" w:hanging="9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7B844CD0"/>
    <w:multiLevelType w:val="hybridMultilevel"/>
    <w:tmpl w:val="D2EC3CC8"/>
    <w:lvl w:ilvl="0" w:tplc="A0BA822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
  </w:num>
  <w:num w:numId="3">
    <w:abstractNumId w:val="26"/>
  </w:num>
  <w:num w:numId="4">
    <w:abstractNumId w:val="28"/>
  </w:num>
  <w:num w:numId="5">
    <w:abstractNumId w:val="8"/>
  </w:num>
  <w:num w:numId="6">
    <w:abstractNumId w:val="9"/>
  </w:num>
  <w:num w:numId="7">
    <w:abstractNumId w:val="12"/>
  </w:num>
  <w:num w:numId="8">
    <w:abstractNumId w:val="6"/>
  </w:num>
  <w:num w:numId="9">
    <w:abstractNumId w:val="27"/>
  </w:num>
  <w:num w:numId="10">
    <w:abstractNumId w:val="21"/>
  </w:num>
  <w:num w:numId="11">
    <w:abstractNumId w:val="18"/>
  </w:num>
  <w:num w:numId="12">
    <w:abstractNumId w:val="2"/>
  </w:num>
  <w:num w:numId="13">
    <w:abstractNumId w:val="22"/>
  </w:num>
  <w:num w:numId="14">
    <w:abstractNumId w:val="25"/>
  </w:num>
  <w:num w:numId="15">
    <w:abstractNumId w:val="17"/>
  </w:num>
  <w:num w:numId="16">
    <w:abstractNumId w:val="13"/>
  </w:num>
  <w:num w:numId="17">
    <w:abstractNumId w:val="5"/>
  </w:num>
  <w:num w:numId="18">
    <w:abstractNumId w:val="3"/>
  </w:num>
  <w:num w:numId="19">
    <w:abstractNumId w:val="23"/>
  </w:num>
  <w:num w:numId="20">
    <w:abstractNumId w:val="15"/>
  </w:num>
  <w:num w:numId="21">
    <w:abstractNumId w:val="11"/>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0"/>
  </w:num>
  <w:num w:numId="25">
    <w:abstractNumId w:val="10"/>
  </w:num>
  <w:num w:numId="26">
    <w:abstractNumId w:val="7"/>
  </w:num>
  <w:num w:numId="27">
    <w:abstractNumId w:val="16"/>
  </w:num>
  <w:num w:numId="28">
    <w:abstractNumId w:val="4"/>
  </w:num>
  <w:num w:numId="29">
    <w:abstractNumId w:val="0"/>
  </w:num>
  <w:num w:numId="3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B1389"/>
    <w:rsid w:val="00004AF2"/>
    <w:rsid w:val="00007495"/>
    <w:rsid w:val="00010706"/>
    <w:rsid w:val="00012752"/>
    <w:rsid w:val="00016EFC"/>
    <w:rsid w:val="00020C8D"/>
    <w:rsid w:val="000210B0"/>
    <w:rsid w:val="0002135B"/>
    <w:rsid w:val="00021532"/>
    <w:rsid w:val="00022609"/>
    <w:rsid w:val="00023887"/>
    <w:rsid w:val="00024DFE"/>
    <w:rsid w:val="00030EE9"/>
    <w:rsid w:val="00032F03"/>
    <w:rsid w:val="00045700"/>
    <w:rsid w:val="00050824"/>
    <w:rsid w:val="00051827"/>
    <w:rsid w:val="00056666"/>
    <w:rsid w:val="00056B79"/>
    <w:rsid w:val="00060262"/>
    <w:rsid w:val="000728C8"/>
    <w:rsid w:val="00074546"/>
    <w:rsid w:val="00075D4A"/>
    <w:rsid w:val="00075FCC"/>
    <w:rsid w:val="00081870"/>
    <w:rsid w:val="00081EA5"/>
    <w:rsid w:val="00083A8C"/>
    <w:rsid w:val="000845F4"/>
    <w:rsid w:val="00084AAA"/>
    <w:rsid w:val="000900CF"/>
    <w:rsid w:val="00090B33"/>
    <w:rsid w:val="000914C4"/>
    <w:rsid w:val="00093982"/>
    <w:rsid w:val="0009506C"/>
    <w:rsid w:val="00096D81"/>
    <w:rsid w:val="000A09B8"/>
    <w:rsid w:val="000A3A60"/>
    <w:rsid w:val="000A420F"/>
    <w:rsid w:val="000A48A8"/>
    <w:rsid w:val="000A4A7F"/>
    <w:rsid w:val="000A519A"/>
    <w:rsid w:val="000B0AFB"/>
    <w:rsid w:val="000B6F33"/>
    <w:rsid w:val="000C106C"/>
    <w:rsid w:val="000C3976"/>
    <w:rsid w:val="000C6909"/>
    <w:rsid w:val="000C695C"/>
    <w:rsid w:val="000D0F25"/>
    <w:rsid w:val="000D42E3"/>
    <w:rsid w:val="000E40CD"/>
    <w:rsid w:val="000E6406"/>
    <w:rsid w:val="000E796D"/>
    <w:rsid w:val="000E7F2C"/>
    <w:rsid w:val="000F38F6"/>
    <w:rsid w:val="0010015F"/>
    <w:rsid w:val="00101B6E"/>
    <w:rsid w:val="0010552E"/>
    <w:rsid w:val="00111C36"/>
    <w:rsid w:val="00115EE8"/>
    <w:rsid w:val="001175CB"/>
    <w:rsid w:val="00117EA6"/>
    <w:rsid w:val="00123FBC"/>
    <w:rsid w:val="001272C8"/>
    <w:rsid w:val="001275A0"/>
    <w:rsid w:val="00132A7D"/>
    <w:rsid w:val="00136B7F"/>
    <w:rsid w:val="00137DB1"/>
    <w:rsid w:val="00140EE0"/>
    <w:rsid w:val="00142B59"/>
    <w:rsid w:val="00143DCF"/>
    <w:rsid w:val="00144B25"/>
    <w:rsid w:val="00152249"/>
    <w:rsid w:val="001548F3"/>
    <w:rsid w:val="00154FFD"/>
    <w:rsid w:val="001623AB"/>
    <w:rsid w:val="001623C1"/>
    <w:rsid w:val="00165CFD"/>
    <w:rsid w:val="00176C5E"/>
    <w:rsid w:val="001811C1"/>
    <w:rsid w:val="001830C5"/>
    <w:rsid w:val="00185437"/>
    <w:rsid w:val="00187B0B"/>
    <w:rsid w:val="00197DCF"/>
    <w:rsid w:val="001A48EF"/>
    <w:rsid w:val="001A625F"/>
    <w:rsid w:val="001A798E"/>
    <w:rsid w:val="001A7DB4"/>
    <w:rsid w:val="001B0682"/>
    <w:rsid w:val="001B142F"/>
    <w:rsid w:val="001B52FD"/>
    <w:rsid w:val="001B6794"/>
    <w:rsid w:val="001B7EE7"/>
    <w:rsid w:val="001C3CE6"/>
    <w:rsid w:val="001C42F5"/>
    <w:rsid w:val="001C5003"/>
    <w:rsid w:val="001C52D6"/>
    <w:rsid w:val="001C5CFC"/>
    <w:rsid w:val="001D193C"/>
    <w:rsid w:val="001D3E14"/>
    <w:rsid w:val="001D52FB"/>
    <w:rsid w:val="001D6C0D"/>
    <w:rsid w:val="001E0B0A"/>
    <w:rsid w:val="001E16A1"/>
    <w:rsid w:val="00201946"/>
    <w:rsid w:val="00204C96"/>
    <w:rsid w:val="0021186E"/>
    <w:rsid w:val="00211FB2"/>
    <w:rsid w:val="002138E2"/>
    <w:rsid w:val="002159B6"/>
    <w:rsid w:val="0022246D"/>
    <w:rsid w:val="002227F1"/>
    <w:rsid w:val="0022461E"/>
    <w:rsid w:val="002264CA"/>
    <w:rsid w:val="00226D6C"/>
    <w:rsid w:val="00231F9F"/>
    <w:rsid w:val="002339D3"/>
    <w:rsid w:val="002341D1"/>
    <w:rsid w:val="00241B23"/>
    <w:rsid w:val="00242A0C"/>
    <w:rsid w:val="00245444"/>
    <w:rsid w:val="00253808"/>
    <w:rsid w:val="00254188"/>
    <w:rsid w:val="00256755"/>
    <w:rsid w:val="002569BD"/>
    <w:rsid w:val="00261E90"/>
    <w:rsid w:val="002649F1"/>
    <w:rsid w:val="0026665C"/>
    <w:rsid w:val="00266E28"/>
    <w:rsid w:val="00270641"/>
    <w:rsid w:val="0027225D"/>
    <w:rsid w:val="0027265D"/>
    <w:rsid w:val="00272E3C"/>
    <w:rsid w:val="002743EF"/>
    <w:rsid w:val="00274C38"/>
    <w:rsid w:val="00281D53"/>
    <w:rsid w:val="00286A7F"/>
    <w:rsid w:val="00291E63"/>
    <w:rsid w:val="0029247B"/>
    <w:rsid w:val="00294FB3"/>
    <w:rsid w:val="00296320"/>
    <w:rsid w:val="00297E06"/>
    <w:rsid w:val="002A2BE4"/>
    <w:rsid w:val="002A3B4D"/>
    <w:rsid w:val="002A4399"/>
    <w:rsid w:val="002A7308"/>
    <w:rsid w:val="002A7582"/>
    <w:rsid w:val="002A79E5"/>
    <w:rsid w:val="002B002D"/>
    <w:rsid w:val="002B1614"/>
    <w:rsid w:val="002B44D5"/>
    <w:rsid w:val="002C1624"/>
    <w:rsid w:val="002C32B7"/>
    <w:rsid w:val="002C5C71"/>
    <w:rsid w:val="002D15AF"/>
    <w:rsid w:val="002D3896"/>
    <w:rsid w:val="002D3BBD"/>
    <w:rsid w:val="002D45C9"/>
    <w:rsid w:val="002D53A1"/>
    <w:rsid w:val="002D5845"/>
    <w:rsid w:val="002D5AE8"/>
    <w:rsid w:val="002E431C"/>
    <w:rsid w:val="002F11A3"/>
    <w:rsid w:val="002F6AF0"/>
    <w:rsid w:val="00304FD1"/>
    <w:rsid w:val="00307C98"/>
    <w:rsid w:val="00311A80"/>
    <w:rsid w:val="00314860"/>
    <w:rsid w:val="0031622B"/>
    <w:rsid w:val="003210F6"/>
    <w:rsid w:val="00322E9E"/>
    <w:rsid w:val="00331277"/>
    <w:rsid w:val="00336E46"/>
    <w:rsid w:val="00341DD8"/>
    <w:rsid w:val="0034515E"/>
    <w:rsid w:val="00347D7E"/>
    <w:rsid w:val="003510F5"/>
    <w:rsid w:val="003548F5"/>
    <w:rsid w:val="003552D5"/>
    <w:rsid w:val="00356949"/>
    <w:rsid w:val="00356B93"/>
    <w:rsid w:val="003620E5"/>
    <w:rsid w:val="003656B6"/>
    <w:rsid w:val="003665CE"/>
    <w:rsid w:val="00367A7E"/>
    <w:rsid w:val="00370136"/>
    <w:rsid w:val="00370B0A"/>
    <w:rsid w:val="00372E88"/>
    <w:rsid w:val="00375BED"/>
    <w:rsid w:val="003810C5"/>
    <w:rsid w:val="00384779"/>
    <w:rsid w:val="00385EF1"/>
    <w:rsid w:val="00387D05"/>
    <w:rsid w:val="00393E36"/>
    <w:rsid w:val="00394D8A"/>
    <w:rsid w:val="00397DD9"/>
    <w:rsid w:val="003A028D"/>
    <w:rsid w:val="003A22D5"/>
    <w:rsid w:val="003A34C3"/>
    <w:rsid w:val="003B282D"/>
    <w:rsid w:val="003B6F19"/>
    <w:rsid w:val="003B7252"/>
    <w:rsid w:val="003C0500"/>
    <w:rsid w:val="003C532B"/>
    <w:rsid w:val="003C70B0"/>
    <w:rsid w:val="003D66CA"/>
    <w:rsid w:val="003E106B"/>
    <w:rsid w:val="003E2E54"/>
    <w:rsid w:val="003E37A8"/>
    <w:rsid w:val="003E575F"/>
    <w:rsid w:val="003F0613"/>
    <w:rsid w:val="003F1A74"/>
    <w:rsid w:val="003F3613"/>
    <w:rsid w:val="003F7E40"/>
    <w:rsid w:val="00402CA7"/>
    <w:rsid w:val="00405B04"/>
    <w:rsid w:val="00412D0A"/>
    <w:rsid w:val="00412EB5"/>
    <w:rsid w:val="00413370"/>
    <w:rsid w:val="00421A5C"/>
    <w:rsid w:val="00423C3C"/>
    <w:rsid w:val="0042410E"/>
    <w:rsid w:val="00424711"/>
    <w:rsid w:val="0042630E"/>
    <w:rsid w:val="004347AE"/>
    <w:rsid w:val="004357F1"/>
    <w:rsid w:val="00435F39"/>
    <w:rsid w:val="00442362"/>
    <w:rsid w:val="00442E51"/>
    <w:rsid w:val="00447A9F"/>
    <w:rsid w:val="00456968"/>
    <w:rsid w:val="00462511"/>
    <w:rsid w:val="004706E9"/>
    <w:rsid w:val="0047127F"/>
    <w:rsid w:val="00474AA6"/>
    <w:rsid w:val="00474E80"/>
    <w:rsid w:val="004772B2"/>
    <w:rsid w:val="0048079B"/>
    <w:rsid w:val="00483443"/>
    <w:rsid w:val="00485CE4"/>
    <w:rsid w:val="0048633A"/>
    <w:rsid w:val="00487EA3"/>
    <w:rsid w:val="004901CA"/>
    <w:rsid w:val="00495856"/>
    <w:rsid w:val="004A0F5D"/>
    <w:rsid w:val="004A5217"/>
    <w:rsid w:val="004A5E7A"/>
    <w:rsid w:val="004A7507"/>
    <w:rsid w:val="004B2694"/>
    <w:rsid w:val="004B283F"/>
    <w:rsid w:val="004B322D"/>
    <w:rsid w:val="004B6458"/>
    <w:rsid w:val="004C0581"/>
    <w:rsid w:val="004C0E2A"/>
    <w:rsid w:val="004C2239"/>
    <w:rsid w:val="004C7037"/>
    <w:rsid w:val="004E09EE"/>
    <w:rsid w:val="004E6565"/>
    <w:rsid w:val="004F2755"/>
    <w:rsid w:val="004F3545"/>
    <w:rsid w:val="004F60BE"/>
    <w:rsid w:val="00500AB8"/>
    <w:rsid w:val="00503952"/>
    <w:rsid w:val="00503A8A"/>
    <w:rsid w:val="00505082"/>
    <w:rsid w:val="005056B5"/>
    <w:rsid w:val="00506CB3"/>
    <w:rsid w:val="0050792F"/>
    <w:rsid w:val="00510939"/>
    <w:rsid w:val="00510D6D"/>
    <w:rsid w:val="0052041A"/>
    <w:rsid w:val="00521C34"/>
    <w:rsid w:val="00522BC7"/>
    <w:rsid w:val="00526D55"/>
    <w:rsid w:val="0053749D"/>
    <w:rsid w:val="00540E07"/>
    <w:rsid w:val="00542264"/>
    <w:rsid w:val="00542D2B"/>
    <w:rsid w:val="005432AE"/>
    <w:rsid w:val="00544315"/>
    <w:rsid w:val="005447F4"/>
    <w:rsid w:val="0054678C"/>
    <w:rsid w:val="00551F4B"/>
    <w:rsid w:val="00552F9D"/>
    <w:rsid w:val="00554824"/>
    <w:rsid w:val="00555F94"/>
    <w:rsid w:val="005561A2"/>
    <w:rsid w:val="005606D9"/>
    <w:rsid w:val="00564530"/>
    <w:rsid w:val="00564C02"/>
    <w:rsid w:val="005651E4"/>
    <w:rsid w:val="005679F5"/>
    <w:rsid w:val="00572C26"/>
    <w:rsid w:val="00574EA4"/>
    <w:rsid w:val="0057546B"/>
    <w:rsid w:val="00577B34"/>
    <w:rsid w:val="005805EC"/>
    <w:rsid w:val="0058193B"/>
    <w:rsid w:val="00583147"/>
    <w:rsid w:val="005903ED"/>
    <w:rsid w:val="00590F0E"/>
    <w:rsid w:val="005934B1"/>
    <w:rsid w:val="005A1587"/>
    <w:rsid w:val="005A3B59"/>
    <w:rsid w:val="005A4200"/>
    <w:rsid w:val="005A5A8E"/>
    <w:rsid w:val="005B4F3A"/>
    <w:rsid w:val="005B6F71"/>
    <w:rsid w:val="005B779E"/>
    <w:rsid w:val="005C03B9"/>
    <w:rsid w:val="005C1643"/>
    <w:rsid w:val="005C1E48"/>
    <w:rsid w:val="005C4646"/>
    <w:rsid w:val="005C7693"/>
    <w:rsid w:val="005D275E"/>
    <w:rsid w:val="005E38A8"/>
    <w:rsid w:val="005E6C3C"/>
    <w:rsid w:val="005E7990"/>
    <w:rsid w:val="005F0EB4"/>
    <w:rsid w:val="005F2A65"/>
    <w:rsid w:val="005F5635"/>
    <w:rsid w:val="006028A0"/>
    <w:rsid w:val="00604921"/>
    <w:rsid w:val="00605418"/>
    <w:rsid w:val="00612200"/>
    <w:rsid w:val="00612E90"/>
    <w:rsid w:val="00612ECB"/>
    <w:rsid w:val="00617761"/>
    <w:rsid w:val="006208E8"/>
    <w:rsid w:val="0062297D"/>
    <w:rsid w:val="00630FFD"/>
    <w:rsid w:val="00632A45"/>
    <w:rsid w:val="00632BA9"/>
    <w:rsid w:val="00634BBA"/>
    <w:rsid w:val="00635863"/>
    <w:rsid w:val="0063762E"/>
    <w:rsid w:val="00637E45"/>
    <w:rsid w:val="00640EDF"/>
    <w:rsid w:val="006444C8"/>
    <w:rsid w:val="00644C99"/>
    <w:rsid w:val="00645A5D"/>
    <w:rsid w:val="00666A55"/>
    <w:rsid w:val="006677D6"/>
    <w:rsid w:val="00667ED1"/>
    <w:rsid w:val="006704FB"/>
    <w:rsid w:val="00677F8D"/>
    <w:rsid w:val="006810B8"/>
    <w:rsid w:val="00682409"/>
    <w:rsid w:val="00684AFF"/>
    <w:rsid w:val="00687E21"/>
    <w:rsid w:val="006904CD"/>
    <w:rsid w:val="00691B49"/>
    <w:rsid w:val="00697C2B"/>
    <w:rsid w:val="006A1CDF"/>
    <w:rsid w:val="006A32A0"/>
    <w:rsid w:val="006B026F"/>
    <w:rsid w:val="006B4DDB"/>
    <w:rsid w:val="006B5206"/>
    <w:rsid w:val="006B5A97"/>
    <w:rsid w:val="006B70BF"/>
    <w:rsid w:val="006C3B1E"/>
    <w:rsid w:val="006C3E97"/>
    <w:rsid w:val="006C6A32"/>
    <w:rsid w:val="006D20F5"/>
    <w:rsid w:val="006D435B"/>
    <w:rsid w:val="006E1B37"/>
    <w:rsid w:val="006E2983"/>
    <w:rsid w:val="006E74F2"/>
    <w:rsid w:val="006F3474"/>
    <w:rsid w:val="006F6EC4"/>
    <w:rsid w:val="00703D1A"/>
    <w:rsid w:val="00711002"/>
    <w:rsid w:val="00713CD1"/>
    <w:rsid w:val="00715735"/>
    <w:rsid w:val="00717092"/>
    <w:rsid w:val="00717B9A"/>
    <w:rsid w:val="007304CF"/>
    <w:rsid w:val="00735CD8"/>
    <w:rsid w:val="00736403"/>
    <w:rsid w:val="00742E5D"/>
    <w:rsid w:val="007463A4"/>
    <w:rsid w:val="00747DD0"/>
    <w:rsid w:val="00750347"/>
    <w:rsid w:val="007512C2"/>
    <w:rsid w:val="007546C6"/>
    <w:rsid w:val="00756620"/>
    <w:rsid w:val="007707AA"/>
    <w:rsid w:val="00772705"/>
    <w:rsid w:val="00775B9B"/>
    <w:rsid w:val="007769AD"/>
    <w:rsid w:val="00784B4D"/>
    <w:rsid w:val="0078667D"/>
    <w:rsid w:val="00786DDD"/>
    <w:rsid w:val="00787F32"/>
    <w:rsid w:val="00790180"/>
    <w:rsid w:val="00790C48"/>
    <w:rsid w:val="00791947"/>
    <w:rsid w:val="00795652"/>
    <w:rsid w:val="007A1632"/>
    <w:rsid w:val="007A2DEC"/>
    <w:rsid w:val="007A5EF8"/>
    <w:rsid w:val="007A684A"/>
    <w:rsid w:val="007B247A"/>
    <w:rsid w:val="007B2F20"/>
    <w:rsid w:val="007B52EB"/>
    <w:rsid w:val="007C3CB6"/>
    <w:rsid w:val="007C7588"/>
    <w:rsid w:val="007D017D"/>
    <w:rsid w:val="007D2C47"/>
    <w:rsid w:val="007D4B19"/>
    <w:rsid w:val="007D59CB"/>
    <w:rsid w:val="007E30D7"/>
    <w:rsid w:val="007E5FC8"/>
    <w:rsid w:val="007E7905"/>
    <w:rsid w:val="007F06EE"/>
    <w:rsid w:val="007F47B2"/>
    <w:rsid w:val="007F6ADA"/>
    <w:rsid w:val="0080299B"/>
    <w:rsid w:val="008068AA"/>
    <w:rsid w:val="008078FE"/>
    <w:rsid w:val="00807A4E"/>
    <w:rsid w:val="00812464"/>
    <w:rsid w:val="00812732"/>
    <w:rsid w:val="00813919"/>
    <w:rsid w:val="0081424B"/>
    <w:rsid w:val="00817713"/>
    <w:rsid w:val="00820954"/>
    <w:rsid w:val="00822A0A"/>
    <w:rsid w:val="00826BA4"/>
    <w:rsid w:val="008315E1"/>
    <w:rsid w:val="00831757"/>
    <w:rsid w:val="00831D5C"/>
    <w:rsid w:val="008365B0"/>
    <w:rsid w:val="008402B6"/>
    <w:rsid w:val="00843355"/>
    <w:rsid w:val="00844B08"/>
    <w:rsid w:val="00854178"/>
    <w:rsid w:val="0085444F"/>
    <w:rsid w:val="008547AE"/>
    <w:rsid w:val="008553E5"/>
    <w:rsid w:val="008627D4"/>
    <w:rsid w:val="00863069"/>
    <w:rsid w:val="008636FE"/>
    <w:rsid w:val="0087187E"/>
    <w:rsid w:val="00874093"/>
    <w:rsid w:val="008757FD"/>
    <w:rsid w:val="00876384"/>
    <w:rsid w:val="008804BB"/>
    <w:rsid w:val="008817E4"/>
    <w:rsid w:val="008826DA"/>
    <w:rsid w:val="00883316"/>
    <w:rsid w:val="008844EC"/>
    <w:rsid w:val="00884699"/>
    <w:rsid w:val="00885378"/>
    <w:rsid w:val="008860FE"/>
    <w:rsid w:val="00886568"/>
    <w:rsid w:val="00887EE3"/>
    <w:rsid w:val="0089088E"/>
    <w:rsid w:val="00890A9E"/>
    <w:rsid w:val="00892F2B"/>
    <w:rsid w:val="008943A3"/>
    <w:rsid w:val="0089549E"/>
    <w:rsid w:val="00895D2C"/>
    <w:rsid w:val="008A2510"/>
    <w:rsid w:val="008A2CF4"/>
    <w:rsid w:val="008A3316"/>
    <w:rsid w:val="008A6BF8"/>
    <w:rsid w:val="008B2564"/>
    <w:rsid w:val="008B5573"/>
    <w:rsid w:val="008B6F7E"/>
    <w:rsid w:val="008C197E"/>
    <w:rsid w:val="008C5E2A"/>
    <w:rsid w:val="008C5F1A"/>
    <w:rsid w:val="008D4828"/>
    <w:rsid w:val="008E2C66"/>
    <w:rsid w:val="008E4EC6"/>
    <w:rsid w:val="008E57FC"/>
    <w:rsid w:val="008E633E"/>
    <w:rsid w:val="008F08FE"/>
    <w:rsid w:val="008F2CB0"/>
    <w:rsid w:val="008F31E3"/>
    <w:rsid w:val="008F3BCB"/>
    <w:rsid w:val="008F6BF2"/>
    <w:rsid w:val="00902C46"/>
    <w:rsid w:val="00906761"/>
    <w:rsid w:val="00907230"/>
    <w:rsid w:val="00926E1F"/>
    <w:rsid w:val="009276D8"/>
    <w:rsid w:val="00927FCB"/>
    <w:rsid w:val="00931732"/>
    <w:rsid w:val="009338A0"/>
    <w:rsid w:val="00935D1C"/>
    <w:rsid w:val="009401D7"/>
    <w:rsid w:val="00943A8B"/>
    <w:rsid w:val="00945A70"/>
    <w:rsid w:val="009474F6"/>
    <w:rsid w:val="0095362C"/>
    <w:rsid w:val="009618FB"/>
    <w:rsid w:val="00963F09"/>
    <w:rsid w:val="0096463B"/>
    <w:rsid w:val="0096639E"/>
    <w:rsid w:val="00967341"/>
    <w:rsid w:val="00970613"/>
    <w:rsid w:val="00973AEB"/>
    <w:rsid w:val="00975811"/>
    <w:rsid w:val="00975A0F"/>
    <w:rsid w:val="0098118E"/>
    <w:rsid w:val="009847CB"/>
    <w:rsid w:val="009850D3"/>
    <w:rsid w:val="00987809"/>
    <w:rsid w:val="00991890"/>
    <w:rsid w:val="009967A4"/>
    <w:rsid w:val="00997860"/>
    <w:rsid w:val="009A1572"/>
    <w:rsid w:val="009A61C7"/>
    <w:rsid w:val="009B1DAB"/>
    <w:rsid w:val="009B486D"/>
    <w:rsid w:val="009B4DA3"/>
    <w:rsid w:val="009B6342"/>
    <w:rsid w:val="009B7AB3"/>
    <w:rsid w:val="009B7CCC"/>
    <w:rsid w:val="009C19E5"/>
    <w:rsid w:val="009C56DB"/>
    <w:rsid w:val="009D1A72"/>
    <w:rsid w:val="009D3923"/>
    <w:rsid w:val="009D41E8"/>
    <w:rsid w:val="009E6E4A"/>
    <w:rsid w:val="009E7575"/>
    <w:rsid w:val="009F26D0"/>
    <w:rsid w:val="009F491E"/>
    <w:rsid w:val="009F5D58"/>
    <w:rsid w:val="009F7F80"/>
    <w:rsid w:val="00A02036"/>
    <w:rsid w:val="00A100F8"/>
    <w:rsid w:val="00A11739"/>
    <w:rsid w:val="00A128D5"/>
    <w:rsid w:val="00A130C3"/>
    <w:rsid w:val="00A13296"/>
    <w:rsid w:val="00A1569A"/>
    <w:rsid w:val="00A15BB9"/>
    <w:rsid w:val="00A206A3"/>
    <w:rsid w:val="00A22502"/>
    <w:rsid w:val="00A227FF"/>
    <w:rsid w:val="00A27306"/>
    <w:rsid w:val="00A27A54"/>
    <w:rsid w:val="00A30342"/>
    <w:rsid w:val="00A34C23"/>
    <w:rsid w:val="00A35A27"/>
    <w:rsid w:val="00A3739B"/>
    <w:rsid w:val="00A41BE2"/>
    <w:rsid w:val="00A43C2C"/>
    <w:rsid w:val="00A451BD"/>
    <w:rsid w:val="00A45534"/>
    <w:rsid w:val="00A45A76"/>
    <w:rsid w:val="00A46B68"/>
    <w:rsid w:val="00A47EE2"/>
    <w:rsid w:val="00A50DC6"/>
    <w:rsid w:val="00A52BD2"/>
    <w:rsid w:val="00A5797A"/>
    <w:rsid w:val="00A6427F"/>
    <w:rsid w:val="00A6605A"/>
    <w:rsid w:val="00A67E19"/>
    <w:rsid w:val="00A70000"/>
    <w:rsid w:val="00A739C0"/>
    <w:rsid w:val="00A74FBC"/>
    <w:rsid w:val="00A8119B"/>
    <w:rsid w:val="00A81FB7"/>
    <w:rsid w:val="00A829B5"/>
    <w:rsid w:val="00A82D40"/>
    <w:rsid w:val="00A843B5"/>
    <w:rsid w:val="00A86817"/>
    <w:rsid w:val="00A9592D"/>
    <w:rsid w:val="00AA5207"/>
    <w:rsid w:val="00AA55C6"/>
    <w:rsid w:val="00AA6258"/>
    <w:rsid w:val="00AB0B51"/>
    <w:rsid w:val="00AB4E89"/>
    <w:rsid w:val="00AB6085"/>
    <w:rsid w:val="00AB6B5F"/>
    <w:rsid w:val="00AC0439"/>
    <w:rsid w:val="00AC0CA2"/>
    <w:rsid w:val="00AC1071"/>
    <w:rsid w:val="00AC790E"/>
    <w:rsid w:val="00AC7D1E"/>
    <w:rsid w:val="00AD18CF"/>
    <w:rsid w:val="00AD2A26"/>
    <w:rsid w:val="00AD4FD8"/>
    <w:rsid w:val="00AD532D"/>
    <w:rsid w:val="00AE01C7"/>
    <w:rsid w:val="00AE096C"/>
    <w:rsid w:val="00AE2621"/>
    <w:rsid w:val="00AE640B"/>
    <w:rsid w:val="00AF175A"/>
    <w:rsid w:val="00AF3F16"/>
    <w:rsid w:val="00AF4F90"/>
    <w:rsid w:val="00B00ACC"/>
    <w:rsid w:val="00B01722"/>
    <w:rsid w:val="00B0342B"/>
    <w:rsid w:val="00B04471"/>
    <w:rsid w:val="00B06366"/>
    <w:rsid w:val="00B06E70"/>
    <w:rsid w:val="00B07555"/>
    <w:rsid w:val="00B100D0"/>
    <w:rsid w:val="00B1452B"/>
    <w:rsid w:val="00B15DB3"/>
    <w:rsid w:val="00B20D0A"/>
    <w:rsid w:val="00B23465"/>
    <w:rsid w:val="00B26722"/>
    <w:rsid w:val="00B3516D"/>
    <w:rsid w:val="00B3741B"/>
    <w:rsid w:val="00B42CD1"/>
    <w:rsid w:val="00B43F1F"/>
    <w:rsid w:val="00B44C69"/>
    <w:rsid w:val="00B4650D"/>
    <w:rsid w:val="00B46EF6"/>
    <w:rsid w:val="00B5186C"/>
    <w:rsid w:val="00B520FA"/>
    <w:rsid w:val="00B572C3"/>
    <w:rsid w:val="00B573F8"/>
    <w:rsid w:val="00B61999"/>
    <w:rsid w:val="00B61E3F"/>
    <w:rsid w:val="00B70200"/>
    <w:rsid w:val="00B83568"/>
    <w:rsid w:val="00B85BBB"/>
    <w:rsid w:val="00B8731C"/>
    <w:rsid w:val="00B93386"/>
    <w:rsid w:val="00B93944"/>
    <w:rsid w:val="00B97141"/>
    <w:rsid w:val="00B97860"/>
    <w:rsid w:val="00BA0136"/>
    <w:rsid w:val="00BA19D0"/>
    <w:rsid w:val="00BA1CD6"/>
    <w:rsid w:val="00BA4CE7"/>
    <w:rsid w:val="00BA5BF6"/>
    <w:rsid w:val="00BA7567"/>
    <w:rsid w:val="00BB4F29"/>
    <w:rsid w:val="00BC6941"/>
    <w:rsid w:val="00BD6192"/>
    <w:rsid w:val="00BD711E"/>
    <w:rsid w:val="00BE29B8"/>
    <w:rsid w:val="00BE30C8"/>
    <w:rsid w:val="00BE37EC"/>
    <w:rsid w:val="00BF720B"/>
    <w:rsid w:val="00C039EE"/>
    <w:rsid w:val="00C0462C"/>
    <w:rsid w:val="00C04C18"/>
    <w:rsid w:val="00C06FB0"/>
    <w:rsid w:val="00C07D1E"/>
    <w:rsid w:val="00C13A40"/>
    <w:rsid w:val="00C17531"/>
    <w:rsid w:val="00C1796E"/>
    <w:rsid w:val="00C238CF"/>
    <w:rsid w:val="00C23F22"/>
    <w:rsid w:val="00C24052"/>
    <w:rsid w:val="00C3445D"/>
    <w:rsid w:val="00C349D7"/>
    <w:rsid w:val="00C36D98"/>
    <w:rsid w:val="00C41F21"/>
    <w:rsid w:val="00C455D9"/>
    <w:rsid w:val="00C4682A"/>
    <w:rsid w:val="00C47817"/>
    <w:rsid w:val="00C47968"/>
    <w:rsid w:val="00C47B02"/>
    <w:rsid w:val="00C61160"/>
    <w:rsid w:val="00C635C6"/>
    <w:rsid w:val="00C63C27"/>
    <w:rsid w:val="00C64891"/>
    <w:rsid w:val="00C67313"/>
    <w:rsid w:val="00C707EB"/>
    <w:rsid w:val="00C72E8C"/>
    <w:rsid w:val="00C743E2"/>
    <w:rsid w:val="00C74607"/>
    <w:rsid w:val="00C76E5B"/>
    <w:rsid w:val="00C83D56"/>
    <w:rsid w:val="00C90F62"/>
    <w:rsid w:val="00CA0BCF"/>
    <w:rsid w:val="00CB0466"/>
    <w:rsid w:val="00CB08BD"/>
    <w:rsid w:val="00CB60B9"/>
    <w:rsid w:val="00CC0D19"/>
    <w:rsid w:val="00CD4EAE"/>
    <w:rsid w:val="00CD576E"/>
    <w:rsid w:val="00CE02B4"/>
    <w:rsid w:val="00CE0BAC"/>
    <w:rsid w:val="00CE383B"/>
    <w:rsid w:val="00CE4675"/>
    <w:rsid w:val="00CE54DD"/>
    <w:rsid w:val="00CE6FAE"/>
    <w:rsid w:val="00D04317"/>
    <w:rsid w:val="00D05EBD"/>
    <w:rsid w:val="00D104EE"/>
    <w:rsid w:val="00D1070D"/>
    <w:rsid w:val="00D21F2C"/>
    <w:rsid w:val="00D36B3A"/>
    <w:rsid w:val="00D4149E"/>
    <w:rsid w:val="00D41DE6"/>
    <w:rsid w:val="00D42AD1"/>
    <w:rsid w:val="00D42B8F"/>
    <w:rsid w:val="00D436E6"/>
    <w:rsid w:val="00D50C72"/>
    <w:rsid w:val="00D51FE7"/>
    <w:rsid w:val="00D544AA"/>
    <w:rsid w:val="00D55B51"/>
    <w:rsid w:val="00D56690"/>
    <w:rsid w:val="00D57FF4"/>
    <w:rsid w:val="00D66293"/>
    <w:rsid w:val="00D70374"/>
    <w:rsid w:val="00D728B4"/>
    <w:rsid w:val="00D7467D"/>
    <w:rsid w:val="00D7522A"/>
    <w:rsid w:val="00D75450"/>
    <w:rsid w:val="00D77964"/>
    <w:rsid w:val="00D869BD"/>
    <w:rsid w:val="00D873E7"/>
    <w:rsid w:val="00D9068B"/>
    <w:rsid w:val="00D9171E"/>
    <w:rsid w:val="00D92777"/>
    <w:rsid w:val="00D9760C"/>
    <w:rsid w:val="00DA1D86"/>
    <w:rsid w:val="00DA2355"/>
    <w:rsid w:val="00DA39F0"/>
    <w:rsid w:val="00DA70DF"/>
    <w:rsid w:val="00DC0DD8"/>
    <w:rsid w:val="00DC14B8"/>
    <w:rsid w:val="00DC692F"/>
    <w:rsid w:val="00DC6D67"/>
    <w:rsid w:val="00DE12B0"/>
    <w:rsid w:val="00DE1F3F"/>
    <w:rsid w:val="00DE2719"/>
    <w:rsid w:val="00DE481D"/>
    <w:rsid w:val="00DE5CC8"/>
    <w:rsid w:val="00DE789C"/>
    <w:rsid w:val="00DF5538"/>
    <w:rsid w:val="00DF6C4E"/>
    <w:rsid w:val="00DF755F"/>
    <w:rsid w:val="00E039D0"/>
    <w:rsid w:val="00E1108F"/>
    <w:rsid w:val="00E14363"/>
    <w:rsid w:val="00E160AB"/>
    <w:rsid w:val="00E16BC2"/>
    <w:rsid w:val="00E171FC"/>
    <w:rsid w:val="00E17A15"/>
    <w:rsid w:val="00E204D6"/>
    <w:rsid w:val="00E21820"/>
    <w:rsid w:val="00E22EDF"/>
    <w:rsid w:val="00E37738"/>
    <w:rsid w:val="00E409B9"/>
    <w:rsid w:val="00E4189A"/>
    <w:rsid w:val="00E51A4D"/>
    <w:rsid w:val="00E52D24"/>
    <w:rsid w:val="00E56E65"/>
    <w:rsid w:val="00E5732F"/>
    <w:rsid w:val="00E615FD"/>
    <w:rsid w:val="00E63365"/>
    <w:rsid w:val="00E64FD1"/>
    <w:rsid w:val="00E650DF"/>
    <w:rsid w:val="00E747F1"/>
    <w:rsid w:val="00E779B8"/>
    <w:rsid w:val="00E77EA2"/>
    <w:rsid w:val="00E81E91"/>
    <w:rsid w:val="00E81FB0"/>
    <w:rsid w:val="00E82714"/>
    <w:rsid w:val="00E8712B"/>
    <w:rsid w:val="00E9065A"/>
    <w:rsid w:val="00E92C1B"/>
    <w:rsid w:val="00E9522A"/>
    <w:rsid w:val="00E97724"/>
    <w:rsid w:val="00EA38C3"/>
    <w:rsid w:val="00EB30CE"/>
    <w:rsid w:val="00EB73DA"/>
    <w:rsid w:val="00EC0844"/>
    <w:rsid w:val="00EC0A12"/>
    <w:rsid w:val="00EC1C4E"/>
    <w:rsid w:val="00EC3E37"/>
    <w:rsid w:val="00ED5DE0"/>
    <w:rsid w:val="00ED610A"/>
    <w:rsid w:val="00ED69A1"/>
    <w:rsid w:val="00ED69B9"/>
    <w:rsid w:val="00EE138F"/>
    <w:rsid w:val="00EE2232"/>
    <w:rsid w:val="00EF52D0"/>
    <w:rsid w:val="00F01319"/>
    <w:rsid w:val="00F0706F"/>
    <w:rsid w:val="00F13ACB"/>
    <w:rsid w:val="00F143C7"/>
    <w:rsid w:val="00F14C41"/>
    <w:rsid w:val="00F20049"/>
    <w:rsid w:val="00F20F18"/>
    <w:rsid w:val="00F259B7"/>
    <w:rsid w:val="00F25F53"/>
    <w:rsid w:val="00F336B0"/>
    <w:rsid w:val="00F35818"/>
    <w:rsid w:val="00F54F1F"/>
    <w:rsid w:val="00F60C3C"/>
    <w:rsid w:val="00F611D6"/>
    <w:rsid w:val="00F65CB3"/>
    <w:rsid w:val="00F662F3"/>
    <w:rsid w:val="00F70196"/>
    <w:rsid w:val="00F71212"/>
    <w:rsid w:val="00F731EC"/>
    <w:rsid w:val="00F741B9"/>
    <w:rsid w:val="00F758A0"/>
    <w:rsid w:val="00F91F83"/>
    <w:rsid w:val="00F920F7"/>
    <w:rsid w:val="00F9338D"/>
    <w:rsid w:val="00F977F7"/>
    <w:rsid w:val="00F978C1"/>
    <w:rsid w:val="00FA33AF"/>
    <w:rsid w:val="00FA4094"/>
    <w:rsid w:val="00FA6CD3"/>
    <w:rsid w:val="00FB03B2"/>
    <w:rsid w:val="00FB0DB0"/>
    <w:rsid w:val="00FB1389"/>
    <w:rsid w:val="00FB2F49"/>
    <w:rsid w:val="00FB4774"/>
    <w:rsid w:val="00FB64C0"/>
    <w:rsid w:val="00FB7515"/>
    <w:rsid w:val="00FB7697"/>
    <w:rsid w:val="00FC1530"/>
    <w:rsid w:val="00FC56BE"/>
    <w:rsid w:val="00FC6B09"/>
    <w:rsid w:val="00FC6B2A"/>
    <w:rsid w:val="00FD192C"/>
    <w:rsid w:val="00FD218C"/>
    <w:rsid w:val="00FE33D8"/>
    <w:rsid w:val="00FE39C3"/>
    <w:rsid w:val="00FF1859"/>
    <w:rsid w:val="00FF2CA9"/>
    <w:rsid w:val="00FF7F5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389"/>
  </w:style>
  <w:style w:type="paragraph" w:styleId="Ttulo1">
    <w:name w:val="heading 1"/>
    <w:basedOn w:val="Normal"/>
    <w:link w:val="Ttulo1Car"/>
    <w:uiPriority w:val="9"/>
    <w:qFormat/>
    <w:rsid w:val="00FB138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1389"/>
    <w:rPr>
      <w:rFonts w:ascii="Times New Roman" w:eastAsia="Times New Roman" w:hAnsi="Times New Roman" w:cs="Times New Roman"/>
      <w:b/>
      <w:bCs/>
      <w:kern w:val="36"/>
      <w:sz w:val="48"/>
      <w:szCs w:val="48"/>
      <w:lang w:val="es-ES" w:eastAsia="es-ES"/>
    </w:rPr>
  </w:style>
  <w:style w:type="paragraph" w:styleId="Textonotaalfinal">
    <w:name w:val="endnote text"/>
    <w:basedOn w:val="Normal"/>
    <w:link w:val="TextonotaalfinalCar"/>
    <w:uiPriority w:val="99"/>
    <w:semiHidden/>
    <w:unhideWhenUsed/>
    <w:rsid w:val="00FB138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B1389"/>
    <w:rPr>
      <w:sz w:val="20"/>
      <w:szCs w:val="20"/>
    </w:rPr>
  </w:style>
  <w:style w:type="paragraph" w:styleId="Textonotapie">
    <w:name w:val="footnote text"/>
    <w:basedOn w:val="Normal"/>
    <w:link w:val="TextonotapieCar"/>
    <w:uiPriority w:val="99"/>
    <w:unhideWhenUsed/>
    <w:rsid w:val="00FB1389"/>
    <w:pPr>
      <w:spacing w:after="0" w:line="240" w:lineRule="auto"/>
    </w:pPr>
    <w:rPr>
      <w:sz w:val="20"/>
      <w:szCs w:val="20"/>
    </w:rPr>
  </w:style>
  <w:style w:type="character" w:customStyle="1" w:styleId="TextonotapieCar">
    <w:name w:val="Texto nota pie Car"/>
    <w:basedOn w:val="Fuentedeprrafopredeter"/>
    <w:link w:val="Textonotapie"/>
    <w:uiPriority w:val="99"/>
    <w:rsid w:val="00FB1389"/>
    <w:rPr>
      <w:sz w:val="20"/>
      <w:szCs w:val="20"/>
    </w:rPr>
  </w:style>
  <w:style w:type="character" w:styleId="Refdenotaalpie">
    <w:name w:val="footnote reference"/>
    <w:basedOn w:val="Fuentedeprrafopredeter"/>
    <w:uiPriority w:val="99"/>
    <w:semiHidden/>
    <w:unhideWhenUsed/>
    <w:rsid w:val="00FB1389"/>
    <w:rPr>
      <w:vertAlign w:val="superscript"/>
    </w:rPr>
  </w:style>
  <w:style w:type="character" w:styleId="nfasis">
    <w:name w:val="Emphasis"/>
    <w:basedOn w:val="Fuentedeprrafopredeter"/>
    <w:uiPriority w:val="20"/>
    <w:qFormat/>
    <w:rsid w:val="00FB1389"/>
    <w:rPr>
      <w:i/>
      <w:iCs/>
    </w:rPr>
  </w:style>
  <w:style w:type="paragraph" w:styleId="Prrafodelista">
    <w:name w:val="List Paragraph"/>
    <w:basedOn w:val="Normal"/>
    <w:uiPriority w:val="34"/>
    <w:qFormat/>
    <w:rsid w:val="00FB1389"/>
    <w:pPr>
      <w:ind w:left="720"/>
      <w:contextualSpacing/>
    </w:pPr>
  </w:style>
  <w:style w:type="character" w:customStyle="1" w:styleId="TextocomentarioCar">
    <w:name w:val="Texto comentario Car"/>
    <w:basedOn w:val="Fuentedeprrafopredeter"/>
    <w:link w:val="Textocomentario"/>
    <w:uiPriority w:val="99"/>
    <w:rsid w:val="00FB1389"/>
    <w:rPr>
      <w:sz w:val="20"/>
      <w:szCs w:val="20"/>
    </w:rPr>
  </w:style>
  <w:style w:type="paragraph" w:styleId="Textocomentario">
    <w:name w:val="annotation text"/>
    <w:basedOn w:val="Normal"/>
    <w:link w:val="TextocomentarioCar"/>
    <w:uiPriority w:val="99"/>
    <w:unhideWhenUsed/>
    <w:rsid w:val="00FB1389"/>
    <w:pPr>
      <w:spacing w:line="240" w:lineRule="auto"/>
    </w:pPr>
    <w:rPr>
      <w:sz w:val="20"/>
      <w:szCs w:val="20"/>
    </w:rPr>
  </w:style>
  <w:style w:type="character" w:customStyle="1" w:styleId="TextocomentarioCar1">
    <w:name w:val="Texto comentario Car1"/>
    <w:basedOn w:val="Fuentedeprrafopredeter"/>
    <w:uiPriority w:val="99"/>
    <w:semiHidden/>
    <w:rsid w:val="00FB1389"/>
    <w:rPr>
      <w:sz w:val="20"/>
      <w:szCs w:val="20"/>
    </w:rPr>
  </w:style>
  <w:style w:type="character" w:customStyle="1" w:styleId="CommentTextChar1">
    <w:name w:val="Comment Text Char1"/>
    <w:basedOn w:val="Fuentedeprrafopredeter"/>
    <w:uiPriority w:val="99"/>
    <w:semiHidden/>
    <w:rsid w:val="00FB1389"/>
    <w:rPr>
      <w:sz w:val="20"/>
      <w:szCs w:val="20"/>
    </w:rPr>
  </w:style>
  <w:style w:type="character" w:customStyle="1" w:styleId="AsuntodelcomentarioCar">
    <w:name w:val="Asunto del comentario Car"/>
    <w:basedOn w:val="TextocomentarioCar"/>
    <w:link w:val="Asuntodelcomentario"/>
    <w:uiPriority w:val="99"/>
    <w:semiHidden/>
    <w:rsid w:val="00FB1389"/>
    <w:rPr>
      <w:b/>
      <w:bCs/>
      <w:sz w:val="20"/>
      <w:szCs w:val="20"/>
    </w:rPr>
  </w:style>
  <w:style w:type="paragraph" w:styleId="Asuntodelcomentario">
    <w:name w:val="annotation subject"/>
    <w:basedOn w:val="Textocomentario"/>
    <w:next w:val="Textocomentario"/>
    <w:link w:val="AsuntodelcomentarioCar"/>
    <w:uiPriority w:val="99"/>
    <w:semiHidden/>
    <w:unhideWhenUsed/>
    <w:rsid w:val="00FB1389"/>
    <w:rPr>
      <w:b/>
      <w:bCs/>
    </w:rPr>
  </w:style>
  <w:style w:type="character" w:customStyle="1" w:styleId="AsuntodelcomentarioCar1">
    <w:name w:val="Asunto del comentario Car1"/>
    <w:basedOn w:val="TextocomentarioCar1"/>
    <w:uiPriority w:val="99"/>
    <w:semiHidden/>
    <w:rsid w:val="00FB1389"/>
    <w:rPr>
      <w:b/>
      <w:bCs/>
      <w:sz w:val="20"/>
      <w:szCs w:val="20"/>
    </w:rPr>
  </w:style>
  <w:style w:type="character" w:customStyle="1" w:styleId="CommentSubjectChar1">
    <w:name w:val="Comment Subject Char1"/>
    <w:basedOn w:val="CommentTextChar1"/>
    <w:uiPriority w:val="99"/>
    <w:semiHidden/>
    <w:rsid w:val="00FB1389"/>
    <w:rPr>
      <w:b/>
      <w:bCs/>
      <w:sz w:val="20"/>
      <w:szCs w:val="20"/>
    </w:rPr>
  </w:style>
  <w:style w:type="paragraph" w:styleId="Textodeglobo">
    <w:name w:val="Balloon Text"/>
    <w:basedOn w:val="Normal"/>
    <w:link w:val="TextodegloboCar"/>
    <w:uiPriority w:val="99"/>
    <w:semiHidden/>
    <w:unhideWhenUsed/>
    <w:rsid w:val="00FB13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1389"/>
    <w:rPr>
      <w:rFonts w:ascii="Tahoma" w:hAnsi="Tahoma" w:cs="Tahoma"/>
      <w:sz w:val="16"/>
      <w:szCs w:val="16"/>
    </w:rPr>
  </w:style>
  <w:style w:type="paragraph" w:styleId="Encabezado">
    <w:name w:val="header"/>
    <w:basedOn w:val="Normal"/>
    <w:link w:val="EncabezadoCar"/>
    <w:uiPriority w:val="99"/>
    <w:unhideWhenUsed/>
    <w:rsid w:val="00FB13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B1389"/>
  </w:style>
  <w:style w:type="paragraph" w:styleId="Piedepgina">
    <w:name w:val="footer"/>
    <w:basedOn w:val="Normal"/>
    <w:link w:val="PiedepginaCar"/>
    <w:uiPriority w:val="99"/>
    <w:unhideWhenUsed/>
    <w:rsid w:val="00FB13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B1389"/>
  </w:style>
  <w:style w:type="paragraph" w:customStyle="1" w:styleId="handouttext">
    <w:name w:val="handout text"/>
    <w:basedOn w:val="Normal"/>
    <w:rsid w:val="00FB1389"/>
    <w:pPr>
      <w:spacing w:before="240" w:after="0" w:line="240" w:lineRule="auto"/>
      <w:jc w:val="both"/>
    </w:pPr>
    <w:rPr>
      <w:rFonts w:ascii="Times" w:eastAsia="Times New Roman" w:hAnsi="Times" w:cs="Times New Roman"/>
      <w:sz w:val="24"/>
      <w:szCs w:val="20"/>
    </w:rPr>
  </w:style>
  <w:style w:type="character" w:styleId="Hipervnculo">
    <w:name w:val="Hyperlink"/>
    <w:basedOn w:val="Fuentedeprrafopredeter"/>
    <w:uiPriority w:val="99"/>
    <w:rsid w:val="00FB1389"/>
    <w:rPr>
      <w:color w:val="0000FF"/>
      <w:u w:val="single"/>
    </w:rPr>
  </w:style>
  <w:style w:type="character" w:styleId="Refdenotaalfinal">
    <w:name w:val="endnote reference"/>
    <w:basedOn w:val="Fuentedeprrafopredeter"/>
    <w:uiPriority w:val="99"/>
    <w:semiHidden/>
    <w:unhideWhenUsed/>
    <w:rsid w:val="00FB1389"/>
    <w:rPr>
      <w:vertAlign w:val="superscript"/>
    </w:rPr>
  </w:style>
  <w:style w:type="table" w:styleId="Tablaconcuadrcula">
    <w:name w:val="Table Grid"/>
    <w:basedOn w:val="Tablanormal"/>
    <w:uiPriority w:val="59"/>
    <w:rsid w:val="00FB13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FB1389"/>
    <w:rPr>
      <w:sz w:val="16"/>
      <w:szCs w:val="16"/>
    </w:rPr>
  </w:style>
  <w:style w:type="character" w:customStyle="1" w:styleId="il">
    <w:name w:val="il"/>
    <w:basedOn w:val="Fuentedeprrafopredeter"/>
    <w:rsid w:val="00FB1389"/>
  </w:style>
  <w:style w:type="character" w:customStyle="1" w:styleId="apple-converted-space">
    <w:name w:val="apple-converted-space"/>
    <w:basedOn w:val="Fuentedeprrafopredeter"/>
    <w:rsid w:val="00FB1389"/>
  </w:style>
  <w:style w:type="paragraph" w:styleId="Revisin">
    <w:name w:val="Revision"/>
    <w:hidden/>
    <w:uiPriority w:val="99"/>
    <w:semiHidden/>
    <w:rsid w:val="00FB1389"/>
    <w:pPr>
      <w:spacing w:after="0" w:line="240" w:lineRule="auto"/>
    </w:pPr>
  </w:style>
  <w:style w:type="paragraph" w:customStyle="1" w:styleId="Default">
    <w:name w:val="Default"/>
    <w:rsid w:val="00FB1389"/>
    <w:pPr>
      <w:autoSpaceDE w:val="0"/>
      <w:autoSpaceDN w:val="0"/>
      <w:adjustRightInd w:val="0"/>
      <w:spacing w:after="0" w:line="240" w:lineRule="auto"/>
    </w:pPr>
    <w:rPr>
      <w:rFonts w:ascii="ITC Officina Sans Book" w:hAnsi="ITC Officina Sans Book" w:cs="ITC Officina Sans Book"/>
      <w:color w:val="000000"/>
      <w:sz w:val="24"/>
      <w:szCs w:val="24"/>
      <w:lang w:val="es-ES"/>
    </w:rPr>
  </w:style>
  <w:style w:type="character" w:styleId="Hipervnculovisitado">
    <w:name w:val="FollowedHyperlink"/>
    <w:basedOn w:val="Fuentedeprrafopredeter"/>
    <w:uiPriority w:val="99"/>
    <w:semiHidden/>
    <w:unhideWhenUsed/>
    <w:rsid w:val="00FB1389"/>
    <w:rPr>
      <w:color w:val="800080" w:themeColor="followedHyperlink"/>
      <w:u w:val="single"/>
    </w:rPr>
  </w:style>
  <w:style w:type="character" w:styleId="Textoennegrita">
    <w:name w:val="Strong"/>
    <w:basedOn w:val="Fuentedeprrafopredeter"/>
    <w:uiPriority w:val="22"/>
    <w:qFormat/>
    <w:rsid w:val="00FB1389"/>
    <w:rPr>
      <w:b/>
      <w:bCs/>
    </w:rPr>
  </w:style>
  <w:style w:type="table" w:customStyle="1" w:styleId="QTable">
    <w:name w:val="QTable"/>
    <w:uiPriority w:val="99"/>
    <w:qFormat/>
    <w:rsid w:val="00FB1389"/>
    <w:pPr>
      <w:spacing w:after="0" w:line="240" w:lineRule="auto"/>
    </w:pPr>
    <w:rPr>
      <w:rFonts w:eastAsiaTheme="minorEastAsia"/>
      <w:lang w:val="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FB1389"/>
    <w:pPr>
      <w:spacing w:after="0" w:line="240" w:lineRule="auto"/>
      <w:jc w:val="center"/>
    </w:pPr>
    <w:rPr>
      <w:rFonts w:eastAsiaTheme="minorEastAsia"/>
      <w:sz w:val="20"/>
      <w:szCs w:val="20"/>
      <w:lang w:val="en-US" w:eastAsia="en-GB"/>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FB1389"/>
    <w:pPr>
      <w:spacing w:after="0"/>
    </w:pPr>
    <w:rPr>
      <w:rFonts w:eastAsiaTheme="minorEastAsia"/>
      <w:b/>
      <w:lang w:val="en-US"/>
    </w:rPr>
  </w:style>
  <w:style w:type="paragraph" w:customStyle="1" w:styleId="QLabel">
    <w:name w:val="QLabel"/>
    <w:basedOn w:val="Normal"/>
    <w:qFormat/>
    <w:rsid w:val="00FB1389"/>
    <w:pPr>
      <w:pBdr>
        <w:left w:val="single" w:sz="4" w:space="4" w:color="D9D9D9" w:themeColor="background1" w:themeShade="D9"/>
        <w:right w:val="single" w:sz="4" w:space="4" w:color="D9D9D9" w:themeColor="background1" w:themeShade="D9"/>
      </w:pBdr>
      <w:shd w:val="clear" w:color="auto" w:fill="D9D9D9" w:themeFill="background1" w:themeFillShade="D9"/>
      <w:spacing w:after="0"/>
    </w:pPr>
    <w:rPr>
      <w:rFonts w:eastAsiaTheme="minorEastAsia"/>
      <w:b/>
      <w:sz w:val="32"/>
      <w:lang w:val="en-US"/>
    </w:rPr>
  </w:style>
  <w:style w:type="table" w:customStyle="1" w:styleId="QBar">
    <w:name w:val="QBar"/>
    <w:uiPriority w:val="99"/>
    <w:qFormat/>
    <w:rsid w:val="00FB1389"/>
    <w:pPr>
      <w:spacing w:after="0" w:line="240" w:lineRule="auto"/>
    </w:pPr>
    <w:rPr>
      <w:rFonts w:eastAsiaTheme="minorEastAsia"/>
      <w:sz w:val="18"/>
      <w:szCs w:val="20"/>
      <w:lang w:eastAsia="en-GB"/>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FB1389"/>
    <w:pPr>
      <w:spacing w:after="0" w:line="240" w:lineRule="auto"/>
    </w:pPr>
    <w:rPr>
      <w:rFonts w:eastAsiaTheme="minorEastAsia"/>
      <w:b/>
      <w:color w:val="FFFFFF" w:themeColor="background1"/>
      <w:sz w:val="20"/>
      <w:szCs w:val="20"/>
      <w:lang w:eastAsia="en-GB"/>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FB1389"/>
    <w:pPr>
      <w:spacing w:after="0" w:line="240" w:lineRule="auto"/>
    </w:pPr>
    <w:rPr>
      <w:rFonts w:eastAsiaTheme="minorEastAsia"/>
      <w:color w:val="FFFFFF" w:themeColor="background1"/>
      <w:lang w:val="en-US"/>
    </w:rPr>
  </w:style>
  <w:style w:type="paragraph" w:customStyle="1" w:styleId="WhiteCompositeLabel">
    <w:name w:val="WhiteCompositeLabel"/>
    <w:next w:val="Normal"/>
    <w:rsid w:val="00FB1389"/>
    <w:pPr>
      <w:spacing w:before="43" w:after="43" w:line="240" w:lineRule="auto"/>
      <w:jc w:val="center"/>
    </w:pPr>
    <w:rPr>
      <w:rFonts w:ascii="Calibri" w:eastAsia="Times New Roman" w:hAnsi="Calibri" w:cs="Times New Roman"/>
      <w:b/>
      <w:color w:val="FFFFFF"/>
      <w:lang w:val="en-US"/>
    </w:rPr>
  </w:style>
  <w:style w:type="numbering" w:customStyle="1" w:styleId="Multipunch">
    <w:name w:val="Multi punch"/>
    <w:rsid w:val="00FB1389"/>
    <w:pPr>
      <w:numPr>
        <w:numId w:val="25"/>
      </w:numPr>
    </w:pPr>
  </w:style>
  <w:style w:type="numbering" w:customStyle="1" w:styleId="Singlepunch">
    <w:name w:val="Single punch"/>
    <w:rsid w:val="00FB1389"/>
    <w:pPr>
      <w:numPr>
        <w:numId w:val="27"/>
      </w:numPr>
    </w:pPr>
  </w:style>
  <w:style w:type="paragraph" w:customStyle="1" w:styleId="QDisplayLogic">
    <w:name w:val="QDisplayLogic"/>
    <w:basedOn w:val="Normal"/>
    <w:qFormat/>
    <w:rsid w:val="00FB1389"/>
    <w:pPr>
      <w:shd w:val="clear" w:color="auto" w:fill="C5DCFF"/>
      <w:spacing w:after="0"/>
    </w:pPr>
    <w:rPr>
      <w:rFonts w:eastAsiaTheme="minorEastAsia"/>
      <w:lang w:val="en-US"/>
    </w:rPr>
  </w:style>
  <w:style w:type="paragraph" w:customStyle="1" w:styleId="QSkipLogic">
    <w:name w:val="QSkipLogic"/>
    <w:basedOn w:val="Normal"/>
    <w:qFormat/>
    <w:rsid w:val="00FB1389"/>
    <w:pPr>
      <w:shd w:val="clear" w:color="auto" w:fill="D9D9D9"/>
      <w:spacing w:after="0"/>
    </w:pPr>
    <w:rPr>
      <w:rFonts w:eastAsiaTheme="minorEastAsia"/>
      <w:lang w:val="en-US"/>
    </w:rPr>
  </w:style>
  <w:style w:type="paragraph" w:customStyle="1" w:styleId="SingleLineText">
    <w:name w:val="SingleLineText"/>
    <w:next w:val="Normal"/>
    <w:rsid w:val="00FB1389"/>
    <w:pPr>
      <w:spacing w:after="0" w:line="240" w:lineRule="auto"/>
    </w:pPr>
    <w:rPr>
      <w:rFonts w:eastAsiaTheme="minorEastAsia"/>
      <w:lang w:val="en-US"/>
    </w:rPr>
  </w:style>
  <w:style w:type="paragraph" w:styleId="HTMLconformatoprevio">
    <w:name w:val="HTML Preformatted"/>
    <w:basedOn w:val="Normal"/>
    <w:link w:val="HTMLconformatoprevioCar"/>
    <w:uiPriority w:val="99"/>
    <w:semiHidden/>
    <w:unhideWhenUsed/>
    <w:rsid w:val="00FB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conformatoprevioCar">
    <w:name w:val="HTML con formato previo Car"/>
    <w:basedOn w:val="Fuentedeprrafopredeter"/>
    <w:link w:val="HTMLconformatoprevio"/>
    <w:uiPriority w:val="99"/>
    <w:semiHidden/>
    <w:rsid w:val="00FB1389"/>
    <w:rPr>
      <w:rFonts w:ascii="Courier New" w:eastAsia="Times New Roman" w:hAnsi="Courier New" w:cs="Courier New"/>
      <w:sz w:val="20"/>
      <w:szCs w:val="20"/>
      <w:lang w:eastAsia="en-GB"/>
    </w:rPr>
  </w:style>
</w:styles>
</file>

<file path=word/webSettings.xml><?xml version="1.0" encoding="utf-8"?>
<w:webSettings xmlns:r="http://schemas.openxmlformats.org/officeDocument/2006/relationships" xmlns:w="http://schemas.openxmlformats.org/wordprocessingml/2006/main">
  <w:divs>
    <w:div w:id="500435552">
      <w:bodyDiv w:val="1"/>
      <w:marLeft w:val="0"/>
      <w:marRight w:val="0"/>
      <w:marTop w:val="0"/>
      <w:marBottom w:val="0"/>
      <w:divBdr>
        <w:top w:val="none" w:sz="0" w:space="0" w:color="auto"/>
        <w:left w:val="none" w:sz="0" w:space="0" w:color="auto"/>
        <w:bottom w:val="none" w:sz="0" w:space="0" w:color="auto"/>
        <w:right w:val="none" w:sz="0" w:space="0" w:color="auto"/>
      </w:divBdr>
    </w:div>
    <w:div w:id="959073739">
      <w:bodyDiv w:val="1"/>
      <w:marLeft w:val="0"/>
      <w:marRight w:val="0"/>
      <w:marTop w:val="0"/>
      <w:marBottom w:val="0"/>
      <w:divBdr>
        <w:top w:val="none" w:sz="0" w:space="0" w:color="auto"/>
        <w:left w:val="none" w:sz="0" w:space="0" w:color="auto"/>
        <w:bottom w:val="none" w:sz="0" w:space="0" w:color="auto"/>
        <w:right w:val="none" w:sz="0" w:space="0" w:color="auto"/>
      </w:divBdr>
    </w:div>
    <w:div w:id="1265265323">
      <w:bodyDiv w:val="1"/>
      <w:marLeft w:val="0"/>
      <w:marRight w:val="0"/>
      <w:marTop w:val="0"/>
      <w:marBottom w:val="0"/>
      <w:divBdr>
        <w:top w:val="none" w:sz="0" w:space="0" w:color="auto"/>
        <w:left w:val="none" w:sz="0" w:space="0" w:color="auto"/>
        <w:bottom w:val="none" w:sz="0" w:space="0" w:color="auto"/>
        <w:right w:val="none" w:sz="0" w:space="0" w:color="auto"/>
      </w:divBdr>
    </w:div>
    <w:div w:id="179937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urveymonkey.com/r/MPHJNX6" TargetMode="External"/><Relationship Id="rId18" Type="http://schemas.openxmlformats.org/officeDocument/2006/relationships/hyperlink" Target="http://websites.psychology.uwa.edu.au/school/MRCDatabase/mrc2.html" TargetMode="External"/><Relationship Id="rId26" Type="http://schemas.openxmlformats.org/officeDocument/2006/relationships/image" Target="media/image8.png"/><Relationship Id="rId39" Type="http://schemas.openxmlformats.org/officeDocument/2006/relationships/hyperlink" Target="http://www.shef.ac.uk/cics/email/distributionlists.html" TargetMode="External"/><Relationship Id="rId21" Type="http://schemas.openxmlformats.org/officeDocument/2006/relationships/image" Target="media/image3.png"/><Relationship Id="rId34" Type="http://schemas.openxmlformats.org/officeDocument/2006/relationships/hyperlink" Target="mailto:dnhernandezibar1@sheffield.ac.uk"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microsoft.com/office/2011/relationships/commentsExtended" Target="commentsExtended.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mailto:dnhernandezibar1@sheffield.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https://www.surveymonkey.com/s/MPHJNX6"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surveymonkey.com/s/MVGNQN2" TargetMode="External"/><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chart" Target="charts/chart2.xml"/><Relationship Id="rId19" Type="http://schemas.openxmlformats.org/officeDocument/2006/relationships/hyperlink" Target="http://jonjayray.comuv.com/shortsd.html" TargetMode="Externa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mailto:t.webb@sheffield.ac.uk" TargetMode="External"/><Relationship Id="rId35" Type="http://schemas.openxmlformats.org/officeDocument/2006/relationships/hyperlink" Target="mailto:t.webb@sheffield.ac.uk"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s://www.surveymonkey.com/s/MPHJNX6" TargetMode="External"/><Relationship Id="rId46" Type="http://schemas.openxmlformats.org/officeDocument/2006/relationships/image" Target="media/image20.png"/><Relationship Id="rId59" Type="http://schemas.openxmlformats.org/officeDocument/2006/relationships/image" Target="media/image33.png"/><Relationship Id="rId20" Type="http://schemas.openxmlformats.org/officeDocument/2006/relationships/image" Target="media/image2.pn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aria\Documents\PhD\Thesis\Chapter%202%20AERO\AER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ria\Documents\PhD\Thesis\Chapter%203%20PRIMING\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ria\Documents\PhD\Thesis\Chapter%203%20PRIMING\Graphs%20Chapter%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tudata08.shef.ac.uk\HOME\PC\Pcp11dnh\PhD\PhD\Thesis\Chapter%203%20PRIMING\Graphs%20Chapter%2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ria\Documents\PhD\Thesis\Chapter%205%20SPEED-DATE\Graphs%20and%20tabl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ria\Documents\PhD\Thesis\Chapter%205%20SPEED-DATE\Graphs%20and%20tabl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ria\Documents\PhD\Thesis\Chapter%205%20SPEED-DATE\Graphs%20and%20tabl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aria\Documents\PhD\Thesis\Chapter%205%20SPEED-DATE\Graphs%20and%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Figure 2. Improving and worsening AIER by nature of relationship</a:t>
            </a:r>
          </a:p>
        </c:rich>
      </c:tx>
    </c:title>
    <c:plotArea>
      <c:layout/>
      <c:barChart>
        <c:barDir val="col"/>
        <c:grouping val="clustered"/>
        <c:ser>
          <c:idx val="0"/>
          <c:order val="0"/>
          <c:tx>
            <c:strRef>
              <c:f>Hoja2!$G$3</c:f>
              <c:strCache>
                <c:ptCount val="1"/>
                <c:pt idx="0">
                  <c:v>Close-other</c:v>
                </c:pt>
              </c:strCache>
            </c:strRef>
          </c:tx>
          <c:errBars>
            <c:errBarType val="both"/>
            <c:errValType val="cust"/>
            <c:plus>
              <c:numRef>
                <c:f>Hoja2!$H$5</c:f>
                <c:numCache>
                  <c:formatCode>General</c:formatCode>
                  <c:ptCount val="1"/>
                  <c:pt idx="0">
                    <c:v>0.82037236792082557</c:v>
                  </c:pt>
                </c:numCache>
              </c:numRef>
            </c:plus>
            <c:minus>
              <c:numRef>
                <c:f>Hoja2!$I$5</c:f>
                <c:numCache>
                  <c:formatCode>General</c:formatCode>
                  <c:ptCount val="1"/>
                  <c:pt idx="0">
                    <c:v>0.98744582060682562</c:v>
                  </c:pt>
                </c:numCache>
              </c:numRef>
            </c:minus>
          </c:errBars>
          <c:cat>
            <c:strRef>
              <c:f>Hoja2!$H$2:$I$2</c:f>
              <c:strCache>
                <c:ptCount val="2"/>
                <c:pt idx="0">
                  <c:v>Improving IER</c:v>
                </c:pt>
                <c:pt idx="1">
                  <c:v>Worsening IER</c:v>
                </c:pt>
              </c:strCache>
            </c:strRef>
          </c:cat>
          <c:val>
            <c:numRef>
              <c:f>Hoja2!$H$3:$I$3</c:f>
              <c:numCache>
                <c:formatCode>General</c:formatCode>
                <c:ptCount val="2"/>
                <c:pt idx="0">
                  <c:v>5.5596739130434933</c:v>
                </c:pt>
                <c:pt idx="1">
                  <c:v>2.8612499999999272</c:v>
                </c:pt>
              </c:numCache>
            </c:numRef>
          </c:val>
          <c:extLst xmlns:c16r2="http://schemas.microsoft.com/office/drawing/2015/06/chart">
            <c:ext xmlns:c16="http://schemas.microsoft.com/office/drawing/2014/chart" uri="{C3380CC4-5D6E-409C-BE32-E72D297353CC}">
              <c16:uniqueId val="{00000000-FA3C-4562-B7E9-AEA4624D0EF7}"/>
            </c:ext>
          </c:extLst>
        </c:ser>
        <c:ser>
          <c:idx val="1"/>
          <c:order val="1"/>
          <c:tx>
            <c:strRef>
              <c:f>Hoja2!$G$4</c:f>
              <c:strCache>
                <c:ptCount val="1"/>
                <c:pt idx="0">
                  <c:v>Acquaintance</c:v>
                </c:pt>
              </c:strCache>
            </c:strRef>
          </c:tx>
          <c:errBars>
            <c:errBarType val="both"/>
            <c:errValType val="cust"/>
            <c:plus>
              <c:numLit>
                <c:formatCode>General</c:formatCode>
                <c:ptCount val="1"/>
                <c:pt idx="0">
                  <c:v>1</c:v>
                </c:pt>
              </c:numLit>
            </c:plus>
            <c:minus>
              <c:numLit>
                <c:formatCode>General</c:formatCode>
                <c:ptCount val="1"/>
                <c:pt idx="0">
                  <c:v>1</c:v>
                </c:pt>
              </c:numLit>
            </c:minus>
          </c:errBars>
          <c:cat>
            <c:strRef>
              <c:f>Hoja2!$H$2:$I$2</c:f>
              <c:strCache>
                <c:ptCount val="2"/>
                <c:pt idx="0">
                  <c:v>Improving IER</c:v>
                </c:pt>
                <c:pt idx="1">
                  <c:v>Worsening IER</c:v>
                </c:pt>
              </c:strCache>
            </c:strRef>
          </c:cat>
          <c:val>
            <c:numRef>
              <c:f>Hoja2!$H$4:$I$4</c:f>
              <c:numCache>
                <c:formatCode>General</c:formatCode>
                <c:ptCount val="2"/>
                <c:pt idx="0">
                  <c:v>3.1255434782608722</c:v>
                </c:pt>
                <c:pt idx="1">
                  <c:v>1.9814130434782835</c:v>
                </c:pt>
              </c:numCache>
            </c:numRef>
          </c:val>
          <c:extLst xmlns:c16r2="http://schemas.microsoft.com/office/drawing/2015/06/chart">
            <c:ext xmlns:c16="http://schemas.microsoft.com/office/drawing/2014/chart" uri="{C3380CC4-5D6E-409C-BE32-E72D297353CC}">
              <c16:uniqueId val="{00000001-FA3C-4562-B7E9-AEA4624D0EF7}"/>
            </c:ext>
          </c:extLst>
        </c:ser>
        <c:axId val="115464064"/>
        <c:axId val="115470336"/>
      </c:barChart>
      <c:catAx>
        <c:axId val="115464064"/>
        <c:scaling>
          <c:orientation val="minMax"/>
        </c:scaling>
        <c:axPos val="b"/>
        <c:numFmt formatCode="General" sourceLinked="0"/>
        <c:tickLblPos val="nextTo"/>
        <c:crossAx val="115470336"/>
        <c:crosses val="autoZero"/>
        <c:auto val="1"/>
        <c:lblAlgn val="ctr"/>
        <c:lblOffset val="100"/>
      </c:catAx>
      <c:valAx>
        <c:axId val="115470336"/>
        <c:scaling>
          <c:orientation val="minMax"/>
        </c:scaling>
        <c:axPos val="l"/>
        <c:majorGridlines/>
        <c:numFmt formatCode="General" sourceLinked="1"/>
        <c:tickLblPos val="nextTo"/>
        <c:crossAx val="11546406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Figure 3.1. IER strategies as a function of condition</a:t>
            </a:r>
          </a:p>
        </c:rich>
      </c:tx>
    </c:title>
    <c:plotArea>
      <c:layout/>
      <c:barChart>
        <c:barDir val="col"/>
        <c:grouping val="clustered"/>
        <c:ser>
          <c:idx val="0"/>
          <c:order val="0"/>
          <c:tx>
            <c:strRef>
              <c:f>Hoja1!$K$2</c:f>
              <c:strCache>
                <c:ptCount val="1"/>
                <c:pt idx="0">
                  <c:v>Experimental</c:v>
                </c:pt>
              </c:strCache>
            </c:strRef>
          </c:tx>
          <c:errBars>
            <c:errBarType val="both"/>
            <c:errValType val="cust"/>
            <c:plus>
              <c:numRef>
                <c:f>Hoja1!$K$12:$K$17</c:f>
                <c:numCache>
                  <c:formatCode>General</c:formatCode>
                  <c:ptCount val="6"/>
                  <c:pt idx="0">
                    <c:v>0.80971326599144156</c:v>
                  </c:pt>
                  <c:pt idx="1">
                    <c:v>0.72249704240543977</c:v>
                  </c:pt>
                  <c:pt idx="2">
                    <c:v>1.0445425649348095</c:v>
                  </c:pt>
                  <c:pt idx="3">
                    <c:v>0.86363351362126062</c:v>
                  </c:pt>
                  <c:pt idx="4">
                    <c:v>0.9066131649331145</c:v>
                  </c:pt>
                  <c:pt idx="5">
                    <c:v>0.46806472306749186</c:v>
                  </c:pt>
                </c:numCache>
              </c:numRef>
            </c:plus>
            <c:minus>
              <c:numRef>
                <c:f>Hoja1!$K$12:$K$17</c:f>
                <c:numCache>
                  <c:formatCode>General</c:formatCode>
                  <c:ptCount val="6"/>
                  <c:pt idx="0">
                    <c:v>0.80971326599144156</c:v>
                  </c:pt>
                  <c:pt idx="1">
                    <c:v>0.72249704240543977</c:v>
                  </c:pt>
                  <c:pt idx="2">
                    <c:v>1.0445425649348095</c:v>
                  </c:pt>
                  <c:pt idx="3">
                    <c:v>0.86363351362126062</c:v>
                  </c:pt>
                  <c:pt idx="4">
                    <c:v>0.9066131649331145</c:v>
                  </c:pt>
                  <c:pt idx="5">
                    <c:v>0.46806472306749186</c:v>
                  </c:pt>
                </c:numCache>
              </c:numRef>
            </c:minus>
          </c:errBars>
          <c:cat>
            <c:strRef>
              <c:f>Hoja1!$J$3:$J$8</c:f>
              <c:strCache>
                <c:ptCount val="6"/>
                <c:pt idx="0">
                  <c:v>URPEa</c:v>
                </c:pt>
                <c:pt idx="1">
                  <c:v>URPEt</c:v>
                </c:pt>
                <c:pt idx="2">
                  <c:v>URNEa</c:v>
                </c:pt>
                <c:pt idx="3">
                  <c:v>URNEt</c:v>
                </c:pt>
                <c:pt idx="4">
                  <c:v>DRNEa</c:v>
                </c:pt>
                <c:pt idx="5">
                  <c:v>DRNEt</c:v>
                </c:pt>
              </c:strCache>
            </c:strRef>
          </c:cat>
          <c:val>
            <c:numRef>
              <c:f>Hoja1!$K$3:$K$8</c:f>
              <c:numCache>
                <c:formatCode>General</c:formatCode>
                <c:ptCount val="6"/>
                <c:pt idx="0">
                  <c:v>1.78913043478261</c:v>
                </c:pt>
                <c:pt idx="1">
                  <c:v>1.7373913043478098</c:v>
                </c:pt>
                <c:pt idx="2">
                  <c:v>1.8234782608695654</c:v>
                </c:pt>
                <c:pt idx="3">
                  <c:v>1.5891304347826085</c:v>
                </c:pt>
                <c:pt idx="4">
                  <c:v>1.6473913043478259</c:v>
                </c:pt>
                <c:pt idx="5">
                  <c:v>1.2313043478260535</c:v>
                </c:pt>
              </c:numCache>
            </c:numRef>
          </c:val>
          <c:extLst xmlns:c16r2="http://schemas.microsoft.com/office/drawing/2015/06/chart">
            <c:ext xmlns:c16="http://schemas.microsoft.com/office/drawing/2014/chart" uri="{C3380CC4-5D6E-409C-BE32-E72D297353CC}">
              <c16:uniqueId val="{00000000-6763-499B-9226-86E21514FB97}"/>
            </c:ext>
          </c:extLst>
        </c:ser>
        <c:ser>
          <c:idx val="1"/>
          <c:order val="1"/>
          <c:tx>
            <c:strRef>
              <c:f>Hoja1!$L$2</c:f>
              <c:strCache>
                <c:ptCount val="1"/>
                <c:pt idx="0">
                  <c:v>Control</c:v>
                </c:pt>
              </c:strCache>
            </c:strRef>
          </c:tx>
          <c:errBars>
            <c:errBarType val="both"/>
            <c:errValType val="cust"/>
            <c:plus>
              <c:numRef>
                <c:f>Hoja1!$L$12:$L$17</c:f>
                <c:numCache>
                  <c:formatCode>General</c:formatCode>
                  <c:ptCount val="6"/>
                  <c:pt idx="0">
                    <c:v>0.62242021690090066</c:v>
                  </c:pt>
                  <c:pt idx="1">
                    <c:v>0.53886786082357085</c:v>
                  </c:pt>
                  <c:pt idx="2">
                    <c:v>0.41503481312283297</c:v>
                  </c:pt>
                  <c:pt idx="3">
                    <c:v>0.31827898949116984</c:v>
                  </c:pt>
                  <c:pt idx="4">
                    <c:v>0.92466163227376486</c:v>
                  </c:pt>
                  <c:pt idx="5">
                    <c:v>0.40235481100566833</c:v>
                  </c:pt>
                </c:numCache>
              </c:numRef>
            </c:plus>
            <c:minus>
              <c:numRef>
                <c:f>Hoja1!$L$12:$L$17</c:f>
                <c:numCache>
                  <c:formatCode>General</c:formatCode>
                  <c:ptCount val="6"/>
                  <c:pt idx="0">
                    <c:v>0.62242021690090066</c:v>
                  </c:pt>
                  <c:pt idx="1">
                    <c:v>0.53886786082357085</c:v>
                  </c:pt>
                  <c:pt idx="2">
                    <c:v>0.41503481312283297</c:v>
                  </c:pt>
                  <c:pt idx="3">
                    <c:v>0.31827898949116984</c:v>
                  </c:pt>
                  <c:pt idx="4">
                    <c:v>0.92466163227376486</c:v>
                  </c:pt>
                  <c:pt idx="5">
                    <c:v>0.40235481100566833</c:v>
                  </c:pt>
                </c:numCache>
              </c:numRef>
            </c:minus>
          </c:errBars>
          <c:cat>
            <c:strRef>
              <c:f>Hoja1!$J$3:$J$8</c:f>
              <c:strCache>
                <c:ptCount val="6"/>
                <c:pt idx="0">
                  <c:v>URPEa</c:v>
                </c:pt>
                <c:pt idx="1">
                  <c:v>URPEt</c:v>
                </c:pt>
                <c:pt idx="2">
                  <c:v>URNEa</c:v>
                </c:pt>
                <c:pt idx="3">
                  <c:v>URNEt</c:v>
                </c:pt>
                <c:pt idx="4">
                  <c:v>DRNEa</c:v>
                </c:pt>
                <c:pt idx="5">
                  <c:v>DRNEt</c:v>
                </c:pt>
              </c:strCache>
            </c:strRef>
          </c:cat>
          <c:val>
            <c:numRef>
              <c:f>Hoja1!$L$3:$L$8</c:f>
              <c:numCache>
                <c:formatCode>General</c:formatCode>
                <c:ptCount val="6"/>
                <c:pt idx="0">
                  <c:v>2.3054545454545448</c:v>
                </c:pt>
                <c:pt idx="1">
                  <c:v>2.1949999999999998</c:v>
                </c:pt>
                <c:pt idx="2">
                  <c:v>1.2140909090909091</c:v>
                </c:pt>
                <c:pt idx="3">
                  <c:v>1.1740909090909388</c:v>
                </c:pt>
                <c:pt idx="4">
                  <c:v>2.0290909090909093</c:v>
                </c:pt>
                <c:pt idx="5">
                  <c:v>1.226818181818182</c:v>
                </c:pt>
              </c:numCache>
            </c:numRef>
          </c:val>
          <c:extLst xmlns:c16r2="http://schemas.microsoft.com/office/drawing/2015/06/chart">
            <c:ext xmlns:c16="http://schemas.microsoft.com/office/drawing/2014/chart" uri="{C3380CC4-5D6E-409C-BE32-E72D297353CC}">
              <c16:uniqueId val="{00000001-6763-499B-9226-86E21514FB97}"/>
            </c:ext>
          </c:extLst>
        </c:ser>
        <c:axId val="146226176"/>
        <c:axId val="153864064"/>
      </c:barChart>
      <c:catAx>
        <c:axId val="146226176"/>
        <c:scaling>
          <c:orientation val="minMax"/>
        </c:scaling>
        <c:axPos val="b"/>
        <c:numFmt formatCode="General" sourceLinked="0"/>
        <c:tickLblPos val="nextTo"/>
        <c:crossAx val="153864064"/>
        <c:crosses val="autoZero"/>
        <c:auto val="1"/>
        <c:lblAlgn val="ctr"/>
        <c:lblOffset val="100"/>
      </c:catAx>
      <c:valAx>
        <c:axId val="153864064"/>
        <c:scaling>
          <c:orientation val="minMax"/>
        </c:scaling>
        <c:axPos val="l"/>
        <c:majorGridlines/>
        <c:numFmt formatCode="General" sourceLinked="1"/>
        <c:tickLblPos val="nextTo"/>
        <c:crossAx val="14622617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a:t>Figure</a:t>
            </a:r>
            <a:r>
              <a:rPr lang="en-GB" baseline="0"/>
              <a:t> 3.2 IER as a function of condition</a:t>
            </a:r>
            <a:endParaRPr lang="en-GB"/>
          </a:p>
        </c:rich>
      </c:tx>
    </c:title>
    <c:plotArea>
      <c:layout/>
      <c:barChart>
        <c:barDir val="col"/>
        <c:grouping val="clustered"/>
        <c:ser>
          <c:idx val="0"/>
          <c:order val="0"/>
          <c:tx>
            <c:v>Experimental</c:v>
          </c:tx>
          <c:errBars>
            <c:errBarType val="both"/>
            <c:errValType val="cust"/>
            <c:plus>
              <c:numRef>
                <c:f>Hoja2!$C$46</c:f>
                <c:numCache>
                  <c:formatCode>General</c:formatCode>
                  <c:ptCount val="1"/>
                  <c:pt idx="0">
                    <c:v>0.42163702135578385</c:v>
                  </c:pt>
                </c:numCache>
              </c:numRef>
            </c:plus>
            <c:minus>
              <c:numRef>
                <c:f>Hoja2!$C$46</c:f>
                <c:numCache>
                  <c:formatCode>General</c:formatCode>
                  <c:ptCount val="1"/>
                  <c:pt idx="0">
                    <c:v>0.42163702135578385</c:v>
                  </c:pt>
                </c:numCache>
              </c:numRef>
            </c:minus>
          </c:errBars>
          <c:cat>
            <c:strRef>
              <c:f>Hoja2!$B$28:$B$33</c:f>
              <c:strCache>
                <c:ptCount val="6"/>
                <c:pt idx="0">
                  <c:v>URPEa</c:v>
                </c:pt>
                <c:pt idx="1">
                  <c:v>URPEt</c:v>
                </c:pt>
                <c:pt idx="2">
                  <c:v>URNEa</c:v>
                </c:pt>
                <c:pt idx="3">
                  <c:v>URNEt</c:v>
                </c:pt>
                <c:pt idx="4">
                  <c:v>DRNEa</c:v>
                </c:pt>
                <c:pt idx="5">
                  <c:v>DRNEt</c:v>
                </c:pt>
              </c:strCache>
            </c:strRef>
          </c:cat>
          <c:val>
            <c:numRef>
              <c:f>Hoja2!$C$28:$C$33</c:f>
              <c:numCache>
                <c:formatCode>General</c:formatCode>
                <c:ptCount val="6"/>
                <c:pt idx="0">
                  <c:v>1.5589999999999882</c:v>
                </c:pt>
                <c:pt idx="1">
                  <c:v>1.8510000000000002</c:v>
                </c:pt>
                <c:pt idx="2">
                  <c:v>1.2429999999999868</c:v>
                </c:pt>
                <c:pt idx="3">
                  <c:v>1.3560000000000001</c:v>
                </c:pt>
                <c:pt idx="4">
                  <c:v>1.288</c:v>
                </c:pt>
                <c:pt idx="5">
                  <c:v>1.2</c:v>
                </c:pt>
              </c:numCache>
            </c:numRef>
          </c:val>
          <c:extLst xmlns:c16r2="http://schemas.microsoft.com/office/drawing/2015/06/chart">
            <c:ext xmlns:c16="http://schemas.microsoft.com/office/drawing/2014/chart" uri="{C3380CC4-5D6E-409C-BE32-E72D297353CC}">
              <c16:uniqueId val="{00000000-522C-4757-B983-DFAEFFA9D65E}"/>
            </c:ext>
          </c:extLst>
        </c:ser>
        <c:ser>
          <c:idx val="1"/>
          <c:order val="1"/>
          <c:tx>
            <c:v>Control</c:v>
          </c:tx>
          <c:errBars>
            <c:errBarType val="both"/>
            <c:errValType val="cust"/>
            <c:plus>
              <c:numRef>
                <c:f>Hoja2!$D$46</c:f>
                <c:numCache>
                  <c:formatCode>General</c:formatCode>
                  <c:ptCount val="1"/>
                  <c:pt idx="0">
                    <c:v>0.35355339059327384</c:v>
                  </c:pt>
                </c:numCache>
              </c:numRef>
            </c:plus>
            <c:minus>
              <c:numRef>
                <c:f>Hoja2!$D$46</c:f>
                <c:numCache>
                  <c:formatCode>General</c:formatCode>
                  <c:ptCount val="1"/>
                  <c:pt idx="0">
                    <c:v>0.35355339059327384</c:v>
                  </c:pt>
                </c:numCache>
              </c:numRef>
            </c:minus>
          </c:errBars>
          <c:cat>
            <c:strRef>
              <c:f>Hoja2!$B$28:$B$33</c:f>
              <c:strCache>
                <c:ptCount val="6"/>
                <c:pt idx="0">
                  <c:v>URPEa</c:v>
                </c:pt>
                <c:pt idx="1">
                  <c:v>URPEt</c:v>
                </c:pt>
                <c:pt idx="2">
                  <c:v>URNEa</c:v>
                </c:pt>
                <c:pt idx="3">
                  <c:v>URNEt</c:v>
                </c:pt>
                <c:pt idx="4">
                  <c:v>DRNEa</c:v>
                </c:pt>
                <c:pt idx="5">
                  <c:v>DRNEt</c:v>
                </c:pt>
              </c:strCache>
            </c:strRef>
          </c:cat>
          <c:val>
            <c:numRef>
              <c:f>Hoja2!$D$28:$D$33</c:f>
              <c:numCache>
                <c:formatCode>General</c:formatCode>
                <c:ptCount val="6"/>
                <c:pt idx="0">
                  <c:v>2.09624999999996</c:v>
                </c:pt>
                <c:pt idx="1">
                  <c:v>1.4962500000000001</c:v>
                </c:pt>
                <c:pt idx="2">
                  <c:v>1.2074999999999827</c:v>
                </c:pt>
                <c:pt idx="3">
                  <c:v>1.74125</c:v>
                </c:pt>
                <c:pt idx="4">
                  <c:v>1.2274999999999829</c:v>
                </c:pt>
                <c:pt idx="5">
                  <c:v>1.125</c:v>
                </c:pt>
              </c:numCache>
            </c:numRef>
          </c:val>
          <c:extLst xmlns:c16r2="http://schemas.microsoft.com/office/drawing/2015/06/chart">
            <c:ext xmlns:c16="http://schemas.microsoft.com/office/drawing/2014/chart" uri="{C3380CC4-5D6E-409C-BE32-E72D297353CC}">
              <c16:uniqueId val="{00000001-522C-4757-B983-DFAEFFA9D65E}"/>
            </c:ext>
          </c:extLst>
        </c:ser>
        <c:axId val="86259200"/>
        <c:axId val="86260736"/>
      </c:barChart>
      <c:catAx>
        <c:axId val="86259200"/>
        <c:scaling>
          <c:orientation val="minMax"/>
        </c:scaling>
        <c:axPos val="b"/>
        <c:numFmt formatCode="General" sourceLinked="0"/>
        <c:tickLblPos val="nextTo"/>
        <c:crossAx val="86260736"/>
        <c:crosses val="autoZero"/>
        <c:auto val="1"/>
        <c:lblAlgn val="ctr"/>
        <c:lblOffset val="100"/>
      </c:catAx>
      <c:valAx>
        <c:axId val="86260736"/>
        <c:scaling>
          <c:orientation val="minMax"/>
        </c:scaling>
        <c:axPos val="l"/>
        <c:majorGridlines/>
        <c:numFmt formatCode="General" sourceLinked="1"/>
        <c:tickLblPos val="nextTo"/>
        <c:crossAx val="8625920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800" b="1" i="0" baseline="0">
                <a:effectLst/>
              </a:rPr>
              <a:t>Figure 3.3 IER as a function of goal choice </a:t>
            </a:r>
            <a:endParaRPr lang="en-GB">
              <a:effectLst/>
            </a:endParaRPr>
          </a:p>
        </c:rich>
      </c:tx>
    </c:title>
    <c:plotArea>
      <c:layout/>
      <c:barChart>
        <c:barDir val="col"/>
        <c:grouping val="clustered"/>
        <c:ser>
          <c:idx val="0"/>
          <c:order val="0"/>
          <c:tx>
            <c:strRef>
              <c:f>'[Graphs Chapter 3.xlsx]Hoja3'!$F$3</c:f>
              <c:strCache>
                <c:ptCount val="1"/>
                <c:pt idx="0">
                  <c:v>URPE</c:v>
                </c:pt>
              </c:strCache>
            </c:strRef>
          </c:tx>
          <c:errBars>
            <c:errBarType val="both"/>
            <c:errValType val="cust"/>
            <c:plus>
              <c:numRef>
                <c:f>'[Graphs Chapter 3.xlsx]Hoja3'!$G$10:$I$10</c:f>
                <c:numCache>
                  <c:formatCode>General</c:formatCode>
                  <c:ptCount val="3"/>
                  <c:pt idx="0">
                    <c:v>2.1999820337030767</c:v>
                  </c:pt>
                  <c:pt idx="1">
                    <c:v>0.33747427885529246</c:v>
                  </c:pt>
                  <c:pt idx="2">
                    <c:v>3.5443009135113286</c:v>
                  </c:pt>
                </c:numCache>
              </c:numRef>
            </c:plus>
            <c:minus>
              <c:numRef>
                <c:f>'[Graphs Chapter 3.xlsx]Hoja3'!$G$10:$I$10</c:f>
                <c:numCache>
                  <c:formatCode>General</c:formatCode>
                  <c:ptCount val="3"/>
                  <c:pt idx="0">
                    <c:v>2.1999820337030767</c:v>
                  </c:pt>
                  <c:pt idx="1">
                    <c:v>0.33747427885529246</c:v>
                  </c:pt>
                  <c:pt idx="2">
                    <c:v>3.5443009135113286</c:v>
                  </c:pt>
                </c:numCache>
              </c:numRef>
            </c:minus>
          </c:errBars>
          <c:cat>
            <c:strRef>
              <c:f>'[Graphs Chapter 3.xlsx]Hoja3'!$G$2:$I$2</c:f>
              <c:strCache>
                <c:ptCount val="3"/>
                <c:pt idx="0">
                  <c:v>Better</c:v>
                </c:pt>
                <c:pt idx="1">
                  <c:v>Worse</c:v>
                </c:pt>
                <c:pt idx="2">
                  <c:v>No goal</c:v>
                </c:pt>
              </c:strCache>
            </c:strRef>
          </c:cat>
          <c:val>
            <c:numRef>
              <c:f>'[Graphs Chapter 3.xlsx]Hoja3'!$G$3:$I$3</c:f>
              <c:numCache>
                <c:formatCode>General</c:formatCode>
                <c:ptCount val="3"/>
                <c:pt idx="0">
                  <c:v>4.3913043478260745</c:v>
                </c:pt>
                <c:pt idx="1">
                  <c:v>1.1499999999999704</c:v>
                </c:pt>
                <c:pt idx="2">
                  <c:v>4.7</c:v>
                </c:pt>
              </c:numCache>
            </c:numRef>
          </c:val>
          <c:extLst xmlns:c16r2="http://schemas.microsoft.com/office/drawing/2015/06/chart">
            <c:ext xmlns:c16="http://schemas.microsoft.com/office/drawing/2014/chart" uri="{C3380CC4-5D6E-409C-BE32-E72D297353CC}">
              <c16:uniqueId val="{00000000-90E7-44E1-9B5D-AABDA33B8768}"/>
            </c:ext>
          </c:extLst>
        </c:ser>
        <c:ser>
          <c:idx val="1"/>
          <c:order val="1"/>
          <c:tx>
            <c:strRef>
              <c:f>'[Graphs Chapter 3.xlsx]Hoja3'!$F$4</c:f>
              <c:strCache>
                <c:ptCount val="1"/>
                <c:pt idx="0">
                  <c:v>URNE</c:v>
                </c:pt>
              </c:strCache>
            </c:strRef>
          </c:tx>
          <c:errBars>
            <c:errBarType val="both"/>
            <c:errValType val="cust"/>
            <c:plus>
              <c:numRef>
                <c:f>'[Graphs Chapter 3.xlsx]Hoja3'!$G$11:$I$11</c:f>
                <c:numCache>
                  <c:formatCode>General</c:formatCode>
                  <c:ptCount val="3"/>
                  <c:pt idx="0">
                    <c:v>1.7535959666437761</c:v>
                  </c:pt>
                  <c:pt idx="1">
                    <c:v>2.4358434541926099</c:v>
                  </c:pt>
                  <c:pt idx="2">
                    <c:v>3.2835798378788001</c:v>
                  </c:pt>
                </c:numCache>
              </c:numRef>
            </c:plus>
            <c:minus>
              <c:numRef>
                <c:f>'[Graphs Chapter 3.xlsx]Hoja3'!$G$11:$I$11</c:f>
                <c:numCache>
                  <c:formatCode>General</c:formatCode>
                  <c:ptCount val="3"/>
                  <c:pt idx="0">
                    <c:v>1.7535959666437761</c:v>
                  </c:pt>
                  <c:pt idx="1">
                    <c:v>2.4358434541926099</c:v>
                  </c:pt>
                  <c:pt idx="2">
                    <c:v>3.2835798378788001</c:v>
                  </c:pt>
                </c:numCache>
              </c:numRef>
            </c:minus>
          </c:errBars>
          <c:cat>
            <c:strRef>
              <c:f>'[Graphs Chapter 3.xlsx]Hoja3'!$G$2:$I$2</c:f>
              <c:strCache>
                <c:ptCount val="3"/>
                <c:pt idx="0">
                  <c:v>Better</c:v>
                </c:pt>
                <c:pt idx="1">
                  <c:v>Worse</c:v>
                </c:pt>
                <c:pt idx="2">
                  <c:v>No goal</c:v>
                </c:pt>
              </c:strCache>
            </c:strRef>
          </c:cat>
          <c:val>
            <c:numRef>
              <c:f>'[Graphs Chapter 3.xlsx]Hoja3'!$G$4:$I$4</c:f>
              <c:numCache>
                <c:formatCode>General</c:formatCode>
                <c:ptCount val="3"/>
                <c:pt idx="0">
                  <c:v>1.9347826086956521</c:v>
                </c:pt>
                <c:pt idx="1">
                  <c:v>8.6</c:v>
                </c:pt>
                <c:pt idx="2">
                  <c:v>3.9499999999999997</c:v>
                </c:pt>
              </c:numCache>
            </c:numRef>
          </c:val>
          <c:extLst xmlns:c16r2="http://schemas.microsoft.com/office/drawing/2015/06/chart">
            <c:ext xmlns:c16="http://schemas.microsoft.com/office/drawing/2014/chart" uri="{C3380CC4-5D6E-409C-BE32-E72D297353CC}">
              <c16:uniqueId val="{00000001-90E7-44E1-9B5D-AABDA33B8768}"/>
            </c:ext>
          </c:extLst>
        </c:ser>
        <c:ser>
          <c:idx val="2"/>
          <c:order val="2"/>
          <c:tx>
            <c:strRef>
              <c:f>'[Graphs Chapter 3.xlsx]Hoja3'!$F$5</c:f>
              <c:strCache>
                <c:ptCount val="1"/>
                <c:pt idx="0">
                  <c:v>DRNE</c:v>
                </c:pt>
              </c:strCache>
            </c:strRef>
          </c:tx>
          <c:errBars>
            <c:errBarType val="both"/>
            <c:errValType val="cust"/>
            <c:plus>
              <c:numRef>
                <c:f>'[Graphs Chapter 3.xlsx]Hoja3'!$G$12:$I$12</c:f>
                <c:numCache>
                  <c:formatCode>General</c:formatCode>
                  <c:ptCount val="3"/>
                  <c:pt idx="0">
                    <c:v>2.9531921497792477</c:v>
                  </c:pt>
                  <c:pt idx="1">
                    <c:v>0.63245553203370108</c:v>
                  </c:pt>
                  <c:pt idx="2">
                    <c:v>2.4858218650634614</c:v>
                  </c:pt>
                </c:numCache>
              </c:numRef>
            </c:plus>
            <c:minus>
              <c:numRef>
                <c:f>'[Graphs Chapter 3.xlsx]Hoja3'!$G$12:$I$12</c:f>
                <c:numCache>
                  <c:formatCode>General</c:formatCode>
                  <c:ptCount val="3"/>
                  <c:pt idx="0">
                    <c:v>2.9531921497792477</c:v>
                  </c:pt>
                  <c:pt idx="1">
                    <c:v>0.63245553203370108</c:v>
                  </c:pt>
                  <c:pt idx="2">
                    <c:v>2.4858218650634614</c:v>
                  </c:pt>
                </c:numCache>
              </c:numRef>
            </c:minus>
          </c:errBars>
          <c:cat>
            <c:strRef>
              <c:f>'[Graphs Chapter 3.xlsx]Hoja3'!$G$2:$I$2</c:f>
              <c:strCache>
                <c:ptCount val="3"/>
                <c:pt idx="0">
                  <c:v>Better</c:v>
                </c:pt>
                <c:pt idx="1">
                  <c:v>Worse</c:v>
                </c:pt>
                <c:pt idx="2">
                  <c:v>No goal</c:v>
                </c:pt>
              </c:strCache>
            </c:strRef>
          </c:cat>
          <c:val>
            <c:numRef>
              <c:f>'[Graphs Chapter 3.xlsx]Hoja3'!$G$5:$I$5</c:f>
              <c:numCache>
                <c:formatCode>General</c:formatCode>
                <c:ptCount val="3"/>
                <c:pt idx="0">
                  <c:v>6.1956521739130439</c:v>
                </c:pt>
                <c:pt idx="1">
                  <c:v>1.7</c:v>
                </c:pt>
                <c:pt idx="2">
                  <c:v>3.1</c:v>
                </c:pt>
              </c:numCache>
            </c:numRef>
          </c:val>
          <c:extLst xmlns:c16r2="http://schemas.microsoft.com/office/drawing/2015/06/chart">
            <c:ext xmlns:c16="http://schemas.microsoft.com/office/drawing/2014/chart" uri="{C3380CC4-5D6E-409C-BE32-E72D297353CC}">
              <c16:uniqueId val="{00000002-90E7-44E1-9B5D-AABDA33B8768}"/>
            </c:ext>
          </c:extLst>
        </c:ser>
        <c:axId val="87947904"/>
        <c:axId val="110829952"/>
      </c:barChart>
      <c:catAx>
        <c:axId val="87947904"/>
        <c:scaling>
          <c:orientation val="minMax"/>
        </c:scaling>
        <c:axPos val="b"/>
        <c:numFmt formatCode="General" sourceLinked="0"/>
        <c:tickLblPos val="nextTo"/>
        <c:crossAx val="110829952"/>
        <c:crosses val="autoZero"/>
        <c:auto val="1"/>
        <c:lblAlgn val="ctr"/>
        <c:lblOffset val="100"/>
      </c:catAx>
      <c:valAx>
        <c:axId val="110829952"/>
        <c:scaling>
          <c:orientation val="minMax"/>
        </c:scaling>
        <c:axPos val="l"/>
        <c:majorGridlines/>
        <c:numFmt formatCode="General" sourceLinked="1"/>
        <c:tickLblPos val="nextTo"/>
        <c:crossAx val="87947904"/>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lgn="l">
              <a:defRPr/>
            </a:pPr>
            <a:r>
              <a:rPr lang="en-US" sz="1400"/>
              <a:t>Figure 5.1 Levels of awareness, intention and effort as a function of cognitive load</a:t>
            </a:r>
          </a:p>
        </c:rich>
      </c:tx>
    </c:title>
    <c:plotArea>
      <c:layout/>
      <c:barChart>
        <c:barDir val="col"/>
        <c:grouping val="clustered"/>
        <c:ser>
          <c:idx val="0"/>
          <c:order val="0"/>
          <c:tx>
            <c:strRef>
              <c:f>Hoja3!$L$3</c:f>
              <c:strCache>
                <c:ptCount val="1"/>
                <c:pt idx="0">
                  <c:v>High cognitive load</c:v>
                </c:pt>
              </c:strCache>
            </c:strRef>
          </c:tx>
          <c:errBars>
            <c:errBarType val="both"/>
            <c:errValType val="cust"/>
            <c:plus>
              <c:numRef>
                <c:f>Hoja3!$L$9:$L$11</c:f>
                <c:numCache>
                  <c:formatCode>General</c:formatCode>
                  <c:ptCount val="3"/>
                  <c:pt idx="0">
                    <c:v>0.78419039602556262</c:v>
                  </c:pt>
                  <c:pt idx="1">
                    <c:v>0.94669235504166749</c:v>
                  </c:pt>
                  <c:pt idx="2">
                    <c:v>0.81069889873030065</c:v>
                  </c:pt>
                </c:numCache>
              </c:numRef>
            </c:plus>
            <c:minus>
              <c:numRef>
                <c:f>Hoja3!$L$9:$L$11</c:f>
                <c:numCache>
                  <c:formatCode>General</c:formatCode>
                  <c:ptCount val="3"/>
                  <c:pt idx="0">
                    <c:v>0.78419039602556262</c:v>
                  </c:pt>
                  <c:pt idx="1">
                    <c:v>0.94669235504166749</c:v>
                  </c:pt>
                  <c:pt idx="2">
                    <c:v>0.81069889873030065</c:v>
                  </c:pt>
                </c:numCache>
              </c:numRef>
            </c:minus>
          </c:errBars>
          <c:cat>
            <c:strRef>
              <c:f>Hoja3!$K$4:$K$6</c:f>
              <c:strCache>
                <c:ptCount val="3"/>
                <c:pt idx="0">
                  <c:v>Awareness</c:v>
                </c:pt>
                <c:pt idx="1">
                  <c:v>Intention</c:v>
                </c:pt>
                <c:pt idx="2">
                  <c:v>Effort</c:v>
                </c:pt>
              </c:strCache>
            </c:strRef>
          </c:cat>
          <c:val>
            <c:numRef>
              <c:f>Hoja3!$L$4:$L$6</c:f>
              <c:numCache>
                <c:formatCode>General</c:formatCode>
                <c:ptCount val="3"/>
                <c:pt idx="0">
                  <c:v>2.6296296296296267</c:v>
                </c:pt>
                <c:pt idx="1">
                  <c:v>2.8333333333333335</c:v>
                </c:pt>
                <c:pt idx="2">
                  <c:v>2.6111111111111112</c:v>
                </c:pt>
              </c:numCache>
            </c:numRef>
          </c:val>
          <c:extLst xmlns:c16r2="http://schemas.microsoft.com/office/drawing/2015/06/chart">
            <c:ext xmlns:c16="http://schemas.microsoft.com/office/drawing/2014/chart" uri="{C3380CC4-5D6E-409C-BE32-E72D297353CC}">
              <c16:uniqueId val="{00000000-E280-4399-8F17-624E0A08C4A1}"/>
            </c:ext>
          </c:extLst>
        </c:ser>
        <c:ser>
          <c:idx val="1"/>
          <c:order val="1"/>
          <c:tx>
            <c:strRef>
              <c:f>Hoja3!$M$3</c:f>
              <c:strCache>
                <c:ptCount val="1"/>
                <c:pt idx="0">
                  <c:v>Low cognitive load</c:v>
                </c:pt>
              </c:strCache>
            </c:strRef>
          </c:tx>
          <c:errBars>
            <c:errBarType val="both"/>
            <c:errValType val="cust"/>
            <c:plus>
              <c:numRef>
                <c:f>Hoja3!$M$9:$M$11</c:f>
                <c:numCache>
                  <c:formatCode>General</c:formatCode>
                  <c:ptCount val="3"/>
                  <c:pt idx="0">
                    <c:v>0.91166899194674456</c:v>
                  </c:pt>
                  <c:pt idx="1">
                    <c:v>0.92474510475694338</c:v>
                  </c:pt>
                  <c:pt idx="2">
                    <c:v>0.90974258938854169</c:v>
                  </c:pt>
                </c:numCache>
              </c:numRef>
            </c:plus>
            <c:minus>
              <c:numRef>
                <c:f>Hoja3!$M$9:$M$11</c:f>
                <c:numCache>
                  <c:formatCode>General</c:formatCode>
                  <c:ptCount val="3"/>
                  <c:pt idx="0">
                    <c:v>0.91166899194674456</c:v>
                  </c:pt>
                  <c:pt idx="1">
                    <c:v>0.92474510475694338</c:v>
                  </c:pt>
                  <c:pt idx="2">
                    <c:v>0.90974258938854169</c:v>
                  </c:pt>
                </c:numCache>
              </c:numRef>
            </c:minus>
          </c:errBars>
          <c:cat>
            <c:strRef>
              <c:f>Hoja3!$K$4:$K$6</c:f>
              <c:strCache>
                <c:ptCount val="3"/>
                <c:pt idx="0">
                  <c:v>Awareness</c:v>
                </c:pt>
                <c:pt idx="1">
                  <c:v>Intention</c:v>
                </c:pt>
                <c:pt idx="2">
                  <c:v>Effort</c:v>
                </c:pt>
              </c:strCache>
            </c:strRef>
          </c:cat>
          <c:val>
            <c:numRef>
              <c:f>Hoja3!$M$4:$M$6</c:f>
              <c:numCache>
                <c:formatCode>General</c:formatCode>
                <c:ptCount val="3"/>
                <c:pt idx="0">
                  <c:v>2.7708333333333335</c:v>
                </c:pt>
                <c:pt idx="1">
                  <c:v>2.8020833333332908</c:v>
                </c:pt>
                <c:pt idx="2">
                  <c:v>2.8124999999999543</c:v>
                </c:pt>
              </c:numCache>
            </c:numRef>
          </c:val>
          <c:extLst xmlns:c16r2="http://schemas.microsoft.com/office/drawing/2015/06/chart">
            <c:ext xmlns:c16="http://schemas.microsoft.com/office/drawing/2014/chart" uri="{C3380CC4-5D6E-409C-BE32-E72D297353CC}">
              <c16:uniqueId val="{00000001-E280-4399-8F17-624E0A08C4A1}"/>
            </c:ext>
          </c:extLst>
        </c:ser>
        <c:axId val="111741184"/>
        <c:axId val="111763456"/>
      </c:barChart>
      <c:catAx>
        <c:axId val="111741184"/>
        <c:scaling>
          <c:orientation val="minMax"/>
        </c:scaling>
        <c:axPos val="b"/>
        <c:numFmt formatCode="General" sourceLinked="0"/>
        <c:tickLblPos val="nextTo"/>
        <c:crossAx val="111763456"/>
        <c:crosses val="autoZero"/>
        <c:auto val="1"/>
        <c:lblAlgn val="ctr"/>
        <c:lblOffset val="100"/>
      </c:catAx>
      <c:valAx>
        <c:axId val="111763456"/>
        <c:scaling>
          <c:orientation val="minMax"/>
        </c:scaling>
        <c:axPos val="l"/>
        <c:majorGridlines/>
        <c:numFmt formatCode="General" sourceLinked="1"/>
        <c:tickLblPos val="nextTo"/>
        <c:crossAx val="111741184"/>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200"/>
            </a:pPr>
            <a:r>
              <a:rPr lang="en-US" sz="1200"/>
              <a:t>Figure 5.2 Awareness as a function of</a:t>
            </a:r>
            <a:r>
              <a:rPr lang="en-US" sz="1200" baseline="0"/>
              <a:t> </a:t>
            </a:r>
            <a:r>
              <a:rPr lang="en-US" sz="1200"/>
              <a:t>number of date and cognitive load</a:t>
            </a:r>
          </a:p>
        </c:rich>
      </c:tx>
    </c:title>
    <c:plotArea>
      <c:layout/>
      <c:lineChart>
        <c:grouping val="standard"/>
        <c:ser>
          <c:idx val="0"/>
          <c:order val="0"/>
          <c:tx>
            <c:strRef>
              <c:f>Hoja4!$B$3</c:f>
              <c:strCache>
                <c:ptCount val="1"/>
                <c:pt idx="0">
                  <c:v>Low cognitive load</c:v>
                </c:pt>
              </c:strCache>
            </c:strRef>
          </c:tx>
          <c:marker>
            <c:symbol val="none"/>
          </c:marker>
          <c:dLbls>
            <c:dLbl>
              <c:idx val="4"/>
              <c:layout>
                <c:manualLayout>
                  <c:x val="-4.8243219597550277E-2"/>
                  <c:y val="-1.3888888888889271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6E4-44AD-BAC7-B80247B68EF8}"/>
                </c:ext>
              </c:extLst>
            </c:dLbl>
            <c:spPr>
              <a:noFill/>
              <a:ln>
                <a:noFill/>
              </a:ln>
              <a:effectLst/>
            </c:spPr>
            <c:dLblPos val="ctr"/>
            <c:showVal val="1"/>
            <c:extLst xmlns:c16r2="http://schemas.microsoft.com/office/drawing/2015/06/chart">
              <c:ext xmlns:c15="http://schemas.microsoft.com/office/drawing/2012/chart" uri="{CE6537A1-D6FC-4f65-9D91-7224C49458BB}">
                <c15:layout/>
                <c15:showLeaderLines val="0"/>
              </c:ext>
            </c:extLst>
          </c:dLbls>
          <c:val>
            <c:numRef>
              <c:f>Hoja4!$B$4:$B$9</c:f>
              <c:numCache>
                <c:formatCode>0.00</c:formatCode>
                <c:ptCount val="6"/>
                <c:pt idx="0">
                  <c:v>2.5830000000000002</c:v>
                </c:pt>
                <c:pt idx="1">
                  <c:v>2.8389999999999977</c:v>
                </c:pt>
                <c:pt idx="2">
                  <c:v>2.9009999999999998</c:v>
                </c:pt>
                <c:pt idx="3">
                  <c:v>2.8679999999999999</c:v>
                </c:pt>
                <c:pt idx="4">
                  <c:v>2.8389999999999977</c:v>
                </c:pt>
                <c:pt idx="5">
                  <c:v>3.0349999999999997</c:v>
                </c:pt>
              </c:numCache>
            </c:numRef>
          </c:val>
          <c:extLst xmlns:c16r2="http://schemas.microsoft.com/office/drawing/2015/06/chart">
            <c:ext xmlns:c16="http://schemas.microsoft.com/office/drawing/2014/chart" uri="{C3380CC4-5D6E-409C-BE32-E72D297353CC}">
              <c16:uniqueId val="{00000001-26E4-44AD-BAC7-B80247B68EF8}"/>
            </c:ext>
          </c:extLst>
        </c:ser>
        <c:ser>
          <c:idx val="1"/>
          <c:order val="1"/>
          <c:tx>
            <c:strRef>
              <c:f>Hoja4!$C$3</c:f>
              <c:strCache>
                <c:ptCount val="1"/>
                <c:pt idx="0">
                  <c:v>High cognitive load</c:v>
                </c:pt>
              </c:strCache>
            </c:strRef>
          </c:tx>
          <c:marker>
            <c:symbol val="none"/>
          </c:marker>
          <c:dLbls>
            <c:dLbl>
              <c:idx val="4"/>
              <c:layout>
                <c:manualLayout>
                  <c:x val="-4.8243219597550277E-2"/>
                  <c:y val="1.3888888888889271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6E4-44AD-BAC7-B80247B68EF8}"/>
                </c:ext>
              </c:extLst>
            </c:dLbl>
            <c:spPr>
              <a:noFill/>
              <a:ln>
                <a:noFill/>
              </a:ln>
              <a:effectLst/>
            </c:spPr>
            <c:dLblPos val="ctr"/>
            <c:showVal val="1"/>
            <c:extLst xmlns:c16r2="http://schemas.microsoft.com/office/drawing/2015/06/chart">
              <c:ext xmlns:c15="http://schemas.microsoft.com/office/drawing/2012/chart" uri="{CE6537A1-D6FC-4f65-9D91-7224C49458BB}">
                <c15:layout/>
                <c15:showLeaderLines val="0"/>
              </c:ext>
            </c:extLst>
          </c:dLbls>
          <c:val>
            <c:numRef>
              <c:f>Hoja4!$C$4:$C$9</c:f>
              <c:numCache>
                <c:formatCode>0.00</c:formatCode>
                <c:ptCount val="6"/>
                <c:pt idx="0">
                  <c:v>2.7119999999999997</c:v>
                </c:pt>
                <c:pt idx="1">
                  <c:v>2.601</c:v>
                </c:pt>
                <c:pt idx="2">
                  <c:v>2.754</c:v>
                </c:pt>
                <c:pt idx="3">
                  <c:v>2.5319999999999987</c:v>
                </c:pt>
                <c:pt idx="4">
                  <c:v>2.7749999999999999</c:v>
                </c:pt>
                <c:pt idx="5">
                  <c:v>2.2650000000000001</c:v>
                </c:pt>
              </c:numCache>
            </c:numRef>
          </c:val>
          <c:extLst xmlns:c16r2="http://schemas.microsoft.com/office/drawing/2015/06/chart">
            <c:ext xmlns:c16="http://schemas.microsoft.com/office/drawing/2014/chart" uri="{C3380CC4-5D6E-409C-BE32-E72D297353CC}">
              <c16:uniqueId val="{00000003-26E4-44AD-BAC7-B80247B68EF8}"/>
            </c:ext>
          </c:extLst>
        </c:ser>
        <c:marker val="1"/>
        <c:axId val="111779200"/>
        <c:axId val="112788992"/>
      </c:lineChart>
      <c:catAx>
        <c:axId val="111779200"/>
        <c:scaling>
          <c:orientation val="minMax"/>
        </c:scaling>
        <c:axPos val="b"/>
        <c:title>
          <c:tx>
            <c:rich>
              <a:bodyPr/>
              <a:lstStyle/>
              <a:p>
                <a:pPr>
                  <a:defRPr/>
                </a:pPr>
                <a:r>
                  <a:rPr lang="en-US"/>
                  <a:t>Number of date</a:t>
                </a:r>
              </a:p>
            </c:rich>
          </c:tx>
        </c:title>
        <c:tickLblPos val="nextTo"/>
        <c:crossAx val="112788992"/>
        <c:crosses val="autoZero"/>
        <c:auto val="1"/>
        <c:lblAlgn val="ctr"/>
        <c:lblOffset val="100"/>
      </c:catAx>
      <c:valAx>
        <c:axId val="112788992"/>
        <c:scaling>
          <c:orientation val="minMax"/>
          <c:max val="3.2"/>
          <c:min val="2.2000000000000002"/>
        </c:scaling>
        <c:axPos val="l"/>
        <c:majorGridlines/>
        <c:title>
          <c:tx>
            <c:rich>
              <a:bodyPr rot="-5400000" vert="horz"/>
              <a:lstStyle/>
              <a:p>
                <a:pPr>
                  <a:defRPr/>
                </a:pPr>
                <a:r>
                  <a:rPr lang="en-US"/>
                  <a:t>Awareness</a:t>
                </a:r>
              </a:p>
            </c:rich>
          </c:tx>
        </c:title>
        <c:numFmt formatCode="0.00" sourceLinked="1"/>
        <c:tickLblPos val="nextTo"/>
        <c:crossAx val="111779200"/>
        <c:crosses val="autoZero"/>
        <c:crossBetween val="between"/>
      </c:valAx>
    </c:plotArea>
    <c:legend>
      <c:legendPos val="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200"/>
            </a:pPr>
            <a:r>
              <a:rPr lang="en-GB" sz="1200"/>
              <a:t>Figure 5.3 Intention</a:t>
            </a:r>
            <a:r>
              <a:rPr lang="en-GB" sz="1200" baseline="0"/>
              <a:t> as a function of number of date and cognitive load</a:t>
            </a:r>
            <a:endParaRPr lang="en-GB" sz="1200"/>
          </a:p>
        </c:rich>
      </c:tx>
    </c:title>
    <c:plotArea>
      <c:layout/>
      <c:lineChart>
        <c:grouping val="standard"/>
        <c:ser>
          <c:idx val="0"/>
          <c:order val="0"/>
          <c:tx>
            <c:strRef>
              <c:f>Hoja4!$B$17</c:f>
              <c:strCache>
                <c:ptCount val="1"/>
                <c:pt idx="0">
                  <c:v>Low cognitive load</c:v>
                </c:pt>
              </c:strCache>
            </c:strRef>
          </c:tx>
          <c:marker>
            <c:symbol val="none"/>
          </c:marker>
          <c:dLbls>
            <c:spPr>
              <a:noFill/>
              <a:ln>
                <a:noFill/>
              </a:ln>
              <a:effectLst/>
            </c:spPr>
            <c:dLblPos val="ctr"/>
            <c:showVal val="1"/>
            <c:extLst xmlns:c16r2="http://schemas.microsoft.com/office/drawing/2015/06/chart">
              <c:ext xmlns:c15="http://schemas.microsoft.com/office/drawing/2012/chart" uri="{CE6537A1-D6FC-4f65-9D91-7224C49458BB}">
                <c15:layout/>
                <c15:showLeaderLines val="0"/>
              </c:ext>
            </c:extLst>
          </c:dLbls>
          <c:val>
            <c:numRef>
              <c:f>Hoja4!$B$18:$B$23</c:f>
              <c:numCache>
                <c:formatCode>0.00</c:formatCode>
                <c:ptCount val="6"/>
                <c:pt idx="0">
                  <c:v>2.5559999999999987</c:v>
                </c:pt>
                <c:pt idx="1">
                  <c:v>3.048</c:v>
                </c:pt>
                <c:pt idx="2">
                  <c:v>2.9159999999999977</c:v>
                </c:pt>
                <c:pt idx="3">
                  <c:v>2.8789999999999987</c:v>
                </c:pt>
                <c:pt idx="4">
                  <c:v>2.8299999999999987</c:v>
                </c:pt>
                <c:pt idx="5">
                  <c:v>3.157</c:v>
                </c:pt>
              </c:numCache>
            </c:numRef>
          </c:val>
          <c:extLst xmlns:c16r2="http://schemas.microsoft.com/office/drawing/2015/06/chart">
            <c:ext xmlns:c16="http://schemas.microsoft.com/office/drawing/2014/chart" uri="{C3380CC4-5D6E-409C-BE32-E72D297353CC}">
              <c16:uniqueId val="{00000000-55AF-4142-8F34-7239B587B206}"/>
            </c:ext>
          </c:extLst>
        </c:ser>
        <c:ser>
          <c:idx val="1"/>
          <c:order val="1"/>
          <c:tx>
            <c:strRef>
              <c:f>Hoja4!$C$17</c:f>
              <c:strCache>
                <c:ptCount val="1"/>
                <c:pt idx="0">
                  <c:v>High cognitive load</c:v>
                </c:pt>
              </c:strCache>
            </c:strRef>
          </c:tx>
          <c:marker>
            <c:symbol val="none"/>
          </c:marker>
          <c:dLbls>
            <c:spPr>
              <a:noFill/>
              <a:ln>
                <a:noFill/>
              </a:ln>
              <a:effectLst/>
            </c:spPr>
            <c:dLblPos val="ctr"/>
            <c:showVal val="1"/>
            <c:extLst xmlns:c16r2="http://schemas.microsoft.com/office/drawing/2015/06/chart">
              <c:ext xmlns:c15="http://schemas.microsoft.com/office/drawing/2012/chart" uri="{CE6537A1-D6FC-4f65-9D91-7224C49458BB}">
                <c15:layout/>
                <c15:showLeaderLines val="0"/>
              </c:ext>
            </c:extLst>
          </c:dLbls>
          <c:val>
            <c:numRef>
              <c:f>Hoja4!$C$18:$C$23</c:f>
              <c:numCache>
                <c:formatCode>0.00</c:formatCode>
                <c:ptCount val="6"/>
                <c:pt idx="0">
                  <c:v>2.7850000000000001</c:v>
                </c:pt>
                <c:pt idx="1">
                  <c:v>3.1930000000000001</c:v>
                </c:pt>
                <c:pt idx="2">
                  <c:v>3.2280000000000002</c:v>
                </c:pt>
                <c:pt idx="3">
                  <c:v>2.6759999999999997</c:v>
                </c:pt>
                <c:pt idx="4">
                  <c:v>2.5539999999999998</c:v>
                </c:pt>
                <c:pt idx="5">
                  <c:v>2.4430000000000001</c:v>
                </c:pt>
              </c:numCache>
            </c:numRef>
          </c:val>
          <c:extLst xmlns:c16r2="http://schemas.microsoft.com/office/drawing/2015/06/chart">
            <c:ext xmlns:c16="http://schemas.microsoft.com/office/drawing/2014/chart" uri="{C3380CC4-5D6E-409C-BE32-E72D297353CC}">
              <c16:uniqueId val="{00000001-55AF-4142-8F34-7239B587B206}"/>
            </c:ext>
          </c:extLst>
        </c:ser>
        <c:marker val="1"/>
        <c:axId val="112812800"/>
        <c:axId val="112814720"/>
      </c:lineChart>
      <c:catAx>
        <c:axId val="112812800"/>
        <c:scaling>
          <c:orientation val="minMax"/>
        </c:scaling>
        <c:axPos val="b"/>
        <c:title>
          <c:tx>
            <c:rich>
              <a:bodyPr/>
              <a:lstStyle/>
              <a:p>
                <a:pPr>
                  <a:defRPr/>
                </a:pPr>
                <a:r>
                  <a:rPr lang="en-US"/>
                  <a:t>Number of date</a:t>
                </a:r>
              </a:p>
            </c:rich>
          </c:tx>
        </c:title>
        <c:tickLblPos val="nextTo"/>
        <c:crossAx val="112814720"/>
        <c:crosses val="autoZero"/>
        <c:auto val="1"/>
        <c:lblAlgn val="ctr"/>
        <c:lblOffset val="100"/>
      </c:catAx>
      <c:valAx>
        <c:axId val="112814720"/>
        <c:scaling>
          <c:orientation val="minMax"/>
          <c:max val="3.3"/>
          <c:min val="2.4"/>
        </c:scaling>
        <c:axPos val="l"/>
        <c:majorGridlines/>
        <c:title>
          <c:tx>
            <c:rich>
              <a:bodyPr rot="-5400000" vert="horz"/>
              <a:lstStyle/>
              <a:p>
                <a:pPr>
                  <a:defRPr/>
                </a:pPr>
                <a:r>
                  <a:rPr lang="en-US"/>
                  <a:t>Intention</a:t>
                </a:r>
              </a:p>
            </c:rich>
          </c:tx>
        </c:title>
        <c:numFmt formatCode="0.00" sourceLinked="1"/>
        <c:tickLblPos val="nextTo"/>
        <c:crossAx val="112812800"/>
        <c:crosses val="autoZero"/>
        <c:crossBetween val="between"/>
      </c:valAx>
    </c:plotArea>
    <c:legend>
      <c:legendPos val="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200"/>
              <a:t>Figure 5.4 Effort as a function of number of date and cognitive load</a:t>
            </a:r>
          </a:p>
        </c:rich>
      </c:tx>
    </c:title>
    <c:plotArea>
      <c:layout/>
      <c:lineChart>
        <c:grouping val="standard"/>
        <c:ser>
          <c:idx val="0"/>
          <c:order val="0"/>
          <c:tx>
            <c:strRef>
              <c:f>Hoja4!$B$35</c:f>
              <c:strCache>
                <c:ptCount val="1"/>
                <c:pt idx="0">
                  <c:v>Low cognitive load</c:v>
                </c:pt>
              </c:strCache>
            </c:strRef>
          </c:tx>
          <c:marker>
            <c:symbol val="none"/>
          </c:marker>
          <c:dLbls>
            <c:spPr>
              <a:noFill/>
              <a:ln>
                <a:noFill/>
              </a:ln>
              <a:effectLst/>
            </c:spPr>
            <c:dLblPos val="ctr"/>
            <c:showVal val="1"/>
            <c:extLst xmlns:c16r2="http://schemas.microsoft.com/office/drawing/2015/06/chart">
              <c:ext xmlns:c15="http://schemas.microsoft.com/office/drawing/2012/chart" uri="{CE6537A1-D6FC-4f65-9D91-7224C49458BB}">
                <c15:layout/>
                <c15:showLeaderLines val="0"/>
              </c:ext>
            </c:extLst>
          </c:dLbls>
          <c:val>
            <c:numRef>
              <c:f>Hoja4!$B$36:$B$41</c:f>
              <c:numCache>
                <c:formatCode>0.00</c:formatCode>
                <c:ptCount val="6"/>
                <c:pt idx="0">
                  <c:v>2.8329999999999727</c:v>
                </c:pt>
                <c:pt idx="1">
                  <c:v>3.0719999999999987</c:v>
                </c:pt>
                <c:pt idx="2">
                  <c:v>2.86</c:v>
                </c:pt>
                <c:pt idx="3">
                  <c:v>2.7930000000000001</c:v>
                </c:pt>
                <c:pt idx="4">
                  <c:v>3.09</c:v>
                </c:pt>
                <c:pt idx="5">
                  <c:v>3.0749999999999997</c:v>
                </c:pt>
              </c:numCache>
            </c:numRef>
          </c:val>
          <c:extLst xmlns:c16r2="http://schemas.microsoft.com/office/drawing/2015/06/chart">
            <c:ext xmlns:c16="http://schemas.microsoft.com/office/drawing/2014/chart" uri="{C3380CC4-5D6E-409C-BE32-E72D297353CC}">
              <c16:uniqueId val="{00000000-D5FC-440B-B23A-4078D33788CF}"/>
            </c:ext>
          </c:extLst>
        </c:ser>
        <c:ser>
          <c:idx val="1"/>
          <c:order val="1"/>
          <c:tx>
            <c:strRef>
              <c:f>Hoja4!$C$35</c:f>
              <c:strCache>
                <c:ptCount val="1"/>
                <c:pt idx="0">
                  <c:v>High cognitive load</c:v>
                </c:pt>
              </c:strCache>
            </c:strRef>
          </c:tx>
          <c:marker>
            <c:symbol val="none"/>
          </c:marker>
          <c:dLbls>
            <c:spPr>
              <a:noFill/>
              <a:ln>
                <a:noFill/>
              </a:ln>
              <a:effectLst/>
            </c:spPr>
            <c:dLblPos val="ctr"/>
            <c:showVal val="1"/>
            <c:extLst xmlns:c16r2="http://schemas.microsoft.com/office/drawing/2015/06/chart">
              <c:ext xmlns:c15="http://schemas.microsoft.com/office/drawing/2012/chart" uri="{CE6537A1-D6FC-4f65-9D91-7224C49458BB}">
                <c15:layout/>
                <c15:showLeaderLines val="0"/>
              </c:ext>
            </c:extLst>
          </c:dLbls>
          <c:val>
            <c:numRef>
              <c:f>Hoja4!$C$36:$C$41</c:f>
              <c:numCache>
                <c:formatCode>0.00</c:formatCode>
                <c:ptCount val="6"/>
                <c:pt idx="0">
                  <c:v>2.6280000000000001</c:v>
                </c:pt>
                <c:pt idx="1">
                  <c:v>2.8929999999999967</c:v>
                </c:pt>
                <c:pt idx="2">
                  <c:v>2.6080000000000001</c:v>
                </c:pt>
                <c:pt idx="3">
                  <c:v>2.423</c:v>
                </c:pt>
                <c:pt idx="4">
                  <c:v>2.746</c:v>
                </c:pt>
                <c:pt idx="5">
                  <c:v>2.407</c:v>
                </c:pt>
              </c:numCache>
            </c:numRef>
          </c:val>
          <c:extLst xmlns:c16r2="http://schemas.microsoft.com/office/drawing/2015/06/chart">
            <c:ext xmlns:c16="http://schemas.microsoft.com/office/drawing/2014/chart" uri="{C3380CC4-5D6E-409C-BE32-E72D297353CC}">
              <c16:uniqueId val="{00000001-D5FC-440B-B23A-4078D33788CF}"/>
            </c:ext>
          </c:extLst>
        </c:ser>
        <c:marker val="1"/>
        <c:axId val="115414912"/>
        <c:axId val="115445760"/>
      </c:lineChart>
      <c:catAx>
        <c:axId val="115414912"/>
        <c:scaling>
          <c:orientation val="minMax"/>
        </c:scaling>
        <c:axPos val="b"/>
        <c:title>
          <c:tx>
            <c:rich>
              <a:bodyPr/>
              <a:lstStyle/>
              <a:p>
                <a:pPr>
                  <a:defRPr/>
                </a:pPr>
                <a:r>
                  <a:rPr lang="en-US"/>
                  <a:t>Number of date</a:t>
                </a:r>
              </a:p>
            </c:rich>
          </c:tx>
        </c:title>
        <c:tickLblPos val="nextTo"/>
        <c:crossAx val="115445760"/>
        <c:crosses val="autoZero"/>
        <c:auto val="1"/>
        <c:lblAlgn val="ctr"/>
        <c:lblOffset val="100"/>
      </c:catAx>
      <c:valAx>
        <c:axId val="115445760"/>
        <c:scaling>
          <c:orientation val="minMax"/>
          <c:max val="3.1"/>
          <c:min val="2.4"/>
        </c:scaling>
        <c:axPos val="l"/>
        <c:majorGridlines/>
        <c:title>
          <c:tx>
            <c:rich>
              <a:bodyPr rot="-5400000" vert="horz"/>
              <a:lstStyle/>
              <a:p>
                <a:pPr>
                  <a:defRPr/>
                </a:pPr>
                <a:r>
                  <a:rPr lang="en-US"/>
                  <a:t>Effort</a:t>
                </a:r>
              </a:p>
            </c:rich>
          </c:tx>
        </c:title>
        <c:numFmt formatCode="0.00" sourceLinked="1"/>
        <c:tickLblPos val="nextTo"/>
        <c:crossAx val="115414912"/>
        <c:crosses val="autoZero"/>
        <c:crossBetween val="between"/>
      </c:valAx>
    </c:plotArea>
    <c:legend>
      <c:legendPos val="t"/>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9582AD-90F7-4515-B2D0-B4C8FC6FF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325</Pages>
  <Words>204172</Words>
  <Characters>1163787</Characters>
  <Application>Microsoft Office Word</Application>
  <DocSecurity>0</DocSecurity>
  <Lines>9698</Lines>
  <Paragraphs>2730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1365229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Daria</dc:creator>
  <cp:lastModifiedBy>Daria</cp:lastModifiedBy>
  <cp:revision>44</cp:revision>
  <dcterms:created xsi:type="dcterms:W3CDTF">2017-02-25T16:33:00Z</dcterms:created>
  <dcterms:modified xsi:type="dcterms:W3CDTF">2017-02-27T12:47:00Z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2b6ad3e5-abed-37f8-9c46-043bcf064670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